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Maquettes — outil de commande pour traiteurs</w:t>
      </w:r>
    </w:p>
    <w:p>
      <w:pPr>
        <w:spacing w:after="260"/>
      </w:pPr>
      <w:r>
        <w:rPr>
          <w:i/>
          <w:iCs/>
          <w:color w:val="666660"/>
          <w:sz w:val="20"/>
          <w:szCs w:val="20"/>
        </w:rPr>
        <w:t xml:space="preserve">Vision d'ensemble des 18 écrans — cas d'usage LabTraiteur Da Michele</w:t>
      </w:r>
    </w:p>
    <w:p>
      <w:pPr>
        <w:spacing w:after="100"/>
      </w:pPr>
      <w:r>
        <w:rPr>
          <w:color w:val="666660"/>
          <w:sz w:val="18"/>
          <w:szCs w:val="18"/>
        </w:rPr>
        <w:t xml:space="preserve">Les couleurs et le logo utilisés ici sont une interprétation dans l'esprit « traiteur italien », pas la charte réelle de LabTraiteur — à remplacer par leurs éléments de marque définitifs avant mise en production.</w:t>
      </w:r>
    </w:p>
    <w:p>
      <w:r>
        <w:br w:type="page"/>
      </w:r>
    </w:p>
    <w:p>
      <w:pPr>
        <w:spacing w:after="40" w:before="200"/>
      </w:pPr>
      <w:r>
        <w:rPr>
          <w:b/>
          <w:bCs/>
          <w:color w:val="712B13"/>
          <w:sz w:val="26"/>
          <w:szCs w:val="26"/>
        </w:rPr>
        <w:t xml:space="preserve">1. Catalogue et commande client</w:t>
      </w:r>
    </w:p>
    <w:p>
      <w:pPr>
        <w:spacing w:after="160"/>
      </w:pPr>
      <w:r>
        <w:rPr>
          <w:color w:val="666660"/>
          <w:sz w:val="19"/>
          <w:szCs w:val="19"/>
        </w:rPr>
        <w:t xml:space="preserve">Sélection du créneau de retrait, filtres par catégorie, fiches produits en grand format avec photo, description, allergènes et quantité. Personnalisable par établissement (logo, couleur, nom).</w:t>
      </w:r>
    </w:p>
    <w:p>
      <w:pPr>
        <w:spacing w:after="100"/>
        <w:jc w:val="center"/>
      </w:pPr>
      <w:r>
        <w:drawing>
          <wp:inline distT="0" distB="0" distL="0" distR="0">
            <wp:extent cx="4572000" cy="821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21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200"/>
      </w:pPr>
      <w:r>
        <w:rPr>
          <w:b/>
          <w:bCs/>
          <w:color w:val="712B13"/>
          <w:sz w:val="26"/>
          <w:szCs w:val="26"/>
        </w:rPr>
        <w:t xml:space="preserve">2. Paiement et acompte</w:t>
      </w:r>
    </w:p>
    <w:p>
      <w:pPr>
        <w:spacing w:after="160"/>
      </w:pPr>
      <w:r>
        <w:rPr>
          <w:color w:val="666660"/>
          <w:sz w:val="19"/>
          <w:szCs w:val="19"/>
        </w:rPr>
        <w:t xml:space="preserve">Récapitulatif de commande, choix entre acompte de 30% (solde au retrait) ou paiement intégral, formulaire de paiement, support carte et TWINT.</w:t>
      </w:r>
    </w:p>
    <w:p>
      <w:pPr>
        <w:spacing w:after="100"/>
        <w:jc w:val="center"/>
      </w:pPr>
      <w:r>
        <w:drawing>
          <wp:inline distT="0" distB="0" distL="0" distR="0">
            <wp:extent cx="4572000" cy="602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200"/>
      </w:pPr>
      <w:r>
        <w:rPr>
          <w:b/>
          <w:bCs/>
          <w:color w:val="712B13"/>
          <w:sz w:val="26"/>
          <w:szCs w:val="26"/>
        </w:rPr>
        <w:t xml:space="preserve">3. Invitation à l'installation (PWA)</w:t>
      </w:r>
    </w:p>
    <w:p>
      <w:pPr>
        <w:spacing w:after="160"/>
      </w:pPr>
      <w:r>
        <w:rPr>
          <w:color w:val="666660"/>
          <w:sz w:val="19"/>
          <w:szCs w:val="19"/>
        </w:rPr>
        <w:t xml:space="preserve">Déclenchée après une commande réussie. Propose d'ajouter la page du traiteur à l'écran d'accueil, sans passer par un app store.</w:t>
      </w:r>
    </w:p>
    <w:p>
      <w:pPr>
        <w:spacing w:after="100"/>
        <w:jc w:val="center"/>
      </w:pPr>
      <w:r>
        <w:drawing>
          <wp:inline distT="0" distB="0" distL="0" distR="0">
            <wp:extent cx="41910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200"/>
      </w:pPr>
      <w:r>
        <w:rPr>
          <w:b/>
          <w:bCs/>
          <w:color w:val="712B13"/>
          <w:sz w:val="26"/>
          <w:szCs w:val="26"/>
        </w:rPr>
        <w:t xml:space="preserve">4. Dashboard traiteur — planning du jour</w:t>
      </w:r>
    </w:p>
    <w:p>
      <w:pPr>
        <w:spacing w:after="160"/>
      </w:pPr>
      <w:r>
        <w:rPr>
          <w:color w:val="666660"/>
          <w:sz w:val="19"/>
          <w:szCs w:val="19"/>
        </w:rPr>
        <w:t xml:space="preserve">Indicateurs clés du jour, récapitulatif « à produire » agrégé par produit (avec repère visuel si un produit approche de sa capacité), liste chronologique des commandes et statut de paiement.</w:t>
      </w:r>
    </w:p>
    <w:p>
      <w:pPr>
        <w:spacing w:after="100"/>
        <w:jc w:val="center"/>
      </w:pPr>
      <w:r>
        <w:drawing>
          <wp:inline distT="0" distB="0" distL="0" distR="0">
            <wp:extent cx="59055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200"/>
      </w:pPr>
      <w:r>
        <w:rPr>
          <w:b/>
          <w:bCs/>
          <w:color w:val="712B13"/>
          <w:sz w:val="26"/>
          <w:szCs w:val="26"/>
        </w:rPr>
        <w:t xml:space="preserve">5. Gestion du catalogue et capacité de production</w:t>
      </w:r>
    </w:p>
    <w:p>
      <w:pPr>
        <w:spacing w:after="160"/>
      </w:pPr>
      <w:r>
        <w:rPr>
          <w:color w:val="666660"/>
          <w:sz w:val="19"/>
          <w:szCs w:val="19"/>
        </w:rPr>
        <w:t xml:space="preserve">Chaque produit peut recevoir une quantité maximale par jour et par créneau. Barre de progression et alerte au traiteur au-delà d'un seuil (ici 80%) pour éviter une commande hors capacité, comme un pic de 1000 tiramisù.</w:t>
      </w:r>
    </w:p>
    <w:p>
      <w:pPr>
        <w:spacing w:after="100"/>
        <w:jc w:val="center"/>
      </w:pPr>
      <w:r>
        <w:drawing>
          <wp:inline distT="0" distB="0" distL="0" distR="0">
            <wp:extent cx="5905500" cy="437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200"/>
      </w:pPr>
      <w:r>
        <w:rPr>
          <w:b/>
          <w:bCs/>
          <w:color w:val="712B13"/>
          <w:sz w:val="26"/>
          <w:szCs w:val="26"/>
        </w:rPr>
        <w:t xml:space="preserve">6. Mode comptoir — ajustement live</w:t>
      </w:r>
    </w:p>
    <w:p>
      <w:pPr>
        <w:spacing w:after="160"/>
      </w:pPr>
      <w:r>
        <w:rPr>
          <w:color w:val="666660"/>
          <w:sz w:val="19"/>
          <w:szCs w:val="19"/>
        </w:rPr>
        <w:t xml:space="preserve">Pensé pour tablette : ajout rapide de produits pendant qu'un client est en face, options du produit sélectionné affichées immédiatement, récapitulatif et encaissement toujours visibles.</w:t>
      </w:r>
    </w:p>
    <w:p>
      <w:pPr>
        <w:spacing w:after="100"/>
        <w:jc w:val="center"/>
      </w:pPr>
      <w:r>
        <w:drawing>
          <wp:inline distT="0" distB="0" distL="0" distR="0">
            <wp:extent cx="5905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200"/>
      </w:pPr>
      <w:r>
        <w:rPr>
          <w:b/>
          <w:bCs/>
          <w:color w:val="712B13"/>
          <w:sz w:val="26"/>
          <w:szCs w:val="26"/>
        </w:rPr>
        <w:t xml:space="preserve">7. Entrée du site — Boutique ou Traiteur</w:t>
      </w:r>
    </w:p>
    <w:p>
      <w:pPr>
        <w:spacing w:after="160"/>
      </w:pPr>
      <w:r>
        <w:rPr>
          <w:color w:val="666660"/>
          <w:sz w:val="19"/>
          <w:szCs w:val="19"/>
        </w:rPr>
        <w:t xml:space="preserve">Premier écran du parcours client : deux univers de commande bien distincts pour un même établissement — retrait immédiat en boutique (paiement intégral) ou commande anticipée pour un événement (acompte + solde). Un produit du catalogue peut appartenir à l'un, l'autre, ou les deux.</w:t>
      </w:r>
    </w:p>
    <w:p>
      <w:pPr>
        <w:spacing w:after="100"/>
        <w:jc w:val="center"/>
      </w:pPr>
      <w:r>
        <w:drawing>
          <wp:inline distT="0" distB="0" distL="0" distR="0">
            <wp:extent cx="41910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200"/>
      </w:pPr>
      <w:r>
        <w:rPr>
          <w:b/>
          <w:bCs/>
          <w:color w:val="712B13"/>
          <w:sz w:val="26"/>
          <w:szCs w:val="26"/>
        </w:rPr>
        <w:t xml:space="preserve">8. Répartition des tâches — vue agrégée</w:t>
      </w:r>
    </w:p>
    <w:p>
      <w:pPr>
        <w:spacing w:after="160"/>
      </w:pPr>
      <w:r>
        <w:rPr>
          <w:color w:val="666660"/>
          <w:sz w:val="19"/>
          <w:szCs w:val="19"/>
        </w:rPr>
        <w:t xml:space="preserve">Le professionnel assigne chaque produit (pas chaque commande) à un membre de l'équipe. Le détail par créneau de retrait reste consultable en un clic, mais sert de repère et non de découpage obligatoire — un produit peut se préparer en un seul lot même si ses commandes ont des heures de retrait différentes.</w:t>
      </w:r>
    </w:p>
    <w:p>
      <w:pPr>
        <w:spacing w:after="100"/>
        <w:jc w:val="center"/>
      </w:pPr>
      <w:r>
        <w:drawing>
          <wp:inline distT="0" distB="0" distL="0" distR="0">
            <wp:extent cx="59055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200"/>
      </w:pPr>
      <w:r>
        <w:rPr>
          <w:b/>
          <w:bCs/>
          <w:color w:val="712B13"/>
          <w:sz w:val="26"/>
          <w:szCs w:val="26"/>
        </w:rPr>
        <w:t xml:space="preserve">9. Édition de lots de production</w:t>
      </w:r>
    </w:p>
    <w:p>
      <w:pPr>
        <w:spacing w:after="160"/>
      </w:pPr>
      <w:r>
        <w:rPr>
          <w:color w:val="666660"/>
          <w:sz w:val="19"/>
          <w:szCs w:val="19"/>
        </w:rPr>
        <w:t xml:space="preserve">Pour les cas où un découpage a du sens (ici : produire le matin pour les retraits de 10h/12h, puis l'après-midi pour 16h/19h), le traiteur définit librement ses propres lots — quantité, heure « prêt pour » et personne assignée — plutôt qu'un lot imposé par créneau de retrait.</w:t>
      </w:r>
    </w:p>
    <w:p>
      <w:pPr>
        <w:spacing w:after="100"/>
        <w:jc w:val="center"/>
      </w:pPr>
      <w:r>
        <w:drawing>
          <wp:inline distT="0" distB="0" distL="0" distR="0">
            <wp:extent cx="4953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200"/>
      </w:pPr>
      <w:r>
        <w:rPr>
          <w:b/>
          <w:bCs/>
          <w:color w:val="712B13"/>
          <w:sz w:val="26"/>
          <w:szCs w:val="26"/>
        </w:rPr>
        <w:t xml:space="preserve">10. Vue employé</w:t>
      </w:r>
    </w:p>
    <w:p>
      <w:pPr>
        <w:spacing w:after="160"/>
      </w:pPr>
      <w:r>
        <w:rPr>
          <w:color w:val="666660"/>
          <w:sz w:val="19"/>
          <w:szCs w:val="19"/>
        </w:rPr>
        <w:t xml:space="preserve">Accès allégé sans prix ni informations client : la liste des tâches du jour, triée par échéance, avec un repère visuel sur la tâche la plus urgente. Conçu pour un accès simple (lien ou code), sans compte complet à créer pour chaque membre de l'équipe.</w:t>
      </w:r>
    </w:p>
    <w:p>
      <w:pPr>
        <w:spacing w:after="100"/>
        <w:jc w:val="center"/>
      </w:pPr>
      <w:r>
        <w:drawing>
          <wp:inline distT="0" distB="0" distL="0" distR="0">
            <wp:extent cx="4191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200"/>
      </w:pPr>
      <w:r>
        <w:rPr>
          <w:b/>
          <w:bCs/>
          <w:color w:val="712B13"/>
          <w:sz w:val="26"/>
          <w:szCs w:val="26"/>
        </w:rPr>
        <w:t xml:space="preserve">11. Facturation inter-entités (multi-sociétés)</w:t>
      </w:r>
    </w:p>
    <w:p>
      <w:pPr>
        <w:spacing w:after="160"/>
      </w:pPr>
      <w:r>
        <w:rPr>
          <w:color w:val="666660"/>
          <w:sz w:val="19"/>
          <w:szCs w:val="19"/>
        </w:rPr>
        <w:t xml:space="preserve">Pour les établissements opérant avec deux sociétés distinctes (ex. Boutique Sàrl et Traiteur SA), le système détecte automatiquement les commandes exécutées par une entité pour le compte de l'autre — dès qu'une tâche est assignée à un membre d'équipe rattaché à cette entité. Aucun paiement ne transite entre les sociétés : ce récapitulatif sert uniquement à générer la facture de service correspondante, pour le montant plein facturé au client.</w:t>
      </w:r>
    </w:p>
    <w:p>
      <w:pPr>
        <w:spacing w:after="100"/>
        <w:jc w:val="center"/>
      </w:pPr>
      <w:r>
        <w:drawing>
          <wp:inline distT="0" distB="0" distL="0" distR="0">
            <wp:extent cx="59055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200"/>
      </w:pPr>
      <w:r>
        <w:rPr>
          <w:b/>
          <w:bCs/>
          <w:color w:val="712B13"/>
          <w:sz w:val="26"/>
          <w:szCs w:val="26"/>
        </w:rPr>
        <w:t xml:space="preserve">12. Planning par employé (vue professionnel)</w:t>
      </w:r>
    </w:p>
    <w:p>
      <w:pPr>
        <w:spacing w:after="160"/>
      </w:pPr>
      <w:r>
        <w:rPr>
          <w:color w:val="666660"/>
          <w:sz w:val="19"/>
          <w:szCs w:val="19"/>
        </w:rPr>
        <w:t xml:space="preserve">Le professionnel bascule d'un membre d'équipe à l'autre pour consulter sa charge du jour et réassigner une tâche si besoin — la même donnée que le dashboard planning, mais lue depuis l'angle de chaque personne plutôt que du produit.</w:t>
      </w:r>
    </w:p>
    <w:p>
      <w:pPr>
        <w:spacing w:after="100"/>
        <w:jc w:val="center"/>
      </w:pPr>
      <w:r>
        <w:drawing>
          <wp:inline distT="0" distB="0" distL="0" distR="0">
            <wp:extent cx="57150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200"/>
      </w:pPr>
      <w:r>
        <w:rPr>
          <w:b/>
          <w:bCs/>
          <w:color w:val="712B13"/>
          <w:sz w:val="26"/>
          <w:szCs w:val="26"/>
        </w:rPr>
        <w:t xml:space="preserve">13. Fiche produit éditable</w:t>
      </w:r>
    </w:p>
    <w:p>
      <w:pPr>
        <w:spacing w:after="160"/>
      </w:pPr>
      <w:r>
        <w:rPr>
          <w:color w:val="666660"/>
          <w:sz w:val="19"/>
          <w:szCs w:val="19"/>
        </w:rPr>
        <w:t xml:space="preserve">Modification complète d'un produit du catalogue : nom, prix, catégorie, description, allergènes, disponibilité. Vient compléter le réglage de capacité déjà maquetté (écran 5), qui reste une section spécifique de cette même fiche.</w:t>
      </w:r>
    </w:p>
    <w:p>
      <w:pPr>
        <w:spacing w:after="100"/>
        <w:jc w:val="center"/>
      </w:pPr>
      <w:r>
        <w:drawing>
          <wp:inline distT="0" distB="0" distL="0" distR="0">
            <wp:extent cx="4191000" cy="461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200"/>
      </w:pPr>
      <w:r>
        <w:rPr>
          <w:b/>
          <w:bCs/>
          <w:color w:val="712B13"/>
          <w:sz w:val="26"/>
          <w:szCs w:val="26"/>
        </w:rPr>
        <w:t xml:space="preserve">14. Édition d'une commande existante — remboursement automatique</w:t>
      </w:r>
    </w:p>
    <w:p>
      <w:pPr>
        <w:spacing w:after="160"/>
      </w:pPr>
      <w:r>
        <w:rPr>
          <w:color w:val="666660"/>
          <w:sz w:val="19"/>
          <w:szCs w:val="19"/>
        </w:rPr>
        <w:t xml:space="preserve">Le professionnel modifie une commande déjà payée (ex. le client appelle pour réduire sa commande). Si le nouveau total est inférieur à ce qui a déjà été réglé, un remboursement partiel est déclenché automatiquement via Stripe pour la différence exacte, sans action manuelle supplémentaire. La commission de la plateforme reste acquise intégralement.</w:t>
      </w:r>
    </w:p>
    <w:p>
      <w:pPr>
        <w:spacing w:after="100"/>
        <w:jc w:val="center"/>
      </w:pPr>
      <w:r>
        <w:drawing>
          <wp:inline distT="0" distB="0" distL="0" distR="0">
            <wp:extent cx="4191000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200"/>
      </w:pPr>
      <w:r>
        <w:rPr>
          <w:b/>
          <w:bCs/>
          <w:color w:val="712B13"/>
          <w:sz w:val="26"/>
          <w:szCs w:val="26"/>
        </w:rPr>
        <w:t xml:space="preserve">15. Édition de la facture inter-entités avant génération</w:t>
      </w:r>
    </w:p>
    <w:p>
      <w:pPr>
        <w:spacing w:after="160"/>
      </w:pPr>
      <w:r>
        <w:rPr>
          <w:color w:val="666660"/>
          <w:sz w:val="19"/>
          <w:szCs w:val="19"/>
        </w:rPr>
        <w:t xml:space="preserve">Avant de générer le PDF de la facture Boutique → Traiteur, le professionnel peut exclure une ligne détectée automatiquement (erreur, litige), ajuster un montant, ou ajouter une ligne manuelle. La génération automatique reste la base, mais la validation finale reste humaine.</w:t>
      </w:r>
    </w:p>
    <w:p>
      <w:pPr>
        <w:spacing w:after="100"/>
        <w:jc w:val="center"/>
      </w:pPr>
      <w:r>
        <w:drawing>
          <wp:inline distT="0" distB="0" distL="0" distR="0">
            <wp:extent cx="66675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200"/>
      </w:pPr>
      <w:r>
        <w:rPr>
          <w:b/>
          <w:bCs/>
          <w:color w:val="712B13"/>
          <w:sz w:val="26"/>
          <w:szCs w:val="26"/>
        </w:rPr>
        <w:t xml:space="preserve">16. Politique d'annulation (configurable par établissement)</w:t>
      </w:r>
    </w:p>
    <w:p>
      <w:pPr>
        <w:spacing w:after="160"/>
      </w:pPr>
      <w:r>
        <w:rPr>
          <w:color w:val="666660"/>
          <w:sz w:val="19"/>
          <w:szCs w:val="19"/>
        </w:rPr>
        <w:t xml:space="preserve">Chaque établissement définit ses propres règles d'annulation côté client (ex. remboursable jusqu'à 7 jours avant l'événement, non remboursable sous 48h). L'annulation par l'établissement lui-même reste toujours intégralement remboursée, quelle que soit l'échéance.</w:t>
      </w:r>
    </w:p>
    <w:p>
      <w:pPr>
        <w:spacing w:after="100"/>
        <w:jc w:val="center"/>
      </w:pPr>
      <w:r>
        <w:drawing>
          <wp:inline distT="0" distB="0" distL="0" distR="0">
            <wp:extent cx="4572000" cy="486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200"/>
      </w:pPr>
      <w:r>
        <w:rPr>
          <w:b/>
          <w:bCs/>
          <w:color w:val="712B13"/>
          <w:sz w:val="26"/>
          <w:szCs w:val="26"/>
        </w:rPr>
        <w:t xml:space="preserve">17. Inscription d'un nouvel établissement</w:t>
      </w:r>
    </w:p>
    <w:p>
      <w:pPr>
        <w:spacing w:after="160"/>
      </w:pPr>
      <w:r>
        <w:rPr>
          <w:color w:val="666660"/>
          <w:sz w:val="19"/>
          <w:szCs w:val="19"/>
        </w:rPr>
        <w:t xml:space="preserve">Parcours en plusieurs étapes pour intégrer un nouveau traiteur sur la plateforme : informations de l'établissement, connexion Stripe (compte existant ou création guidée), personnalisation de la page, catalogue de départ. Devient prioritaire dès que la plateforme dépasse le stade du client pilote unique.</w:t>
      </w:r>
    </w:p>
    <w:p>
      <w:pPr>
        <w:spacing w:after="100"/>
        <w:jc w:val="center"/>
      </w:pPr>
      <w:r>
        <w:drawing>
          <wp:inline distT="0" distB="0" distL="0" distR="0">
            <wp:extent cx="4572000" cy="475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200"/>
      </w:pPr>
      <w:r>
        <w:rPr>
          <w:b/>
          <w:bCs/>
          <w:color w:val="712B13"/>
          <w:sz w:val="26"/>
          <w:szCs w:val="26"/>
        </w:rPr>
        <w:t xml:space="preserve">18. Tableau de bord plateforme (vue propriétaire)</w:t>
      </w:r>
    </w:p>
    <w:p>
      <w:pPr>
        <w:spacing w:after="160"/>
      </w:pPr>
      <w:r>
        <w:rPr>
          <w:color w:val="666660"/>
          <w:sz w:val="19"/>
          <w:szCs w:val="19"/>
        </w:rPr>
        <w:t xml:space="preserve">Vue d'ensemble pour le porteur du projet : établissements actifs, commission cumulée du mois, volume total traité, statut de connexion Stripe par établissement. Non prioritaire avec un seul traiteur pilote, mais nécessaire dès 3-4 établissements actifs.</w:t>
      </w:r>
    </w:p>
    <w:p>
      <w:pPr>
        <w:spacing w:after="100"/>
        <w:jc w:val="center"/>
      </w:pPr>
      <w:r>
        <w:drawing>
          <wp:inline distT="0" distB="0" distL="0" distR="0">
            <wp:extent cx="59055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200"/>
      </w:pPr>
      <w:r>
        <w:rPr>
          <w:b/>
          <w:bCs/>
          <w:color w:val="712B13"/>
          <w:sz w:val="26"/>
          <w:szCs w:val="26"/>
        </w:rPr>
        <w:t xml:space="preserve">Annexe — Comparaison graphique du catalogue</w:t>
      </w:r>
    </w:p>
    <w:p>
      <w:pPr>
        <w:spacing w:after="200"/>
      </w:pPr>
      <w:r>
        <w:rPr>
          <w:color w:val="666660"/>
          <w:sz w:val="19"/>
          <w:szCs w:val="19"/>
        </w:rPr>
        <w:t xml:space="preserve">Deux directions possibles pour l'écran de catalogue et commande client, à trancher plus tard.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Version A — Fiches produit avec photo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667000" cy="4791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479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Version B — Carte de restaurant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667000" cy="3743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74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e45ef57bcb47feebb53335411395d786a853fd0.png"/><Relationship Id="rId8" Type="http://schemas.openxmlformats.org/officeDocument/2006/relationships/image" Target="media/28cb9b6dd75d6bcbaf8b3b3f8e98940ba2a811d3.png"/><Relationship Id="rId9" Type="http://schemas.openxmlformats.org/officeDocument/2006/relationships/image" Target="media/67d94868c64d294a2be26d7a4ad58a929aad91c6.png"/><Relationship Id="rId10" Type="http://schemas.openxmlformats.org/officeDocument/2006/relationships/image" Target="media/f382de7ee76088fdeee8a4061289d28a3f02e84e.png"/><Relationship Id="rId11" Type="http://schemas.openxmlformats.org/officeDocument/2006/relationships/image" Target="media/0f6c20f49b2c244e0da86fc0eb980d27b20e6688.png"/><Relationship Id="rId12" Type="http://schemas.openxmlformats.org/officeDocument/2006/relationships/image" Target="media/4b61768bc01708d565e8b5ab9fdd0b5524303f57.png"/><Relationship Id="rId13" Type="http://schemas.openxmlformats.org/officeDocument/2006/relationships/image" Target="media/1878c1cc1c78b68f5d11cc2408940271e0c7e0f8.png"/><Relationship Id="rId14" Type="http://schemas.openxmlformats.org/officeDocument/2006/relationships/image" Target="media/e1bd5fddbc5e47fcc81accc23ba5c7d292150707.png"/><Relationship Id="rId15" Type="http://schemas.openxmlformats.org/officeDocument/2006/relationships/image" Target="media/63fe75e9656ad7b683f631ed558f133678c9d1de.png"/><Relationship Id="rId16" Type="http://schemas.openxmlformats.org/officeDocument/2006/relationships/image" Target="media/500945866321d5000519da0ff8bd1a7d788694f8.png"/><Relationship Id="rId17" Type="http://schemas.openxmlformats.org/officeDocument/2006/relationships/image" Target="media/14b7db39c2bad3905285e18a0f21fc43167bcacb.png"/><Relationship Id="rId18" Type="http://schemas.openxmlformats.org/officeDocument/2006/relationships/image" Target="media/38900d7a2c325058060c3918e2774eb98559e300.png"/><Relationship Id="rId19" Type="http://schemas.openxmlformats.org/officeDocument/2006/relationships/image" Target="media/5b27e6b88a37ed446cf91431f76b33731a74f1e2.png"/><Relationship Id="rId20" Type="http://schemas.openxmlformats.org/officeDocument/2006/relationships/image" Target="media/a5f9806dd44f9b27df37bba4bfa3098b82372030.png"/><Relationship Id="rId21" Type="http://schemas.openxmlformats.org/officeDocument/2006/relationships/image" Target="media/376c7e47f0cefd8b78739d391437acce8c376cee.png"/><Relationship Id="rId22" Type="http://schemas.openxmlformats.org/officeDocument/2006/relationships/image" Target="media/b3aaea38c15146634cb02ef3aff16c40f54326a5.png"/><Relationship Id="rId23" Type="http://schemas.openxmlformats.org/officeDocument/2006/relationships/image" Target="media/2c5de2edcff2c829dd51566a59ec52f211a48459.png"/><Relationship Id="rId24" Type="http://schemas.openxmlformats.org/officeDocument/2006/relationships/image" Target="media/83d8c76c5b3b47ef4c9b6078a760f6abedf85693.png"/><Relationship Id="rId25" Type="http://schemas.openxmlformats.org/officeDocument/2006/relationships/image" Target="media/d7a597883e237836dc7311819856cd1f25b57ea2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2026-09-14T07:55:04.655Z</dcterms:created>
  <dcterms:modified xsi:type="dcterms:W3CDTF">2026-09-14T07:55:04.662Z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