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Outil SaaS de gestion de commandes pour traiteurs</w:t>
      </w:r>
    </w:p>
    <w:p>
      <w:pPr>
        <w:spacing w:after="300"/>
      </w:pPr>
      <w:r>
        <w:rPr>
          <w:i/>
          <w:iCs/>
          <w:color w:val="666660"/>
          <w:sz w:val="22"/>
          <w:szCs w:val="22"/>
        </w:rPr>
        <w:t xml:space="preserve">Synthèse du projet — cadrage, décisions et maquettes</w:t>
      </w:r>
    </w:p>
    <w:p>
      <w:pPr>
        <w:pStyle w:val="Heading1"/>
        <w:spacing w:after="160" w:before="320"/>
      </w:pPr>
      <w:r>
        <w:t xml:space="preserve">1. Contexte et objectif</w:t>
      </w:r>
    </w:p>
    <w:p>
      <w:pPr>
        <w:spacing w:after="140"/>
      </w:pPr>
      <w:r>
        <w:t xml:space="preserve">Projet lancé en Suisse : un outil SaaS destiné à plusieurs traiteurs, vendu en abonnement, permettant à chaque établissement de gérer la commande client, le paiement en ligne (avec acompte) et la facturation automatique, ainsi que son planning de production.</w:t>
      </w:r>
    </w:p>
    <w:p>
      <w:pPr>
        <w:spacing w:after="140"/>
      </w:pPr>
      <w:r>
        <w:t xml:space="preserve">Premier établissement pilote : LabTraiteur Da Michele, traiteur italien basé à Peseux (Neuchâtel).</w:t>
      </w:r>
    </w:p>
    <w:p>
      <w:pPr>
        <w:pStyle w:val="Heading1"/>
        <w:spacing w:after="160" w:before="320"/>
      </w:pPr>
      <w:r>
        <w:t xml:space="preserve">2. Décisions structurantes</w:t>
      </w:r>
    </w:p>
    <w:p>
      <w:pPr>
        <w:pStyle w:val="Heading2"/>
        <w:spacing w:after="120" w:before="260"/>
      </w:pPr>
      <w:r>
        <w:t xml:space="preserve">2.1 Architecture multi-tenant avec marque blanche</w:t>
      </w:r>
    </w:p>
    <w:p>
      <w:pPr>
        <w:spacing w:after="140"/>
      </w:pPr>
      <w:r>
        <w:t xml:space="preserve">Une seule base de code, mais chaque traiteur dispose de sa propre page personnalisée : logo, couleur d'accent, bannière, nom affiché, et à terme URL dédiée (sous-domaine ou domaine propre). Les éléments de marque sont stockés en base et injectés dans les variables de style au chargement, sans dupliquer le code par établissement.</w:t>
      </w:r>
    </w:p>
    <w:p>
      <w:pPr>
        <w:spacing w:after="140"/>
      </w:pPr>
      <w:r>
        <w:t xml:space="preserve">Ce choix répond à une contrainte commerciale : proposer à chaque traiteur « sa propre boutique en ligne, à son image » plutôt qu'une marketplace commune, jugée plus simple à vendre à des artisans attachés à leur identité.</w:t>
      </w:r>
    </w:p>
    <w:p>
      <w:pPr>
        <w:pStyle w:val="Heading2"/>
        <w:spacing w:after="120" w:before="260"/>
      </w:pPr>
      <w:r>
        <w:t xml:space="preserve">2.2 Paiement en ligne — conformité suisse et choix du prestataire</w:t>
      </w:r>
    </w:p>
    <w:p>
      <w:pPr>
        <w:spacing w:after="140"/>
      </w:pPr>
      <w:r>
        <w:t xml:space="preserve">En Suisse, une plateforme qui encaisse les paiements clients puis les reverse aux vendeurs peut être considérée comme intermédiaire financier au sens de la loi sur le blanchiment d'argent (LBA), avec les obligations de conformité (affiliation à un organisme d'autorégulation ou supervision FINMA) que cela implique. Si la plateforme externalise l'encaissement à un prestataire de paiement agréé et ne détient jamais elle-même les fonds, aucune autorisation propre n'est en principe requise. Deux familles de solutions permettent de respecter ce principe tout en prélevant automatiquement une commission par transaction — les deux restent ouvertes pour le MVP, à choisir selon le profil de chaque établissement :</w:t>
      </w:r>
    </w:p>
    <w:p>
      <w:pPr>
        <w:spacing w:after="140"/>
      </w:pPr>
      <w:r>
        <w:t xml:space="preserve">Option A — Stripe Connect (mode Standard)</w:t>
      </w:r>
    </w:p>
    <w:p>
      <w:pPr>
        <w:pStyle w:val="ListParagraph"/>
        <w:numPr>
          <w:ilvl w:val="0"/>
          <w:numId w:val="1"/>
        </w:numPr>
        <w:spacing w:after="60"/>
      </w:pPr>
      <w:r>
        <w:t xml:space="preserve">Chaque traiteur relie son propre compte Stripe (OAuth), garde la main sur son compte et reçoit les paiements directement. La commission de la plateforme est prélevée automatiquement à la transaction (application_fee_amount), sans jamais transiter par la plateforme.</w:t>
      </w:r>
    </w:p>
    <w:p>
      <w:pPr>
        <w:pStyle w:val="ListParagraph"/>
        <w:numPr>
          <w:ilvl w:val="0"/>
          <w:numId w:val="1"/>
        </w:numPr>
        <w:spacing w:after="60"/>
      </w:pPr>
      <w:r>
        <w:t xml:space="preserve">Frais de transaction Stripe en Suisse : 2,9% + CHF 0.30 par paiement domestique — plus élevé que les alternatives suisses ci-dessous.</w:t>
      </w:r>
    </w:p>
    <w:p>
      <w:pPr>
        <w:pStyle w:val="ListParagraph"/>
        <w:numPr>
          <w:ilvl w:val="0"/>
          <w:numId w:val="1"/>
        </w:numPr>
        <w:spacing w:after="60"/>
      </w:pPr>
      <w:r>
        <w:t xml:space="preserve">Avantages : documentation et outillage développeur parmi les meilleurs du marché, intégration rapide, support TWINT natif.</w:t>
      </w:r>
    </w:p>
    <w:p>
      <w:pPr>
        <w:pStyle w:val="ListParagraph"/>
        <w:numPr>
          <w:ilvl w:val="0"/>
          <w:numId w:val="1"/>
        </w:numPr>
        <w:spacing w:after="60"/>
      </w:pPr>
      <w:r>
        <w:t xml:space="preserve">Limite : pas de support PostFinance Pay, coût de transaction plus élevé — un argument de vente plus difficile face à un traiteur déjà équipé d'un terminal moins cher.</w:t>
      </w:r>
    </w:p>
    <w:p>
      <w:pPr>
        <w:spacing w:after="140"/>
      </w:pPr>
      <w:r>
        <w:t xml:space="preserve">Option B — PSP suisse à Split Payment (ex. Payrexx, Wallee)</w:t>
      </w:r>
    </w:p>
    <w:p>
      <w:pPr>
        <w:pStyle w:val="ListParagraph"/>
        <w:numPr>
          <w:ilvl w:val="0"/>
          <w:numId w:val="1"/>
        </w:numPr>
        <w:spacing w:after="60"/>
      </w:pPr>
      <w:r>
        <w:t xml:space="preserve">Fonctionnalité « Split Payment » native : un paiement client est automatiquement scindé entre la part du vendeur et la commission de la plateforme au moment de la transaction, sans que la plateforme ne détienne les fonds — même principe de protection LBA que l'option A.</w:t>
      </w:r>
    </w:p>
    <w:p>
      <w:pPr>
        <w:pStyle w:val="ListParagraph"/>
        <w:numPr>
          <w:ilvl w:val="0"/>
          <w:numId w:val="1"/>
        </w:numPr>
        <w:spacing w:after="60"/>
      </w:pPr>
      <w:r>
        <w:t xml:space="preserve">Frais de transaction généralement inférieurs à Stripe (de l'ordre de 1,35% à 1,65% selon le prestataire et le volume, contre 2,9% + CHF 0.30 pour Stripe), et support natif de PostFinance Pay en plus de TWINT.</w:t>
      </w:r>
    </w:p>
    <w:p>
      <w:pPr>
        <w:pStyle w:val="ListParagraph"/>
        <w:numPr>
          <w:ilvl w:val="0"/>
          <w:numId w:val="1"/>
        </w:numPr>
        <w:spacing w:after="60"/>
      </w:pPr>
      <w:r>
        <w:t xml:space="preserve">Limite : tarification par palier à négocier directement avec le prestataire (pas de taux public garanti pour un petit volume), documentation et outillage développeur généralement moins matures que Stripe, à valider avant de s'engager.</w:t>
      </w:r>
    </w:p>
    <w:p>
      <w:pPr>
        <w:spacing w:after="140"/>
      </w:pPr>
      <w:r>
        <w:t xml:space="preserve">Décision à prendre par établissement plutôt qu'imposée par la plateforme : un traiteur peut préférer Stripe pour sa simplicité d'intégration, un autre un PSP suisse pour le coût de transaction ou pour rester sur un prestataire local. L'architecture doit donc prévoir dès le départ un choix de prestataire de paiement par établissement, plutôt qu'un unique PSP câblé en dur — les deux options respectent le même principe (aucune détention de fonds par la plateforme), donc ce choix n'a pas d'impact sur la conformité LBA, seulement sur le coût et l'expérience d'intégration.</w:t>
      </w:r>
    </w:p>
    <w:p>
      <w:pPr>
        <w:spacing w:after="140"/>
      </w:pPr>
      <w:r>
        <w:t xml:space="preserve">Point à faire valider par un juriste avant lancement : implications TVA/comptables de la facturation automatique émise pour le compte du traiteur, et confirmation avec chaque PSP retenu que son modèle de split fonctionne bien en mode agence (le traiteur reste marchand de référence).</w:t>
      </w:r>
    </w:p>
    <w:p>
      <w:pPr>
        <w:pStyle w:val="Heading2"/>
        <w:spacing w:after="120" w:before="260"/>
      </w:pPr>
      <w:r>
        <w:t xml:space="preserve">2.3 Application côté client — PWA plutôt qu'appli native</w:t>
      </w:r>
    </w:p>
    <w:p>
      <w:pPr>
        <w:spacing w:after="140"/>
      </w:pPr>
      <w:r>
        <w:t xml:space="preserve">Pour garder la personnalisation par établissement sans multiplier les applications sur les stores, le projet retient une web app installable (PWA) plutôt qu'une application native par traiteur ou une application unique multi-traiteurs à la marque de la plateforme.</w:t>
      </w:r>
    </w:p>
    <w:p>
      <w:pPr>
        <w:pStyle w:val="ListParagraph"/>
        <w:numPr>
          <w:ilvl w:val="0"/>
          <w:numId w:val="1"/>
        </w:numPr>
        <w:spacing w:after="60"/>
      </w:pPr>
      <w:r>
        <w:t xml:space="preserve">Un seul code, mais chaque traiteur garde sa page personnalisée.</w:t>
      </w:r>
    </w:p>
    <w:p>
      <w:pPr>
        <w:pStyle w:val="ListParagraph"/>
        <w:numPr>
          <w:ilvl w:val="0"/>
          <w:numId w:val="1"/>
        </w:numPr>
        <w:spacing w:after="60"/>
      </w:pPr>
      <w:r>
        <w:t xml:space="preserve">Installation sur l'écran d'accueil en un geste, sans passage par un app store.</w:t>
      </w:r>
    </w:p>
    <w:p>
      <w:pPr>
        <w:pStyle w:val="ListParagraph"/>
        <w:numPr>
          <w:ilvl w:val="0"/>
          <w:numId w:val="1"/>
        </w:numPr>
        <w:spacing w:after="60"/>
      </w:pPr>
      <w:r>
        <w:t xml:space="preserve">Chargement quasi instantané, consultation du menu hors ligne, notifications push (bien supportées sur Android, plus limitées sur iOS).</w:t>
      </w:r>
    </w:p>
    <w:p>
      <w:pPr>
        <w:pStyle w:val="ListParagraph"/>
        <w:numPr>
          <w:ilvl w:val="0"/>
          <w:numId w:val="1"/>
        </w:numPr>
        <w:spacing w:after="60"/>
      </w:pPr>
      <w:r>
        <w:t xml:space="preserve">Prévoir dès le développement : un manifest d'app par établissement (nom, icône, couleur), un écran d'invite à l'installation déclenché après une première commande réussie.</w:t>
      </w:r>
    </w:p>
    <w:p>
      <w:pPr>
        <w:pStyle w:val="Heading1"/>
        <w:spacing w:after="160" w:before="320"/>
      </w:pPr>
      <w:r>
        <w:t xml:space="preserve">3. Périmètre fonctionnel</w:t>
      </w:r>
    </w:p>
    <w:p>
      <w:pPr>
        <w:pStyle w:val="Heading2"/>
        <w:spacing w:after="120" w:before="260"/>
      </w:pPr>
      <w:r>
        <w:t xml:space="preserve">3.1 Côté client</w:t>
      </w:r>
    </w:p>
    <w:p>
      <w:pPr>
        <w:pStyle w:val="ListParagraph"/>
        <w:numPr>
          <w:ilvl w:val="0"/>
          <w:numId w:val="1"/>
        </w:numPr>
        <w:spacing w:after="60"/>
      </w:pPr>
      <w:r>
        <w:t xml:space="preserve">Passage de commande en ligne (catalogue, options, créneau de retrait)</w:t>
      </w:r>
    </w:p>
    <w:p>
      <w:pPr>
        <w:pStyle w:val="ListParagraph"/>
        <w:numPr>
          <w:ilvl w:val="0"/>
          <w:numId w:val="1"/>
        </w:numPr>
        <w:spacing w:after="60"/>
      </w:pPr>
      <w:r>
        <w:t xml:space="preserve">Paiement en ligne — acompte ou paiement intégral</w:t>
      </w:r>
    </w:p>
    <w:p>
      <w:pPr>
        <w:pStyle w:val="ListParagraph"/>
        <w:numPr>
          <w:ilvl w:val="0"/>
          <w:numId w:val="1"/>
        </w:numPr>
        <w:spacing w:after="60"/>
      </w:pPr>
      <w:r>
        <w:t xml:space="preserve">Facturation automatique</w:t>
      </w:r>
    </w:p>
    <w:p>
      <w:pPr>
        <w:pStyle w:val="ListParagraph"/>
        <w:numPr>
          <w:ilvl w:val="0"/>
          <w:numId w:val="1"/>
        </w:numPr>
        <w:spacing w:after="60"/>
      </w:pPr>
      <w:r>
        <w:t xml:space="preserve">Invitation à installer la page du traiteur comme application (PWA)</w:t>
      </w:r>
    </w:p>
    <w:p>
      <w:pPr>
        <w:pStyle w:val="Heading2"/>
        <w:spacing w:after="120" w:before="260"/>
      </w:pPr>
      <w:r>
        <w:t xml:space="preserve">3.2 Côté professionnel</w:t>
      </w:r>
    </w:p>
    <w:p>
      <w:pPr>
        <w:pStyle w:val="ListParagraph"/>
        <w:numPr>
          <w:ilvl w:val="0"/>
          <w:numId w:val="1"/>
        </w:numPr>
        <w:spacing w:after="60"/>
      </w:pPr>
      <w:r>
        <w:t xml:space="preserve">Listing et gestion du catalogue produits (activation/désactivation, édition)</w:t>
      </w:r>
    </w:p>
    <w:p>
      <w:pPr>
        <w:pStyle w:val="ListParagraph"/>
        <w:numPr>
          <w:ilvl w:val="0"/>
          <w:numId w:val="1"/>
        </w:numPr>
        <w:spacing w:after="60"/>
      </w:pPr>
      <w:r>
        <w:t xml:space="preserve">Réception chaque matin du planning de commandes à réaliser, agrégé par produit</w:t>
      </w:r>
    </w:p>
    <w:p>
      <w:pPr>
        <w:pStyle w:val="ListParagraph"/>
        <w:numPr>
          <w:ilvl w:val="0"/>
          <w:numId w:val="1"/>
        </w:numPr>
        <w:spacing w:after="60"/>
      </w:pPr>
      <w:r>
        <w:t xml:space="preserve">Mode comptoir : ajustement live d'une commande avec un client en face, choix des options</w:t>
      </w:r>
    </w:p>
    <w:p>
      <w:pPr>
        <w:pStyle w:val="ListParagraph"/>
        <w:numPr>
          <w:ilvl w:val="0"/>
          <w:numId w:val="1"/>
        </w:numPr>
        <w:spacing w:after="60"/>
      </w:pPr>
      <w:r>
        <w:t xml:space="preserve">Gestion de la capacité de production — voir section 5</w:t>
      </w:r>
    </w:p>
    <w:p>
      <w:pPr>
        <w:pStyle w:val="Heading1"/>
        <w:spacing w:after="160" w:before="320"/>
      </w:pPr>
      <w:r>
        <w:t xml:space="preserve">4. Écrans maquettés</w:t>
      </w:r>
    </w:p>
    <w:p>
      <w:pPr>
        <w:spacing w:after="140"/>
      </w:pPr>
      <w:r>
        <w:t xml:space="preserve">Six écrans ont été maquettés pour valider la direction graphique avant le développement. Direction retenue : univers éditorial et feutré (typographie serif pour les noms de produits, photos en grand format, descriptions courtes façon carte de restaurant, allergènes en mention discrète) plutôt qu'un habillage e-commerce classique — pour refléter le positionnement « produits de qualité » des traiteurs ciblés.</w:t>
      </w:r>
    </w:p>
    <w:p>
      <w:pPr>
        <w:spacing w:after="40" w:before="300"/>
      </w:pPr>
      <w:r>
        <w:rPr>
          <w:b/>
          <w:bCs/>
          <w:color w:val="712B13"/>
          <w:sz w:val="24"/>
          <w:szCs w:val="24"/>
        </w:rPr>
        <w:t xml:space="preserve">Catalogue et commande client</w:t>
      </w:r>
    </w:p>
    <w:p>
      <w:pPr>
        <w:spacing w:after="120"/>
      </w:pPr>
      <w:r>
        <w:rPr>
          <w:i/>
          <w:iCs/>
          <w:color w:val="666660"/>
          <w:sz w:val="18"/>
          <w:szCs w:val="18"/>
        </w:rPr>
        <w:t xml:space="preserve">Côté client — écran principal</w:t>
      </w:r>
    </w:p>
    <w:p>
      <w:pPr>
        <w:spacing w:after="140"/>
      </w:pPr>
      <w:r>
        <w:t xml:space="preserve">Sélection du créneau de retrait, filtres par catégorie, fiches produits en grand format avec photo, description courte, allergènes et sélecteur de quantité, résumé du panier fixé en bas de page. Habillée aux couleurs de LabTraiteur Da Michele (terracotta) à titre de démonstration — couleurs et logo définitifs à récupérer auprès de l'établissement.</w:t>
      </w:r>
    </w:p>
    <w:p>
      <w:pPr>
        <w:spacing w:after="40" w:before="300"/>
      </w:pPr>
      <w:r>
        <w:rPr>
          <w:b/>
          <w:bCs/>
          <w:color w:val="712B13"/>
          <w:sz w:val="24"/>
          <w:szCs w:val="24"/>
        </w:rPr>
        <w:t xml:space="preserve">Paiement et acompte</w:t>
      </w:r>
    </w:p>
    <w:p>
      <w:pPr>
        <w:spacing w:after="120"/>
      </w:pPr>
      <w:r>
        <w:rPr>
          <w:i/>
          <w:iCs/>
          <w:color w:val="666660"/>
          <w:sz w:val="18"/>
          <w:szCs w:val="18"/>
        </w:rPr>
        <w:t xml:space="preserve">Côté client — tunnel de commande</w:t>
      </w:r>
    </w:p>
    <w:p>
      <w:pPr>
        <w:spacing w:after="140"/>
      </w:pPr>
      <w:r>
        <w:t xml:space="preserve">Récapitulatif de commande, choix entre acompte de 30% (solde réglé au retrait) ou paiement intégral, formulaire de paiement minimal, mention du support carte et TWINT.</w:t>
      </w:r>
    </w:p>
    <w:p>
      <w:pPr>
        <w:spacing w:after="40" w:before="300"/>
      </w:pPr>
      <w:r>
        <w:rPr>
          <w:b/>
          <w:bCs/>
          <w:color w:val="712B13"/>
          <w:sz w:val="24"/>
          <w:szCs w:val="24"/>
        </w:rPr>
        <w:t xml:space="preserve">Invitation à l'installation (PWA)</w:t>
      </w:r>
    </w:p>
    <w:p>
      <w:pPr>
        <w:spacing w:after="120"/>
      </w:pPr>
      <w:r>
        <w:rPr>
          <w:i/>
          <w:iCs/>
          <w:color w:val="666660"/>
          <w:sz w:val="18"/>
          <w:szCs w:val="18"/>
        </w:rPr>
        <w:t xml:space="preserve">Côté client — après confirmation de commande</w:t>
      </w:r>
    </w:p>
    <w:p>
      <w:pPr>
        <w:spacing w:after="140"/>
      </w:pPr>
      <w:r>
        <w:t xml:space="preserve">Déclenchée juste après une commande réussie, moment où le client est le plus réceptif. Reprend la charte du traiteur, explique le bénéfice en une phrase, propose « Ajouter à l'écran d'accueil » ou « Plus tard » sans être intrusive.</w:t>
      </w:r>
    </w:p>
    <w:p>
      <w:pPr>
        <w:spacing w:after="40" w:before="300"/>
      </w:pPr>
      <w:r>
        <w:rPr>
          <w:b/>
          <w:bCs/>
          <w:color w:val="712B13"/>
          <w:sz w:val="24"/>
          <w:szCs w:val="24"/>
        </w:rPr>
        <w:t xml:space="preserve">Dashboard traiteur — planning du jour</w:t>
      </w:r>
    </w:p>
    <w:p>
      <w:pPr>
        <w:spacing w:after="120"/>
      </w:pPr>
      <w:r>
        <w:rPr>
          <w:i/>
          <w:iCs/>
          <w:color w:val="666660"/>
          <w:sz w:val="18"/>
          <w:szCs w:val="18"/>
        </w:rPr>
        <w:t xml:space="preserve">Côté professionnel</w:t>
      </w:r>
    </w:p>
    <w:p>
      <w:pPr>
        <w:spacing w:after="140"/>
      </w:pPr>
      <w:r>
        <w:t xml:space="preserve">Navigation par jour, indicateurs clés (nombre de commandes, chiffre du jour, prochain retrait), récapitulatif « à produire aujourd'hui » agrégé par produit, puis liste chronologique des commandes avec statut de paiement (acompte versé / payé) et case à cocher de suivi de préparation.</w:t>
      </w:r>
    </w:p>
    <w:p>
      <w:pPr>
        <w:spacing w:after="40" w:before="300"/>
      </w:pPr>
      <w:r>
        <w:rPr>
          <w:b/>
          <w:bCs/>
          <w:color w:val="712B13"/>
          <w:sz w:val="24"/>
          <w:szCs w:val="24"/>
        </w:rPr>
        <w:t xml:space="preserve">Gestion du catalogue</w:t>
      </w:r>
    </w:p>
    <w:p>
      <w:pPr>
        <w:spacing w:after="120"/>
      </w:pPr>
      <w:r>
        <w:rPr>
          <w:i/>
          <w:iCs/>
          <w:color w:val="666660"/>
          <w:sz w:val="18"/>
          <w:szCs w:val="18"/>
        </w:rPr>
        <w:t xml:space="preserve">Côté professionnel</w:t>
      </w:r>
    </w:p>
    <w:p>
      <w:pPr>
        <w:spacing w:after="140"/>
      </w:pPr>
      <w:r>
        <w:t xml:space="preserve">Liste des produits par catégorie, activation/désactivation rapide (pour retirer temporairement un plat en rupture sans le supprimer), édition en un clic, ajout d'un nouveau produit.</w:t>
      </w:r>
    </w:p>
    <w:p>
      <w:pPr>
        <w:spacing w:after="40" w:before="300"/>
      </w:pPr>
      <w:r>
        <w:rPr>
          <w:b/>
          <w:bCs/>
          <w:color w:val="712B13"/>
          <w:sz w:val="24"/>
          <w:szCs w:val="24"/>
        </w:rPr>
        <w:t xml:space="preserve">Mode comptoir — ajustement live</w:t>
      </w:r>
    </w:p>
    <w:p>
      <w:pPr>
        <w:spacing w:after="120"/>
      </w:pPr>
      <w:r>
        <w:rPr>
          <w:i/>
          <w:iCs/>
          <w:color w:val="666660"/>
          <w:sz w:val="18"/>
          <w:szCs w:val="18"/>
        </w:rPr>
        <w:t xml:space="preserve">Côté professionnel — pensé pour tablette</w:t>
      </w:r>
    </w:p>
    <w:p>
      <w:pPr>
        <w:spacing w:after="140"/>
      </w:pPr>
      <w:r>
        <w:t xml:space="preserve">Grands boutons produits pour un ajout rapide pendant qu'un client est en face, options du dernier produit sélectionné affichées immédiatement en dessous, récapitulatif et bouton d'encaissement toujours visibles à droite.</w:t>
      </w:r>
    </w:p>
    <w:p>
      <w:pPr>
        <w:pStyle w:val="Heading1"/>
        <w:spacing w:after="160" w:before="320"/>
      </w:pPr>
      <w:r>
        <w:t xml:space="preserve">5. Point à traiter en priorité — gestion de la capacité de production</w:t>
      </w:r>
    </w:p>
    <w:p>
      <w:pPr>
        <w:spacing w:after="140"/>
      </w:pPr>
      <w:r>
        <w:t xml:space="preserve">Sans limite, un établissement pourrait se retrouver avec une commande disproportionnée pour sa capacité réelle (par exemple 1000 tiramisù pour un même créneau). Cette gestion doit être pilotée par le professionnel lui-même, produit par produit et créneau par créneau.</w:t>
      </w:r>
    </w:p>
    <w:p>
      <w:pPr>
        <w:pStyle w:val="ListParagraph"/>
        <w:numPr>
          <w:ilvl w:val="0"/>
          <w:numId w:val="1"/>
        </w:numPr>
        <w:spacing w:after="60"/>
      </w:pPr>
      <w:r>
        <w:t xml:space="preserve">Chaque produit du catalogue peut recevoir une quantité maximale par jour et/ou par créneau, définie par le traiteur (dans l'écran de gestion du catalogue).</w:t>
      </w:r>
    </w:p>
    <w:p>
      <w:pPr>
        <w:pStyle w:val="ListParagraph"/>
        <w:numPr>
          <w:ilvl w:val="0"/>
          <w:numId w:val="1"/>
        </w:numPr>
        <w:spacing w:after="60"/>
      </w:pPr>
      <w:r>
        <w:t xml:space="preserve">Dès que le seuil est atteint, le produit devient indisponible à la commande pour le créneau concerné côté client, sans intervention manuelle.</w:t>
      </w:r>
    </w:p>
    <w:p>
      <w:pPr>
        <w:pStyle w:val="ListParagraph"/>
        <w:numPr>
          <w:ilvl w:val="0"/>
          <w:numId w:val="1"/>
        </w:numPr>
        <w:spacing w:after="60"/>
      </w:pPr>
      <w:r>
        <w:t xml:space="preserve">Le traiteur reçoit une alerte lorsqu'un produit approche de sa capacité maximale, pour pouvoir l'ajuster si besoin (jour exceptionnel, renfort en cuisine, etc.).</w:t>
      </w:r>
    </w:p>
    <w:p>
      <w:pPr>
        <w:pStyle w:val="ListParagraph"/>
        <w:numPr>
          <w:ilvl w:val="0"/>
          <w:numId w:val="1"/>
        </w:numPr>
        <w:spacing w:after="60"/>
      </w:pPr>
      <w:r>
        <w:t xml:space="preserve">À affiner : la capacité peut aussi se définir de façon globale (nombre total de commandes ou de couverts par créneau), en complément d'une limite par produit.</w:t>
      </w:r>
    </w:p>
    <w:p>
      <w:pPr>
        <w:spacing w:after="140"/>
      </w:pPr>
      <w:r>
        <w:t xml:space="preserve">Ce point conditionne une partie de l'écran de gestion du catalogue et du dashboard planning déjà maquettés — un réglage de capacité par produit sera à ajouter à ces deux écrans avant le développement.</w:t>
      </w:r>
    </w:p>
    <w:p>
      <w:pPr>
        <w:pStyle w:val="Heading1"/>
        <w:spacing w:after="160" w:before="320"/>
      </w:pPr>
      <w:r>
        <w:t xml:space="preserve">6. Multi-entité et facturation inter-sociétés</w:t>
      </w:r>
    </w:p>
    <w:p>
      <w:pPr>
        <w:spacing w:after="140"/>
      </w:pPr>
      <w:r>
        <w:t xml:space="preserve">Certains établissements opèrent avec deux sociétés juridiquement distinctes (par exemple une Boutique Sàrl et un Traiteur SA). Lorsqu'une commande vendue par l'une est en réalité exécutée par l'autre (la Boutique prépare une commande traiteur, ou inversement), deux principes s'appliquent :</w:t>
      </w:r>
    </w:p>
    <w:p>
      <w:pPr>
        <w:pStyle w:val="ListParagraph"/>
        <w:numPr>
          <w:ilvl w:val="0"/>
          <w:numId w:val="1"/>
        </w:numPr>
        <w:spacing w:after="60"/>
      </w:pPr>
      <w:r>
        <w:t xml:space="preserve">Le paiement va toujours directement au compte Stripe de l'entité qui a vendu — jamais d'argent détenu ou transféré entre les deux sociétés via la plateforme, pour rester en dehors du champ de la LBA (voir section 2.2).</w:t>
      </w:r>
    </w:p>
    <w:p>
      <w:pPr>
        <w:pStyle w:val="ListParagraph"/>
        <w:numPr>
          <w:ilvl w:val="0"/>
          <w:numId w:val="1"/>
        </w:numPr>
        <w:spacing w:after="60"/>
      </w:pPr>
      <w:r>
        <w:t xml:space="preserve">L'entité qui exécute réellement la commande doit ensuite être remboursée par l'entité qui a vendu, pour le montant plein facturé au client — via une facture de service classique entre les deux sociétés, hors plateforme de paiement.</w:t>
      </w:r>
    </w:p>
    <w:p>
      <w:pPr>
        <w:spacing w:after="140"/>
      </w:pPr>
      <w:r>
        <w:t xml:space="preserve">Ce suivi est entièrement automatique : chaque membre d'équipe est rattaché à une entité (A ou B) dans son profil. Dès qu'une tâche ou un lot de production est assigné à cette personne (écran de répartition des tâches), le système sait quelle entité a réellement exécuté la commande, sans action manuelle supplémentaire. Un écran récapitulatif filtrable par période liste alors automatiquement toutes les commandes concernées et le montant total dû, prêt à générer la facture inter-entités correspondante.</w:t>
      </w:r>
    </w:p>
    <w:p>
      <w:pPr>
        <w:spacing w:after="140"/>
      </w:pPr>
      <w:r>
        <w:t xml:space="preserve">Point à faire valider par un fiduciaire/juriste suisse : le traitement TVA de cette facturation de service entre deux sociétés distinctes.</w:t>
      </w:r>
    </w:p>
    <w:p>
      <w:pPr>
        <w:pStyle w:val="Heading1"/>
        <w:spacing w:after="160" w:before="320"/>
      </w:pPr>
      <w:r>
        <w:t xml:space="preserve">7. Remboursement client et politique de commission</w:t>
      </w:r>
    </w:p>
    <w:p>
      <w:pPr>
        <w:spacing w:after="140"/>
      </w:pPr>
      <w:r>
        <w:t xml:space="preserve">Lorsqu'un professionnel modifie une commande déjà payée (ex. le client appelle pour réduire sa commande) et que le nouveau total est inférieur à ce qui a déjà été réglé, un remboursement partiel est déclenché automatiquement via l'API Stripe, pour la différence exacte — sans action manuelle de la part du traiteur au-delà de l'ajustement des quantités.</w:t>
      </w:r>
    </w:p>
    <w:p>
      <w:pPr>
        <w:pStyle w:val="ListParagraph"/>
        <w:numPr>
          <w:ilvl w:val="0"/>
          <w:numId w:val="1"/>
        </w:numPr>
        <w:spacing w:after="60"/>
      </w:pPr>
      <w:r>
        <w:t xml:space="preserve">La commission de la plateforme reste acquise intégralement, même en cas de remboursement partiel (paramètre Stripe refund_application_fee: false) : le travail d'intermédiation a déjà eu lieu au moment de la commande initiale.</w:t>
      </w:r>
    </w:p>
    <w:p>
      <w:pPr>
        <w:pStyle w:val="Heading1"/>
        <w:spacing w:after="160" w:before="320"/>
      </w:pPr>
      <w:r>
        <w:t xml:space="preserve">8. Facturation indépendante du système comptable du traiteur</w:t>
      </w:r>
    </w:p>
    <w:p>
      <w:pPr>
        <w:spacing w:after="140"/>
      </w:pPr>
      <w:r>
        <w:t xml:space="preserve">Les factures et reçus générés automatiquement par la plateforme restent des documents PDF autonomes, conformes aux mentions légales suisses, sans dépendre d'un outil de facturation tiers. Chaque traiteur utilisant probablement déjà son propre logiciel de comptabilité, un export des données (CSV a minima) doit être prévu pour permettre l'import dans les outils courants du marché suisse (Bexio, Banana Comptabilité, Abacus) — afin de ne jamais forcer un établissement à changer de système comptable pour adopter l'outil.</w:t>
      </w:r>
    </w:p>
    <w:p>
      <w:pPr>
        <w:pStyle w:val="Heading1"/>
        <w:spacing w:after="160" w:before="320"/>
      </w:pPr>
      <w:r>
        <w:t xml:space="preserve">9. Concurrence sur la capacité de production</w:t>
      </w:r>
    </w:p>
    <w:p>
      <w:pPr>
        <w:spacing w:after="140"/>
      </w:pPr>
      <w:r>
        <w:t xml:space="preserve">La réservation de capacité (section 5) doit être atomique : vérification et décrémentation en une seule opération transactionnelle en base de données, verrouillée dès l'ajout au panier plutôt qu'au seul moment du paiement. Une réservation non confirmée doit expirer après un délai court (ex. 10 minutes) pour libérer la capacité si le client abandonne avant de payer. Sans cette précaution, deux clients pourraient réserver simultanément le même dernier créneau disponible.</w:t>
      </w:r>
    </w:p>
    <w:p>
      <w:pPr>
        <w:pStyle w:val="Heading1"/>
        <w:spacing w:after="160" w:before="320"/>
      </w:pPr>
      <w:r>
        <w:t xml:space="preserve">10. Politique d'annulation</w:t>
      </w:r>
    </w:p>
    <w:p>
      <w:pPr>
        <w:spacing w:after="140"/>
      </w:pPr>
      <w:r>
        <w:t xml:space="preserve">Configurable par établissement plutôt qu'imposée par la plateforme : délai avant lequel l'acompte reste remboursable à 100% côté client (par défaut proposé : 7 jours avant l'événement, non remboursable sous 48h), distinct du cas où l'établissement lui-même annule une commande — remboursement intégral automatique dans ce cas, quelle que soit l'échéance.</w:t>
      </w:r>
    </w:p>
    <w:p>
      <w:pPr>
        <w:pStyle w:val="Heading1"/>
        <w:spacing w:after="160" w:before="320"/>
      </w:pPr>
      <w:r>
        <w:t xml:space="preserve">11. Notifications</w:t>
      </w:r>
    </w:p>
    <w:p>
      <w:pPr>
        <w:spacing w:after="140"/>
      </w:pPr>
      <w:r>
        <w:t xml:space="preserve">Événements à déclencher automatiquement, par email et/ou notification push selon le destinataire :</w:t>
      </w:r>
    </w:p>
    <w:p>
      <w:pPr>
        <w:pStyle w:val="ListParagraph"/>
        <w:numPr>
          <w:ilvl w:val="0"/>
          <w:numId w:val="1"/>
        </w:numPr>
        <w:spacing w:after="60"/>
      </w:pPr>
      <w:r>
        <w:t xml:space="preserve">Client : confirmation de commande, rappel avant retrait, confirmation de modification ou de remboursement.</w:t>
      </w:r>
    </w:p>
    <w:p>
      <w:pPr>
        <w:pStyle w:val="ListParagraph"/>
        <w:numPr>
          <w:ilvl w:val="0"/>
          <w:numId w:val="1"/>
        </w:numPr>
        <w:spacing w:after="60"/>
      </w:pPr>
      <w:r>
        <w:t xml:space="preserve">Professionnel : nouvelle commande reçue, produit approchant sa capacité maximale (déjà visible sur le dashboard), tâche assignée à un employé.</w:t>
      </w:r>
    </w:p>
    <w:p>
      <w:pPr>
        <w:pStyle w:val="Heading1"/>
        <w:spacing w:after="160" w:before="320"/>
      </w:pPr>
      <w:r>
        <w:t xml:space="preserve">12. Protection des données (nLPD)</w:t>
      </w:r>
    </w:p>
    <w:p>
      <w:pPr>
        <w:spacing w:after="140"/>
      </w:pPr>
      <w:r>
        <w:t xml:space="preserve">Chaque établissement héberge des données clients (nom, contact, historique de commandes) sur l'infrastructure centrale de la plateforme. Une politique de confidentialité type et une séparation stricte des données entre établissements sont à formaliser avant le premier client réel — la séparation technique est déjà cohérente avec l'architecture multi-tenant retenue, il s'agit surtout de la documenter formellement.</w:t>
      </w:r>
    </w:p>
    <w:p>
      <w:pPr>
        <w:pStyle w:val="Heading1"/>
        <w:spacing w:after="160" w:before="320"/>
      </w:pPr>
      <w:r>
        <w:t xml:space="preserve">13. Parcours d'inscription d'un nouvel établissement</w:t>
      </w:r>
    </w:p>
    <w:p>
      <w:pPr>
        <w:spacing w:after="140"/>
      </w:pPr>
      <w:r>
        <w:t xml:space="preserve">Non couvert par les maquettes centrées sur le fonctionnement une fois un traiteur configuré : le parcours d'arrivée d'un nouvel établissement (informations, connexion Stripe, personnalisation de la page, catalogue de départ) devient prioritaire dès que la plateforme dépasse le stade du client pilote unique, pour ne pas rester dépendant d'une configuration manuelle de chaque nouveau client.</w:t>
      </w:r>
    </w:p>
    <w:p>
      <w:pPr>
        <w:pStyle w:val="Heading1"/>
        <w:spacing w:after="160" w:before="320"/>
      </w:pPr>
      <w:r>
        <w:t xml:space="preserve">14. Tableau de bord plateforme</w:t>
      </w:r>
    </w:p>
    <w:p>
      <w:pPr>
        <w:spacing w:after="140"/>
      </w:pPr>
      <w:r>
        <w:t xml:space="preserve">Vue d'ensemble pour le porteur du projet — établissements actifs, commission cumulée, volume traité, statut de connexion Stripe par établissement. Non prioritaire avec un seul traiteur pilote, mais nécessaire dès 3-4 établissements actifs.</w:t>
      </w:r>
    </w:p>
    <w:p>
      <w:pPr>
        <w:pStyle w:val="Heading1"/>
        <w:spacing w:after="160" w:before="320"/>
      </w:pPr>
      <w:r>
        <w:t xml:space="preserve">15. Prochaines étapes</w:t>
      </w:r>
    </w:p>
    <w:p>
      <w:pPr>
        <w:pStyle w:val="ListParagraph"/>
        <w:numPr>
          <w:ilvl w:val="0"/>
          <w:numId w:val="1"/>
        </w:numPr>
        <w:spacing w:after="60"/>
      </w:pPr>
      <w:r>
        <w:t xml:space="preserve">Récupérer la charte graphique définitive de LabTraiteur Da Michele (logo, couleurs, typographies)</w:t>
      </w:r>
    </w:p>
    <w:p>
      <w:pPr>
        <w:pStyle w:val="ListParagraph"/>
        <w:numPr>
          <w:ilvl w:val="0"/>
          <w:numId w:val="1"/>
        </w:numPr>
        <w:spacing w:after="60"/>
      </w:pPr>
      <w:r>
        <w:t xml:space="preserve">Définir le modèle de données (établissements, catalogue, commandes, créneaux, capacité, entités, lots de production)</w:t>
      </w:r>
    </w:p>
    <w:p>
      <w:pPr>
        <w:pStyle w:val="ListParagraph"/>
        <w:numPr>
          <w:ilvl w:val="0"/>
          <w:numId w:val="1"/>
        </w:numPr>
        <w:spacing w:after="60"/>
      </w:pPr>
      <w:r>
        <w:t xml:space="preserve">Réfléchir au modèle de tarification pour les futurs traiteurs clients</w:t>
      </w:r>
    </w:p>
    <w:p>
      <w:pPr>
        <w:pStyle w:val="ListParagraph"/>
        <w:numPr>
          <w:ilvl w:val="0"/>
          <w:numId w:val="1"/>
        </w:numPr>
        <w:spacing w:after="60"/>
      </w:pPr>
      <w:r>
        <w:t xml:space="preserve">Faire valider par un juriste/fiduciaire suisse : TVA de la facturation pour compte de tiers, statut LBA, politique de confidentialité nLPD</w:t>
      </w:r>
    </w:p>
    <w:p>
      <w:pPr>
        <w:pStyle w:val="ListParagraph"/>
        <w:numPr>
          <w:ilvl w:val="0"/>
          <w:numId w:val="1"/>
        </w:numPr>
        <w:spacing w:after="60"/>
      </w:pPr>
      <w:r>
        <w:t xml:space="preserve">Concevoir en détail le parcours d'inscription d'un nouvel établissement (écran 17) avant d'ouvrir la plateforme à d'autres traiteurs que LabTraiteur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2026-09-14T07:50:20.872Z</dcterms:created>
  <dcterms:modified xsi:type="dcterms:W3CDTF">2026-09-14T07:50:20.881Z</dcterms:modified>
</cp:coreProperties>
</file>

<file path=docProps/custom.xml><?xml version="1.0" encoding="utf-8"?>
<Properties xmlns="http://schemas.openxmlformats.org/officeDocument/2006/custom-properties" xmlns:vt="http://schemas.openxmlformats.org/officeDocument/2006/docPropsVTypes"/>
</file>