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shd w:fill="1F3864" w:val="clear"/>
        <w:spacing w:after="0" w:before="0"/>
        <w:jc w:val="center"/>
      </w:pPr>
      <w:r>
        <w:rPr>
          <w:rFonts w:ascii="Arial" w:cs="Arial" w:eastAsia="Arial" w:hAnsi="Arial"/>
          <w:sz w:val="8"/>
          <w:szCs w:val="8"/>
        </w:rPr>
        <w:t xml:space="preserve">  </w:t>
      </w:r>
    </w:p>
    <w:p>
      <w:pPr>
        <w:shd w:fill="1F3864" w:val="clear"/>
        <w:spacing w:after="0" w:before="200"/>
        <w:ind w:left="400" w:right="400"/>
        <w:jc w:val="center"/>
      </w:pPr>
      <w:r>
        <w:rPr>
          <w:rFonts w:ascii="Arial" w:cs="Arial" w:eastAsia="Arial" w:hAnsi="Arial"/>
          <w:b w:val="false"/>
          <w:bCs w:val="false"/>
          <w:color w:val="BDD7EE"/>
          <w:sz w:val="22"/>
          <w:szCs w:val="22"/>
        </w:rPr>
        <w:t xml:space="preserve">Projet Electronique — 2024/2025</w:t>
      </w:r>
    </w:p>
    <w:p>
      <w:pPr>
        <w:shd w:fill="1F3864" w:val="clear"/>
        <w:spacing w:after="0" w:before="120"/>
        <w:ind w:left="400" w:right="400"/>
        <w:jc w:val="center"/>
      </w:pPr>
      <w:r>
        <w:rPr>
          <w:rFonts w:ascii="Arial" w:cs="Arial" w:eastAsia="Arial" w:hAnsi="Arial"/>
          <w:b/>
          <w:bCs/>
          <w:color w:val="FFFFFF"/>
          <w:sz w:val="52"/>
          <w:szCs w:val="52"/>
        </w:rPr>
        <w:t xml:space="preserve">Chargeur de Batteries Li-ion / LiPo</w:t>
      </w:r>
    </w:p>
    <w:p>
      <w:pPr>
        <w:shd w:fill="1F3864" w:val="clear"/>
        <w:spacing w:after="0" w:before="140"/>
        <w:ind w:left="400" w:right="400"/>
        <w:jc w:val="center"/>
      </w:pPr>
      <w:r>
        <w:rPr>
          <w:rFonts w:ascii="Arial" w:cs="Arial" w:eastAsia="Arial" w:hAnsi="Arial"/>
          <w:i/>
          <w:iCs/>
          <w:color w:val="BDD7EE"/>
          <w:sz w:val="26"/>
          <w:szCs w:val="26"/>
        </w:rPr>
        <w:t xml:space="preserve">Analyse du Cycle de Vie — Inventaire des composants</w:t>
      </w:r>
    </w:p>
    <w:p>
      <w:pPr>
        <w:shd w:fill="1F3864" w:val="clear"/>
        <w:spacing w:after="200" w:before="200"/>
        <w:jc w:val="center"/>
      </w:pPr>
      <w:r>
        <w:rPr>
          <w:rFonts w:ascii="Arial" w:cs="Arial" w:eastAsia="Arial" w:hAnsi="Arial"/>
          <w:sz w:val="8"/>
          <w:szCs w:val="8"/>
        </w:rPr>
        <w:t xml:space="preserve">  </w:t>
      </w:r>
    </w:p>
    <w:p>
      <w:pPr>
        <w:shd w:fill="2E5FA3" w:val="clear"/>
        <w:spacing w:after="0" w:before="0"/>
        <w:jc w:val="center"/>
      </w:pPr>
      <w:r>
        <w:rPr>
          <w:rFonts w:ascii="Arial" w:cs="Arial" w:eastAsia="Arial" w:hAnsi="Arial"/>
          <w:sz w:val="8"/>
          <w:szCs w:val="8"/>
        </w:rPr>
        <w:t xml:space="preserve">  </w:t>
      </w:r>
    </w:p>
    <w:p>
      <w:pPr>
        <w:spacing w:after="0" w:before="1440"/>
      </w:pPr>
      <w:r>
        <w:t xml:space="preserve"/>
      </w:r>
    </w:p>
    <w:p>
      <w:pPr>
        <w:jc w:val="center"/>
      </w:pPr>
      <w:r>
        <w:rPr>
          <w:rFonts w:ascii="Arial" w:cs="Arial" w:eastAsia="Arial" w:hAnsi="Arial"/>
          <w:i/>
          <w:iCs/>
          <w:color w:val="666666"/>
          <w:sz w:val="22"/>
          <w:szCs w:val="22"/>
        </w:rPr>
        <w:t xml:space="preserve">Document réalisé dans le cadre du cours d’Analyse du Cycle de Vie</w:t>
      </w:r>
    </w:p>
    <w:p>
      <w:pPr>
        <w:spacing w:before="80"/>
        <w:jc w:val="center"/>
      </w:pPr>
      <w:r>
        <w:rPr>
          <w:rFonts w:ascii="Arial" w:cs="Arial" w:eastAsia="Arial" w:hAnsi="Arial"/>
          <w:color w:val="999999"/>
          <w:sz w:val="20"/>
          <w:szCs w:val="20"/>
        </w:rPr>
        <w:t xml:space="preserve">2024 — Tous droits réservés</w:t>
      </w:r>
    </w:p>
    <w:p>
      <w:r>
        <w:br w:type="page"/>
      </w:r>
    </w:p>
    <w:p>
      <w:pPr>
        <w:pStyle w:val="Heading1"/>
        <w:shd w:fill="1F3864" w:val="clear"/>
        <w:spacing w:after="200" w:before="300"/>
        <w:ind w:left="200"/>
      </w:pPr>
      <w:r>
        <w:rPr>
          <w:rFonts w:ascii="Arial" w:cs="Arial" w:eastAsia="Arial" w:hAnsi="Arial"/>
          <w:b/>
          <w:bCs/>
          <w:color w:val="FFFFFF"/>
          <w:sz w:val="36"/>
          <w:szCs w:val="36"/>
        </w:rPr>
        <w:t xml:space="preserve">1. Description du Projet</w:t>
      </w:r>
    </w:p>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1.1 Contexte et Objectifs</w:t>
      </w:r>
    </w:p>
    <w:p>
      <w:pPr>
        <w:spacing w:after="80" w:before="80"/>
        <w:jc w:val="left"/>
      </w:pPr>
      <w:r>
        <w:rPr>
          <w:rFonts w:ascii="Arial" w:cs="Arial" w:eastAsia="Arial" w:hAnsi="Arial"/>
          <w:b w:val="false"/>
          <w:bCs w:val="false"/>
          <w:i w:val="false"/>
          <w:iCs w:val="false"/>
          <w:color w:val="000000"/>
          <w:sz w:val="22"/>
          <w:szCs w:val="22"/>
        </w:rPr>
        <w:t xml:space="preserve">L’objectif de ce projet est de concevoir un chargeur de batteries intelligent, multi-sources et multi-chimies, destiné aux cellules au lithium (Li-ion et LiPo). Le système vise à exploiter des technologies clés telles que la gestion d’alimentation depuis sources hétérogènes (USB, panneau solaire, 12V), la mesure précise de l’état de charge par fuel gauge, la communication I2C et la visualisation temps réel des paramètres de charge.</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Le projet repose sur une architecture deux cartes :</w:t>
      </w:r>
    </w:p>
    <w:p>
      <w:pPr>
        <w:pStyle w:val="ListParagraph"/>
        <w:numPr>
          <w:ilvl w:val="0"/>
          <w:numId w:val="2"/>
        </w:numPr>
        <w:spacing w:after="60" w:before="60"/>
      </w:pPr>
      <w:r>
        <w:rPr>
          <w:rFonts w:ascii="Arial" w:cs="Arial" w:eastAsia="Arial" w:hAnsi="Arial"/>
          <w:color w:val="000000"/>
          <w:sz w:val="22"/>
          <w:szCs w:val="22"/>
        </w:rPr>
        <w:t xml:space="preserve">Une carte chargeur, intégrant la gestion de charge (CN3765), la protection batterie (BMS) et la conversion d’alimentation.</w:t>
      </w:r>
    </w:p>
    <w:p>
      <w:pPr>
        <w:pStyle w:val="ListParagraph"/>
        <w:numPr>
          <w:ilvl w:val="0"/>
          <w:numId w:val="2"/>
        </w:numPr>
        <w:spacing w:after="60" w:before="60"/>
      </w:pPr>
      <w:r>
        <w:rPr>
          <w:rFonts w:ascii="Arial" w:cs="Arial" w:eastAsia="Arial" w:hAnsi="Arial"/>
          <w:color w:val="000000"/>
          <w:sz w:val="22"/>
          <w:szCs w:val="22"/>
        </w:rPr>
        <w:t xml:space="preserve">Une carte contrôle &amp; mesure, intégrant le fuel gauge MAX17055, le microcontrôleur ESP32 et l’interface de visualisation.</w:t>
      </w:r>
    </w:p>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1.2 Sources d’Alimentation</w:t>
      </w:r>
    </w:p>
    <w:p>
      <w:pPr>
        <w:spacing w:after="80" w:before="80"/>
        <w:jc w:val="left"/>
      </w:pPr>
      <w:r>
        <w:rPr>
          <w:rFonts w:ascii="Arial" w:cs="Arial" w:eastAsia="Arial" w:hAnsi="Arial"/>
          <w:b w:val="false"/>
          <w:bCs w:val="false"/>
          <w:i w:val="false"/>
          <w:iCs w:val="false"/>
          <w:color w:val="000000"/>
          <w:sz w:val="22"/>
          <w:szCs w:val="22"/>
        </w:rPr>
        <w:t xml:space="preserve">Le système accepte trois sources d’alimentation distinctes, assurant une grande flexibilité d’usage :</w:t>
      </w:r>
    </w:p>
    <w:p>
      <w:pPr>
        <w:pStyle w:val="ListParagraph"/>
        <w:numPr>
          <w:ilvl w:val="0"/>
          <w:numId w:val="2"/>
        </w:numPr>
        <w:spacing w:after="60" w:before="60"/>
      </w:pPr>
      <w:r>
        <w:rPr>
          <w:rFonts w:ascii="Arial" w:cs="Arial" w:eastAsia="Arial" w:hAnsi="Arial"/>
          <w:color w:val="000000"/>
          <w:sz w:val="22"/>
          <w:szCs w:val="22"/>
        </w:rPr>
        <w:t xml:space="preserve">Alimentation USB 5V — via connecteur USB (Type-C ou Micro-USB), pour une connexion universelle et simplifiée.</w:t>
      </w:r>
    </w:p>
    <w:p>
      <w:pPr>
        <w:pStyle w:val="ListParagraph"/>
        <w:numPr>
          <w:ilvl w:val="0"/>
          <w:numId w:val="2"/>
        </w:numPr>
        <w:spacing w:after="60" w:before="60"/>
      </w:pPr>
      <w:r>
        <w:rPr>
          <w:rFonts w:ascii="Arial" w:cs="Arial" w:eastAsia="Arial" w:hAnsi="Arial"/>
          <w:color w:val="000000"/>
          <w:sz w:val="22"/>
          <w:szCs w:val="22"/>
        </w:rPr>
        <w:t xml:space="preserve">Alimentation panneau solaire — tension variable jusqu’à 28V max. Gérée par le CN3765 qui intègre un suivi du point de puissance maximale (MPPT) pour optimiser l’extraction d’énergie au cours de la journée.</w:t>
      </w:r>
    </w:p>
    <w:p>
      <w:pPr>
        <w:pStyle w:val="ListParagraph"/>
        <w:numPr>
          <w:ilvl w:val="0"/>
          <w:numId w:val="2"/>
        </w:numPr>
        <w:spacing w:after="60" w:before="60"/>
      </w:pPr>
      <w:r>
        <w:rPr>
          <w:rFonts w:ascii="Arial" w:cs="Arial" w:eastAsia="Arial" w:hAnsi="Arial"/>
          <w:color w:val="000000"/>
          <w:sz w:val="22"/>
          <w:szCs w:val="22"/>
        </w:rPr>
        <w:t xml:space="preserve">Alimentation 12V externe — source DC fixe pour un usage en atelier ou véhicule.</w:t>
      </w:r>
    </w:p>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1.3 Chimies de Batteries Supportées</w:t>
      </w:r>
    </w:p>
    <w:p>
      <w:pPr>
        <w:spacing w:after="80" w:before="80"/>
        <w:jc w:val="left"/>
      </w:pPr>
      <w:r>
        <w:rPr>
          <w:rFonts w:ascii="Arial" w:cs="Arial" w:eastAsia="Arial" w:hAnsi="Arial"/>
          <w:b w:val="false"/>
          <w:bCs w:val="false"/>
          <w:i w:val="false"/>
          <w:iCs w:val="false"/>
          <w:color w:val="000000"/>
          <w:sz w:val="22"/>
          <w:szCs w:val="22"/>
        </w:rPr>
        <w:t xml:space="preserve">Le projet est dimensionné pour les chimies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2E5FA3" w:sz="8"/>
              <w:left w:val="single" w:color="2E5FA3" w:sz="8"/>
              <w:bottom w:val="single" w:color="2E5FA3" w:sz="8"/>
              <w:right w:val="single" w:color="2E5FA3" w:sz="8"/>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Chimie</w:t>
            </w:r>
          </w:p>
        </w:tc>
        <w:tc>
          <w:tcPr>
            <w:tcW w:type="dxa" w:w="1600"/>
            <w:tcBorders>
              <w:top w:val="single" w:color="2E5FA3" w:sz="8"/>
              <w:left w:val="single" w:color="2E5FA3" w:sz="8"/>
              <w:bottom w:val="single" w:color="2E5FA3" w:sz="8"/>
              <w:right w:val="single" w:color="2E5FA3" w:sz="8"/>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Tension nominale</w:t>
            </w:r>
          </w:p>
        </w:tc>
        <w:tc>
          <w:tcPr>
            <w:tcW w:type="dxa" w:w="1600"/>
            <w:tcBorders>
              <w:top w:val="single" w:color="2E5FA3" w:sz="8"/>
              <w:left w:val="single" w:color="2E5FA3" w:sz="8"/>
              <w:bottom w:val="single" w:color="2E5FA3" w:sz="8"/>
              <w:right w:val="single" w:color="2E5FA3" w:sz="8"/>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Tension de charge</w:t>
            </w:r>
          </w:p>
        </w:tc>
        <w:tc>
          <w:tcPr>
            <w:tcW w:type="dxa" w:w="4160"/>
            <w:tcBorders>
              <w:top w:val="single" w:color="2E5FA3" w:sz="8"/>
              <w:left w:val="single" w:color="2E5FA3" w:sz="8"/>
              <w:bottom w:val="single" w:color="2E5FA3" w:sz="8"/>
              <w:right w:val="single" w:color="2E5FA3" w:sz="8"/>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Particularités</w:t>
            </w:r>
          </w:p>
        </w:tc>
      </w:tr>
      <w:tr>
        <w:tc>
          <w:tcPr>
            <w:tcW w:type="dxa" w:w="20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Li-ion</w:t>
            </w:r>
          </w:p>
        </w:tc>
        <w:tc>
          <w:tcPr>
            <w:tcW w:type="dxa" w:w="16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 V</w:t>
            </w:r>
          </w:p>
        </w:tc>
        <w:tc>
          <w:tcPr>
            <w:tcW w:type="dxa" w:w="16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 V</w:t>
            </w:r>
          </w:p>
        </w:tc>
        <w:tc>
          <w:tcPr>
            <w:tcW w:type="dxa" w:w="41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Haute densité énergétique, sensible à la surcharge, méthode CC-CV</w:t>
            </w:r>
          </w:p>
        </w:tc>
      </w:tr>
      <w:tr>
        <w:tc>
          <w:tcPr>
            <w:tcW w:type="dxa" w:w="20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LiPo</w:t>
            </w:r>
          </w:p>
        </w:tc>
        <w:tc>
          <w:tcPr>
            <w:tcW w:type="dxa" w:w="16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 V</w:t>
            </w:r>
          </w:p>
        </w:tc>
        <w:tc>
          <w:tcPr>
            <w:tcW w:type="dxa" w:w="16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 V</w:t>
            </w:r>
          </w:p>
        </w:tc>
        <w:tc>
          <w:tcPr>
            <w:tcW w:type="dxa" w:w="41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Légèreté, flexibilité de forme, risque de gonflement en cas de surcharge</w:t>
            </w:r>
          </w:p>
        </w:tc>
      </w:tr>
      <w:tr>
        <w:tc>
          <w:tcPr>
            <w:tcW w:type="dxa" w:w="2000"/>
            <w:tcBorders>
              <w:top w:val="single" w:color="C0C0C0" w:sz="4"/>
              <w:left w:val="single" w:color="C0C0C0" w:sz="4"/>
              <w:bottom w:val="single" w:color="C0C0C0" w:sz="4"/>
              <w:right w:val="single" w:color="C0C0C0" w:sz="4"/>
            </w:tcBorders>
            <w:shd w:fill="DEEAF1"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LiFePO4 (option)</w:t>
            </w:r>
          </w:p>
        </w:tc>
        <w:tc>
          <w:tcPr>
            <w:tcW w:type="dxa" w:w="1600"/>
            <w:tcBorders>
              <w:top w:val="single" w:color="C0C0C0" w:sz="4"/>
              <w:left w:val="single" w:color="C0C0C0" w:sz="4"/>
              <w:bottom w:val="single" w:color="C0C0C0" w:sz="4"/>
              <w:right w:val="single" w:color="C0C0C0"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 V</w:t>
            </w:r>
          </w:p>
        </w:tc>
        <w:tc>
          <w:tcPr>
            <w:tcW w:type="dxa" w:w="1600"/>
            <w:tcBorders>
              <w:top w:val="single" w:color="C0C0C0" w:sz="4"/>
              <w:left w:val="single" w:color="C0C0C0" w:sz="4"/>
              <w:bottom w:val="single" w:color="C0C0C0" w:sz="4"/>
              <w:right w:val="single" w:color="C0C0C0"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3,65 V</w:t>
            </w:r>
          </w:p>
        </w:tc>
        <w:tc>
          <w:tcPr>
            <w:tcW w:type="dxa" w:w="4160"/>
            <w:tcBorders>
              <w:top w:val="single" w:color="C0C0C0" w:sz="4"/>
              <w:left w:val="single" w:color="C0C0C0" w:sz="4"/>
              <w:bottom w:val="single" w:color="C0C0C0" w:sz="4"/>
              <w:right w:val="single" w:color="C0C0C0"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Excellente stabilité thermique, longue durée de vie, extension future du projet</w:t>
            </w:r>
          </w:p>
        </w:tc>
      </w:tr>
    </w:tbl>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1.4 Composants Clés du Projet</w:t>
      </w:r>
    </w:p>
    <w:p>
      <w:pPr>
        <w:pStyle w:val="Heading3"/>
        <w:pBdr>
          <w:bottom w:val="single" w:color="BDD7EE" w:sz="4" w:space="2"/>
        </w:pBdr>
        <w:spacing w:after="120" w:before="180"/>
      </w:pPr>
      <w:r>
        <w:rPr>
          <w:rFonts w:ascii="Arial" w:cs="Arial" w:eastAsia="Arial" w:hAnsi="Arial"/>
          <w:b/>
          <w:bCs/>
          <w:color w:val="1F3864"/>
          <w:sz w:val="24"/>
          <w:szCs w:val="24"/>
        </w:rPr>
        <w:t xml:space="preserve">CN3765 — Contrôleur de charge solaire / DC</w:t>
      </w:r>
    </w:p>
    <w:p>
      <w:pPr>
        <w:spacing w:after="80" w:before="80"/>
        <w:jc w:val="left"/>
      </w:pPr>
      <w:r>
        <w:rPr>
          <w:rFonts w:ascii="Arial" w:cs="Arial" w:eastAsia="Arial" w:hAnsi="Arial"/>
          <w:b w:val="false"/>
          <w:bCs w:val="false"/>
          <w:i w:val="false"/>
          <w:iCs w:val="false"/>
          <w:color w:val="000000"/>
          <w:sz w:val="22"/>
          <w:szCs w:val="22"/>
        </w:rPr>
        <w:t xml:space="preserve">Le CN3765 est un circuit intégré de gestion de charge pour cellules Li-ion/LiPo, spécialement conçu pour les applications à source d’énergie solaire. Il supporte une tension d’entrée jusqu’à 28V et met en œuvre la méthode de charge CC-CV avec transition automatique. Ses fonctions principales incluent :</w:t>
      </w:r>
    </w:p>
    <w:p>
      <w:pPr>
        <w:pStyle w:val="ListParagraph"/>
        <w:numPr>
          <w:ilvl w:val="0"/>
          <w:numId w:val="2"/>
        </w:numPr>
        <w:spacing w:after="60" w:before="60"/>
      </w:pPr>
      <w:r>
        <w:rPr>
          <w:rFonts w:ascii="Arial" w:cs="Arial" w:eastAsia="Arial" w:hAnsi="Arial"/>
          <w:color w:val="000000"/>
          <w:sz w:val="22"/>
          <w:szCs w:val="22"/>
        </w:rPr>
        <w:t xml:space="preserve">Suivi du point de puissance maximale (MPPT) pour panneau solaire.</w:t>
      </w:r>
    </w:p>
    <w:p>
      <w:pPr>
        <w:pStyle w:val="ListParagraph"/>
        <w:numPr>
          <w:ilvl w:val="0"/>
          <w:numId w:val="2"/>
        </w:numPr>
        <w:spacing w:after="60" w:before="60"/>
      </w:pPr>
      <w:r>
        <w:rPr>
          <w:rFonts w:ascii="Arial" w:cs="Arial" w:eastAsia="Arial" w:hAnsi="Arial"/>
          <w:color w:val="000000"/>
          <w:sz w:val="22"/>
          <w:szCs w:val="22"/>
        </w:rPr>
        <w:t xml:space="preserve">Programmation du courant de charge par résistances externes (1A cible).</w:t>
      </w:r>
    </w:p>
    <w:p>
      <w:pPr>
        <w:pStyle w:val="ListParagraph"/>
        <w:numPr>
          <w:ilvl w:val="0"/>
          <w:numId w:val="2"/>
        </w:numPr>
        <w:spacing w:after="60" w:before="60"/>
      </w:pPr>
      <w:r>
        <w:rPr>
          <w:rFonts w:ascii="Arial" w:cs="Arial" w:eastAsia="Arial" w:hAnsi="Arial"/>
          <w:color w:val="000000"/>
          <w:sz w:val="22"/>
          <w:szCs w:val="22"/>
        </w:rPr>
        <w:t xml:space="preserve">Protection contre la surcharge et la sur-décharge de la cellule.</w:t>
      </w:r>
    </w:p>
    <w:p>
      <w:pPr>
        <w:pStyle w:val="ListParagraph"/>
        <w:numPr>
          <w:ilvl w:val="0"/>
          <w:numId w:val="2"/>
        </w:numPr>
        <w:spacing w:after="60" w:before="60"/>
      </w:pPr>
      <w:r>
        <w:rPr>
          <w:rFonts w:ascii="Arial" w:cs="Arial" w:eastAsia="Arial" w:hAnsi="Arial"/>
          <w:color w:val="000000"/>
          <w:sz w:val="22"/>
          <w:szCs w:val="22"/>
        </w:rPr>
        <w:t xml:space="preserve">Indication d’état de charge via broches dédiées (CHRG, DONE).</w:t>
      </w:r>
    </w:p>
    <w:p>
      <w:pPr>
        <w:pStyle w:val="ListParagraph"/>
        <w:numPr>
          <w:ilvl w:val="0"/>
          <w:numId w:val="2"/>
        </w:numPr>
        <w:spacing w:after="60" w:before="60"/>
      </w:pPr>
      <w:r>
        <w:rPr>
          <w:rFonts w:ascii="Arial" w:cs="Arial" w:eastAsia="Arial" w:hAnsi="Arial"/>
          <w:color w:val="000000"/>
          <w:sz w:val="22"/>
          <w:szCs w:val="22"/>
        </w:rPr>
        <w:t xml:space="preserve">Boitier CMS compact (SOP-8), compatible avec les contraintes d’assemblage du projet.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2"/>
              <w:left w:val="single" w:color="2E5FA3" w:sz="24"/>
              <w:bottom w:val="single" w:color="2E5FA3" w:sz="6"/>
              <w:right w:val="single" w:color="BDD7EE" w:sz="4"/>
            </w:tcBorders>
            <w:shd w:fill="DEEAF1" w:val="clear"/>
            <w:tcMar>
              <w:top w:type="dxa" w:w="120"/>
              <w:left w:type="dxa" w:w="200"/>
              <w:bottom w:type="dxa" w:w="120"/>
              <w:right w:type="dxa" w:w="200"/>
            </w:tcMar>
          </w:tcPr>
          <w:p>
            <w:r>
              <w:rPr>
                <w:rFonts w:ascii="Arial" w:cs="Arial" w:eastAsia="Arial" w:hAnsi="Arial"/>
                <w:b/>
                <w:bCs/>
                <w:color w:val="1F3864"/>
                <w:sz w:val="20"/>
                <w:szCs w:val="20"/>
              </w:rPr>
              <w:t xml:space="preserve">Avantage clé CN3765</w:t>
            </w:r>
          </w:p>
          <w:p>
            <w:r>
              <w:rPr>
                <w:rFonts w:ascii="Arial" w:cs="Arial" w:eastAsia="Arial" w:hAnsi="Arial"/>
                <w:color w:val="000000"/>
                <w:sz w:val="20"/>
                <w:szCs w:val="20"/>
              </w:rPr>
              <w:t xml:space="preserve">Grâce à son entrée large tension (jusqu'à 28V) et sa gestion MPPT native, le CN3765 est le composant central permettant de connecter directement un panneau solaire sans étage de conversion supplémentaire, simplifiant ainsi le BOM et réduisant les coûts.</w:t>
            </w:r>
          </w:p>
        </w:tc>
      </w:tr>
    </w:tbl>
    <w:p>
      <w:pPr>
        <w:spacing w:after="60" w:before="60"/>
      </w:pPr>
      <w:r>
        <w:t xml:space="preserve"/>
      </w:r>
    </w:p>
    <w:p>
      <w:pPr>
        <w:pStyle w:val="Heading3"/>
        <w:pBdr>
          <w:bottom w:val="single" w:color="BDD7EE" w:sz="4" w:space="2"/>
        </w:pBdr>
        <w:spacing w:after="120" w:before="180"/>
      </w:pPr>
      <w:r>
        <w:rPr>
          <w:rFonts w:ascii="Arial" w:cs="Arial" w:eastAsia="Arial" w:hAnsi="Arial"/>
          <w:b/>
          <w:bCs/>
          <w:color w:val="1F3864"/>
          <w:sz w:val="24"/>
          <w:szCs w:val="24"/>
        </w:rPr>
        <w:t xml:space="preserve">MAX17055 — Fuel Gauge (Jauge de carburant Li+)</w:t>
      </w:r>
    </w:p>
    <w:p>
      <w:pPr>
        <w:spacing w:after="80" w:before="80"/>
        <w:jc w:val="left"/>
      </w:pPr>
      <w:r>
        <w:rPr>
          <w:rFonts w:ascii="Arial" w:cs="Arial" w:eastAsia="Arial" w:hAnsi="Arial"/>
          <w:b w:val="false"/>
          <w:bCs w:val="false"/>
          <w:i w:val="false"/>
          <w:iCs w:val="false"/>
          <w:color w:val="000000"/>
          <w:sz w:val="22"/>
          <w:szCs w:val="22"/>
        </w:rPr>
        <w:t xml:space="preserve">Le MAX17055 est un fuel gauge de précision de Maxim Integrated (désormais Analog Devices), conçu pour les applications mono-cellule Li-ion / LiPo. Il communique via le bus I2C avec l’ESP32 et fournit en temps réel :</w:t>
      </w:r>
    </w:p>
    <w:p>
      <w:pPr>
        <w:pStyle w:val="ListParagraph"/>
        <w:numPr>
          <w:ilvl w:val="0"/>
          <w:numId w:val="2"/>
        </w:numPr>
        <w:spacing w:after="60" w:before="60"/>
      </w:pPr>
      <w:r>
        <w:rPr>
          <w:rFonts w:ascii="Arial" w:cs="Arial" w:eastAsia="Arial" w:hAnsi="Arial"/>
          <w:color w:val="000000"/>
          <w:sz w:val="22"/>
          <w:szCs w:val="22"/>
        </w:rPr>
        <w:t xml:space="preserve">L’état de charge (SoC) en pourcentage, avec algorithme ModelGauge m5.</w:t>
      </w:r>
    </w:p>
    <w:p>
      <w:pPr>
        <w:pStyle w:val="ListParagraph"/>
        <w:numPr>
          <w:ilvl w:val="0"/>
          <w:numId w:val="2"/>
        </w:numPr>
        <w:spacing w:after="60" w:before="60"/>
      </w:pPr>
      <w:r>
        <w:rPr>
          <w:rFonts w:ascii="Arial" w:cs="Arial" w:eastAsia="Arial" w:hAnsi="Arial"/>
          <w:color w:val="000000"/>
          <w:sz w:val="22"/>
          <w:szCs w:val="22"/>
        </w:rPr>
        <w:t xml:space="preserve">La tension de la cellule (précision ±1,25 mV).</w:t>
      </w:r>
    </w:p>
    <w:p>
      <w:pPr>
        <w:pStyle w:val="ListParagraph"/>
        <w:numPr>
          <w:ilvl w:val="0"/>
          <w:numId w:val="2"/>
        </w:numPr>
        <w:spacing w:after="60" w:before="60"/>
      </w:pPr>
      <w:r>
        <w:rPr>
          <w:rFonts w:ascii="Arial" w:cs="Arial" w:eastAsia="Arial" w:hAnsi="Arial"/>
          <w:color w:val="000000"/>
          <w:sz w:val="22"/>
          <w:szCs w:val="22"/>
        </w:rPr>
        <w:t xml:space="preserve">Le courant de charge / décharge (via résistance de shunt externe 10 mΩ).</w:t>
      </w:r>
    </w:p>
    <w:p>
      <w:pPr>
        <w:pStyle w:val="ListParagraph"/>
        <w:numPr>
          <w:ilvl w:val="0"/>
          <w:numId w:val="2"/>
        </w:numPr>
        <w:spacing w:after="60" w:before="60"/>
      </w:pPr>
      <w:r>
        <w:rPr>
          <w:rFonts w:ascii="Arial" w:cs="Arial" w:eastAsia="Arial" w:hAnsi="Arial"/>
          <w:color w:val="000000"/>
          <w:sz w:val="22"/>
          <w:szCs w:val="22"/>
        </w:rPr>
        <w:t xml:space="preserve">Le temps restant avant charge complète (Time to Full) ou avant décharge (Time to Empty).</w:t>
      </w:r>
    </w:p>
    <w:p>
      <w:pPr>
        <w:pStyle w:val="ListParagraph"/>
        <w:numPr>
          <w:ilvl w:val="0"/>
          <w:numId w:val="2"/>
        </w:numPr>
        <w:spacing w:after="60" w:before="60"/>
      </w:pPr>
      <w:r>
        <w:rPr>
          <w:rFonts w:ascii="Arial" w:cs="Arial" w:eastAsia="Arial" w:hAnsi="Arial"/>
          <w:color w:val="000000"/>
          <w:sz w:val="22"/>
          <w:szCs w:val="22"/>
        </w:rPr>
        <w:t xml:space="preserve">L’état de santé de la batterie (SoH).</w:t>
      </w:r>
    </w:p>
    <w:p>
      <w:pPr>
        <w:pStyle w:val="ListParagraph"/>
        <w:numPr>
          <w:ilvl w:val="0"/>
          <w:numId w:val="2"/>
        </w:numPr>
        <w:spacing w:after="60" w:before="60"/>
      </w:pPr>
      <w:r>
        <w:rPr>
          <w:rFonts w:ascii="Arial" w:cs="Arial" w:eastAsia="Arial" w:hAnsi="Arial"/>
          <w:color w:val="000000"/>
          <w:sz w:val="22"/>
          <w:szCs w:val="22"/>
        </w:rPr>
        <w:t xml:space="preserve">Des alertes configurables (SoC critique, tension min/max, température).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2"/>
              <w:left w:val="single" w:color="2E5FA3" w:sz="24"/>
              <w:bottom w:val="single" w:color="2E5FA3" w:sz="6"/>
              <w:right w:val="single" w:color="BDD7EE" w:sz="4"/>
            </w:tcBorders>
            <w:shd w:fill="DEEAF1" w:val="clear"/>
            <w:tcMar>
              <w:top w:type="dxa" w:w="120"/>
              <w:left w:type="dxa" w:w="200"/>
              <w:bottom w:type="dxa" w:w="120"/>
              <w:right w:type="dxa" w:w="200"/>
            </w:tcMar>
          </w:tcPr>
          <w:p>
            <w:r>
              <w:rPr>
                <w:rFonts w:ascii="Arial" w:cs="Arial" w:eastAsia="Arial" w:hAnsi="Arial"/>
                <w:b/>
                <w:bCs/>
                <w:color w:val="1F3864"/>
                <w:sz w:val="20"/>
                <w:szCs w:val="20"/>
              </w:rPr>
              <w:t xml:space="preserve">Avantage clé MAX17055</w:t>
            </w:r>
          </w:p>
          <w:p>
            <w:r>
              <w:rPr>
                <w:rFonts w:ascii="Arial" w:cs="Arial" w:eastAsia="Arial" w:hAnsi="Arial"/>
                <w:color w:val="000000"/>
                <w:sz w:val="20"/>
                <w:szCs w:val="20"/>
              </w:rPr>
              <w:t xml:space="preserve">L'algorithme ModelGauge m5 EZ ne nécessite pas de cycle d'apprentissage et s'auto-calibre sur la chimie déclarée (Li-ion / LiPo). Le composant fonctionne dès 2,7V et consomme moins de 7 µA en mode actif, ce qui le rend idéal pour les applications sur batterie.</w:t>
            </w:r>
          </w:p>
        </w:tc>
      </w:tr>
    </w:tbl>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1.5 Système de Contrôle et Affichage</w:t>
      </w:r>
    </w:p>
    <w:p>
      <w:pPr>
        <w:spacing w:after="80" w:before="80"/>
        <w:jc w:val="left"/>
      </w:pPr>
      <w:r>
        <w:rPr>
          <w:rFonts w:ascii="Arial" w:cs="Arial" w:eastAsia="Arial" w:hAnsi="Arial"/>
          <w:b w:val="false"/>
          <w:bCs w:val="false"/>
          <w:i w:val="false"/>
          <w:iCs w:val="false"/>
          <w:color w:val="000000"/>
          <w:sz w:val="22"/>
          <w:szCs w:val="22"/>
        </w:rPr>
        <w:t xml:space="preserve">Un microcontrôleur ESP32 avec écran intégré est chargé de lire les données du MAX17055 via I2C et d’afficher en temps réel : le taux de charge (%), la tension de cellule, le courant de charge, le temps écoulé depuis le début de la charge et le temps restant estimé jusqu’à la charge complète.</w:t>
      </w:r>
    </w:p>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1.6 Exigences de Conception</w:t>
      </w:r>
    </w:p>
    <w:p>
      <w:pPr>
        <w:spacing w:after="80" w:before="80"/>
        <w:jc w:val="left"/>
      </w:pPr>
      <w:r>
        <w:rPr>
          <w:rFonts w:ascii="Arial" w:cs="Arial" w:eastAsia="Arial" w:hAnsi="Arial"/>
          <w:b w:val="false"/>
          <w:bCs w:val="false"/>
          <w:i w:val="false"/>
          <w:iCs w:val="false"/>
          <w:color w:val="000000"/>
          <w:sz w:val="22"/>
          <w:szCs w:val="22"/>
        </w:rPr>
        <w:t xml:space="preserve">Les contraintes de conception suivantes s’appliquent à l’ensemble du projet :</w:t>
      </w:r>
    </w:p>
    <w:p>
      <w:pPr>
        <w:pStyle w:val="ListParagraph"/>
        <w:numPr>
          <w:ilvl w:val="0"/>
          <w:numId w:val="2"/>
        </w:numPr>
        <w:spacing w:after="60" w:before="60"/>
      </w:pPr>
      <w:r>
        <w:rPr>
          <w:rFonts w:ascii="Arial" w:cs="Arial" w:eastAsia="Arial" w:hAnsi="Arial"/>
          <w:color w:val="000000"/>
          <w:sz w:val="22"/>
          <w:szCs w:val="22"/>
        </w:rPr>
        <w:t xml:space="preserve">Composants principalement CMS (Composants Montés en Surface) pour minimiser l’encombrement.</w:t>
      </w:r>
    </w:p>
    <w:p>
      <w:pPr>
        <w:pStyle w:val="ListParagraph"/>
        <w:numPr>
          <w:ilvl w:val="0"/>
          <w:numId w:val="2"/>
        </w:numPr>
        <w:spacing w:after="60" w:before="60"/>
      </w:pPr>
      <w:r>
        <w:rPr>
          <w:rFonts w:ascii="Arial" w:cs="Arial" w:eastAsia="Arial" w:hAnsi="Arial"/>
          <w:color w:val="000000"/>
          <w:sz w:val="22"/>
          <w:szCs w:val="22"/>
        </w:rPr>
        <w:t xml:space="preserve">Exclusion des boîtiers BGA, pour faciliter les mesures et l’assemblage manuel.</w:t>
      </w:r>
    </w:p>
    <w:p>
      <w:pPr>
        <w:pStyle w:val="ListParagraph"/>
        <w:numPr>
          <w:ilvl w:val="0"/>
          <w:numId w:val="2"/>
        </w:numPr>
        <w:spacing w:after="60" w:before="60"/>
      </w:pPr>
      <w:r>
        <w:rPr>
          <w:rFonts w:ascii="Arial" w:cs="Arial" w:eastAsia="Arial" w:hAnsi="Arial"/>
          <w:color w:val="000000"/>
          <w:sz w:val="22"/>
          <w:szCs w:val="22"/>
        </w:rPr>
        <w:t xml:space="preserve">Courant de charge imposé : 1A par cellule.</w:t>
      </w:r>
    </w:p>
    <w:p>
      <w:pPr>
        <w:pStyle w:val="ListParagraph"/>
        <w:numPr>
          <w:ilvl w:val="0"/>
          <w:numId w:val="2"/>
        </w:numPr>
        <w:spacing w:after="60" w:before="60"/>
      </w:pPr>
      <w:r>
        <w:rPr>
          <w:rFonts w:ascii="Arial" w:cs="Arial" w:eastAsia="Arial" w:hAnsi="Arial"/>
          <w:color w:val="000000"/>
          <w:sz w:val="22"/>
          <w:szCs w:val="22"/>
        </w:rPr>
        <w:t xml:space="preserve">Capacité des cellules cible : entre 5 et 7 Ah.</w:t>
      </w:r>
    </w:p>
    <w:p>
      <w:pPr>
        <w:pStyle w:val="ListParagraph"/>
        <w:numPr>
          <w:ilvl w:val="0"/>
          <w:numId w:val="2"/>
        </w:numPr>
        <w:spacing w:after="60" w:before="60"/>
      </w:pPr>
      <w:r>
        <w:rPr>
          <w:rFonts w:ascii="Arial" w:cs="Arial" w:eastAsia="Arial" w:hAnsi="Arial"/>
          <w:color w:val="000000"/>
          <w:sz w:val="22"/>
          <w:szCs w:val="22"/>
        </w:rPr>
        <w:t xml:space="preserve">Conception modulaire et reproductible, orientée low-cost.</w:t>
      </w:r>
    </w:p>
    <w:p>
      <w:pPr>
        <w:pStyle w:val="ListParagraph"/>
        <w:numPr>
          <w:ilvl w:val="0"/>
          <w:numId w:val="2"/>
        </w:numPr>
        <w:spacing w:after="60" w:before="60"/>
      </w:pPr>
      <w:r>
        <w:rPr>
          <w:rFonts w:ascii="Arial" w:cs="Arial" w:eastAsia="Arial" w:hAnsi="Arial"/>
          <w:color w:val="000000"/>
          <w:sz w:val="22"/>
          <w:szCs w:val="22"/>
        </w:rPr>
        <w:t xml:space="preserve">Documentation complète pour faciliter la reproductibilité à grande échelle.</w:t>
      </w:r>
    </w:p>
    <w:p>
      <w:r>
        <w:br w:type="page"/>
      </w:r>
    </w:p>
    <w:p>
      <w:pPr>
        <w:pStyle w:val="Heading1"/>
        <w:shd w:fill="1F3864" w:val="clear"/>
        <w:spacing w:after="200" w:before="300"/>
        <w:ind w:left="200"/>
      </w:pPr>
      <w:r>
        <w:rPr>
          <w:rFonts w:ascii="Arial" w:cs="Arial" w:eastAsia="Arial" w:hAnsi="Arial"/>
          <w:b/>
          <w:bCs/>
          <w:color w:val="FFFFFF"/>
          <w:sz w:val="36"/>
          <w:szCs w:val="36"/>
        </w:rPr>
        <w:t xml:space="preserve">2. Définition de l’Unité Fonctionnelle (UF)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24"/>
              <w:left w:val="single" w:color="1F3864" w:sz="48"/>
              <w:bottom w:val="single" w:color="2E5FA3" w:sz="24"/>
              <w:right w:val="single" w:color="BDD7EE" w:sz="8"/>
            </w:tcBorders>
            <w:shd w:fill="DEEAF1" w:val="clear"/>
            <w:tcMar>
              <w:top w:type="dxa" w:w="240"/>
              <w:left w:type="dxa" w:w="360"/>
              <w:bottom w:type="dxa" w:w="240"/>
              <w:right w:type="dxa" w:w="240"/>
            </w:tcMar>
          </w:tcPr>
          <w:p>
            <w:pPr>
              <w:spacing w:after="120" w:before="60"/>
            </w:pPr>
            <w:r>
              <w:rPr>
                <w:rFonts w:ascii="Arial" w:cs="Arial" w:eastAsia="Arial" w:hAnsi="Arial"/>
                <w:b/>
                <w:bCs/>
                <w:color w:val="1F3864"/>
                <w:sz w:val="22"/>
                <w:szCs w:val="22"/>
              </w:rPr>
              <w:t xml:space="preserve">Définition de l’Unité Fonctionnelle</w:t>
            </w:r>
          </w:p>
          <w:p>
            <w:pPr>
              <w:spacing w:after="80" w:before="0"/>
            </w:pPr>
            <w:r>
              <w:rPr>
                <w:rFonts w:ascii="Arial" w:cs="Arial" w:eastAsia="Arial" w:hAnsi="Arial"/>
                <w:b w:val="false"/>
                <w:bCs w:val="false"/>
                <w:i/>
                <w:iCs/>
                <w:color w:val="1F3864"/>
                <w:sz w:val="24"/>
                <w:szCs w:val="24"/>
              </w:rPr>
              <w:t xml:space="preserve">« Charger une cellule Li-ion ou LiPo de capacité comprise entre 5 et 7 Ah, depuis une source d’énergie variable (panneau solaire jusqu’à 28V, alimentation 12V ou USB 5V), avec un courant de charge de 1A, en assurant la protection intégrale de la cellule (surcharge, surintensité, surchauffe) et la surveillance en temps réel de l’état de charge (état de charge, tension, courant, temps restant) pendant une durée de service du système de 5 ans (environ 500 cycles de charge). »</w:t>
            </w:r>
          </w:p>
        </w:tc>
      </w:tr>
    </w:tbl>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2.1 Décomposition de l’Unité Fonctionnelle</w:t>
      </w:r>
    </w:p>
    <w:p>
      <w:pPr>
        <w:spacing w:after="80" w:before="80"/>
        <w:jc w:val="left"/>
      </w:pPr>
      <w:r>
        <w:rPr>
          <w:rFonts w:ascii="Arial" w:cs="Arial" w:eastAsia="Arial" w:hAnsi="Arial"/>
          <w:b w:val="false"/>
          <w:bCs w:val="false"/>
          <w:i w:val="false"/>
          <w:iCs w:val="false"/>
          <w:color w:val="000000"/>
          <w:sz w:val="22"/>
          <w:szCs w:val="22"/>
        </w:rPr>
        <w:t xml:space="preserve">L’unité fonctionnelle se décompose selon les dimensions suivantes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8"/>
              <w:left w:val="single" w:color="2E5FA3" w:sz="8"/>
              <w:bottom w:val="single" w:color="2E5FA3" w:sz="8"/>
              <w:right w:val="single" w:color="2E5FA3" w:sz="8"/>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6960"/>
            <w:tcBorders>
              <w:top w:val="single" w:color="2E5FA3" w:sz="8"/>
              <w:left w:val="single" w:color="2E5FA3" w:sz="8"/>
              <w:bottom w:val="single" w:color="2E5FA3" w:sz="8"/>
              <w:right w:val="single" w:color="2E5FA3" w:sz="8"/>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Quoi ?</w:t>
            </w:r>
          </w:p>
        </w:tc>
        <w:tc>
          <w:tcPr>
            <w:tcW w:type="dxa" w:w="69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Charger une cellule rechargeable de chimie Li-ion ou LiPo</w:t>
            </w:r>
          </w:p>
        </w:tc>
      </w:tr>
      <w:tr>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Combien ?</w:t>
            </w:r>
          </w:p>
        </w:tc>
        <w:tc>
          <w:tcPr>
            <w:tcW w:type="dxa" w:w="69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cellule, capacité 5 à 7 Ah, courant de charge 1A, tension 3,6V–4,2V</w:t>
            </w:r>
          </w:p>
        </w:tc>
      </w:tr>
      <w:tr>
        <w:tc>
          <w:tcPr>
            <w:tcW w:type="dxa" w:w="2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Comment ?</w:t>
            </w:r>
          </w:p>
        </w:tc>
        <w:tc>
          <w:tcPr>
            <w:tcW w:type="dxa" w:w="69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 CC-CV (courant constant puis tension constante), multi-sources (solaire 28V max / 12V / USB 5V), avec MPPT pour le panneau solaire</w:t>
            </w:r>
          </w:p>
        </w:tc>
      </w:tr>
      <w:tr>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Quelle sécurité ?</w:t>
            </w:r>
          </w:p>
        </w:tc>
        <w:tc>
          <w:tcPr>
            <w:tcW w:type="dxa" w:w="69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Protection surcharge, surintensité, sur-décharge, et surveillance thermique (option NTC). BMS intégré.</w:t>
            </w:r>
          </w:p>
        </w:tc>
      </w:tr>
      <w:tr>
        <w:tc>
          <w:tcPr>
            <w:tcW w:type="dxa" w:w="2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Quelle mesure ?</w:t>
            </w:r>
          </w:p>
        </w:tc>
        <w:tc>
          <w:tcPr>
            <w:tcW w:type="dxa" w:w="69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Fuel gauge MAX17055 via I2C : SoC (%), tension (mV), courant (mA), SoH, Time to Full / Time to Empty</w:t>
            </w:r>
          </w:p>
        </w:tc>
      </w:tr>
      <w:tr>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Quelle durée ?</w:t>
            </w:r>
          </w:p>
        </w:tc>
        <w:tc>
          <w:tcPr>
            <w:tcW w:type="dxa" w:w="69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Durée de service : 5 ans, soit environ 500 cycles de charge complets</w:t>
            </w:r>
          </w:p>
        </w:tc>
      </w:tr>
      <w:tr>
        <w:tc>
          <w:tcPr>
            <w:tcW w:type="dxa" w:w="2400"/>
            <w:tcBorders>
              <w:top w:val="single" w:color="C0C0C0" w:sz="4"/>
              <w:left w:val="single" w:color="C0C0C0" w:sz="4"/>
              <w:bottom w:val="single" w:color="C0C0C0" w:sz="4"/>
              <w:right w:val="single" w:color="C0C0C0" w:sz="4"/>
            </w:tcBorders>
            <w:shd w:fill="DEEAF1"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Périmètre ACV</w:t>
            </w:r>
          </w:p>
        </w:tc>
        <w:tc>
          <w:tcPr>
            <w:tcW w:type="dxa" w:w="6960"/>
            <w:tcBorders>
              <w:top w:val="single" w:color="C0C0C0" w:sz="4"/>
              <w:left w:val="single" w:color="C0C0C0" w:sz="4"/>
              <w:bottom w:val="single" w:color="C0C0C0" w:sz="4"/>
              <w:right w:val="single" w:color="C0C0C0"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Fabrication des composants électroniques, assemblage PCB, utilisation du système (consommation électrique en charge), fin de vie (recyclage PCB et composants)</w:t>
            </w:r>
          </w:p>
        </w:tc>
      </w:tr>
    </w:tbl>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2.2 Frontières du Système</w:t>
      </w:r>
    </w:p>
    <w:p>
      <w:pPr>
        <w:spacing w:after="80" w:before="80"/>
        <w:jc w:val="left"/>
      </w:pPr>
      <w:r>
        <w:rPr>
          <w:rFonts w:ascii="Arial" w:cs="Arial" w:eastAsia="Arial" w:hAnsi="Arial"/>
          <w:b w:val="false"/>
          <w:bCs w:val="false"/>
          <w:i w:val="false"/>
          <w:iCs w:val="false"/>
          <w:color w:val="000000"/>
          <w:sz w:val="22"/>
          <w:szCs w:val="22"/>
        </w:rPr>
        <w:t xml:space="preserve">Le périmètre de l’ACV couvre les étapes suivantes du cycle de vie du système chargeur :</w:t>
      </w:r>
    </w:p>
    <w:p>
      <w:pPr>
        <w:pStyle w:val="ListParagraph"/>
        <w:numPr>
          <w:ilvl w:val="0"/>
          <w:numId w:val="2"/>
        </w:numPr>
        <w:spacing w:after="60" w:before="60"/>
      </w:pPr>
      <w:r>
        <w:rPr>
          <w:rFonts w:ascii="Arial" w:cs="Arial" w:eastAsia="Arial" w:hAnsi="Arial"/>
          <w:color w:val="000000"/>
          <w:sz w:val="22"/>
          <w:szCs w:val="22"/>
        </w:rPr>
        <w:t xml:space="preserve">Extraction des matières premières (cuivre, étain, silicium, époxy FR4…).</w:t>
      </w:r>
    </w:p>
    <w:p>
      <w:pPr>
        <w:pStyle w:val="ListParagraph"/>
        <w:numPr>
          <w:ilvl w:val="0"/>
          <w:numId w:val="2"/>
        </w:numPr>
        <w:spacing w:after="60" w:before="60"/>
      </w:pPr>
      <w:r>
        <w:rPr>
          <w:rFonts w:ascii="Arial" w:cs="Arial" w:eastAsia="Arial" w:hAnsi="Arial"/>
          <w:color w:val="000000"/>
          <w:sz w:val="22"/>
          <w:szCs w:val="22"/>
        </w:rPr>
        <w:t xml:space="preserve">Fabrication des composants électroniques (CI, condensateurs, résistances, inductances, PCB).</w:t>
      </w:r>
    </w:p>
    <w:p>
      <w:pPr>
        <w:pStyle w:val="ListParagraph"/>
        <w:numPr>
          <w:ilvl w:val="0"/>
          <w:numId w:val="2"/>
        </w:numPr>
        <w:spacing w:after="60" w:before="60"/>
      </w:pPr>
      <w:r>
        <w:rPr>
          <w:rFonts w:ascii="Arial" w:cs="Arial" w:eastAsia="Arial" w:hAnsi="Arial"/>
          <w:color w:val="000000"/>
          <w:sz w:val="22"/>
          <w:szCs w:val="22"/>
        </w:rPr>
        <w:t xml:space="preserve">Assemblage CMS du circuit imprimé (brasure, test).</w:t>
      </w:r>
    </w:p>
    <w:p>
      <w:pPr>
        <w:pStyle w:val="ListParagraph"/>
        <w:numPr>
          <w:ilvl w:val="0"/>
          <w:numId w:val="2"/>
        </w:numPr>
        <w:spacing w:after="60" w:before="60"/>
      </w:pPr>
      <w:r>
        <w:rPr>
          <w:rFonts w:ascii="Arial" w:cs="Arial" w:eastAsia="Arial" w:hAnsi="Arial"/>
          <w:color w:val="000000"/>
          <w:sz w:val="22"/>
          <w:szCs w:val="22"/>
        </w:rPr>
        <w:t xml:space="preserve">Phase d’utilisation : consommation électrique lors des cycles de charge (500 cycles × énergie par cycle).</w:t>
      </w:r>
    </w:p>
    <w:p>
      <w:pPr>
        <w:pStyle w:val="ListParagraph"/>
        <w:numPr>
          <w:ilvl w:val="0"/>
          <w:numId w:val="2"/>
        </w:numPr>
        <w:spacing w:after="60" w:before="60"/>
      </w:pPr>
      <w:r>
        <w:rPr>
          <w:rFonts w:ascii="Arial" w:cs="Arial" w:eastAsia="Arial" w:hAnsi="Arial"/>
          <w:color w:val="000000"/>
          <w:sz w:val="22"/>
          <w:szCs w:val="22"/>
        </w:rPr>
        <w:t xml:space="preserve">Fin de vie : collecte DEEE, recyclage des métaux, traitement des composants dangereux.</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Sont exclus du périmètre : la fabrication de la cellule batterie elle-même (considérée comme élément extérieur au système), le panneau solaire et les câbles de connexion.</w:t>
      </w:r>
    </w:p>
    <w:p>
      <w:r>
        <w:br w:type="page"/>
      </w:r>
    </w:p>
    <w:p>
      <w:pPr>
        <w:pStyle w:val="Heading1"/>
        <w:shd w:fill="1F3864" w:val="clear"/>
        <w:spacing w:after="200" w:before="300"/>
        <w:ind w:left="200"/>
      </w:pPr>
      <w:r>
        <w:rPr>
          <w:rFonts w:ascii="Arial" w:cs="Arial" w:eastAsia="Arial" w:hAnsi="Arial"/>
          <w:b/>
          <w:bCs/>
          <w:color w:val="FFFFFF"/>
          <w:sz w:val="36"/>
          <w:szCs w:val="36"/>
        </w:rPr>
        <w:t xml:space="preserve">3. Inventaire des Composants — Traduction Ecoinvent</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Le tableau ci-dessous liste l’ensemble des composants utilisés dans le projet, regroupés par bloc fonctionnel (carte), avec leur référence, leur rôle et leur traduction dans la base de données ecoinvent 3.x pour l’inventaire ACV.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2"/>
              <w:left w:val="single" w:color="2E5FA3" w:sz="24"/>
              <w:bottom w:val="single" w:color="2E5FA3" w:sz="6"/>
              <w:right w:val="single" w:color="BDD7EE" w:sz="4"/>
            </w:tcBorders>
            <w:shd w:fill="DEEAF1" w:val="clear"/>
            <w:tcMar>
              <w:top w:type="dxa" w:w="120"/>
              <w:left w:type="dxa" w:w="200"/>
              <w:bottom w:type="dxa" w:w="120"/>
              <w:right w:type="dxa" w:w="200"/>
            </w:tcMar>
          </w:tcPr>
          <w:p>
            <w:r>
              <w:rPr>
                <w:rFonts w:ascii="Arial" w:cs="Arial" w:eastAsia="Arial" w:hAnsi="Arial"/>
                <w:b/>
                <w:bCs/>
                <w:color w:val="1F3864"/>
                <w:sz w:val="20"/>
                <w:szCs w:val="20"/>
              </w:rPr>
              <w:t xml:space="preserve">Note méthodologique</w:t>
            </w:r>
          </w:p>
          <w:p>
            <w:r>
              <w:rPr>
                <w:rFonts w:ascii="Arial" w:cs="Arial" w:eastAsia="Arial" w:hAnsi="Arial"/>
                <w:color w:val="000000"/>
                <w:sz w:val="20"/>
                <w:szCs w:val="20"/>
              </w:rPr>
              <w:t xml:space="preserve">Les entrées ecoinvent utilisées correspondent aux flux de marché ("market for") en unité pièce ou en masse selon le composant. Le système de référence est APOS (Allocation at the Point of Substitution). Les données géographiques sont mondiales {GLO} sauf indication contraire.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200"/>
        <w:gridCol w:w="2760"/>
        <w:gridCol w:w="400"/>
      </w:tblGrid>
      <w:tr>
        <w:trPr>
          <w:tblHeader/>
        </w:trPr>
        <w:tc>
          <w:tcPr>
            <w:tcW w:type="dxa" w:w="1400"/>
            <w:gridSpan w:val="1"/>
            <w:tcBorders>
              <w:top w:val="single" w:color="2E5FA3" w:sz="8"/>
              <w:left w:val="single" w:color="2E5FA3" w:sz="8"/>
              <w:bottom w:val="single" w:color="2E5FA3" w:sz="8"/>
              <w:right w:val="single" w:color="2E5FA3"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Bloc / Carte</w:t>
            </w:r>
          </w:p>
        </w:tc>
        <w:tc>
          <w:tcPr>
            <w:tcW w:type="dxa" w:w="1400"/>
            <w:gridSpan w:val="1"/>
            <w:tcBorders>
              <w:top w:val="single" w:color="2E5FA3" w:sz="8"/>
              <w:left w:val="single" w:color="2E5FA3" w:sz="8"/>
              <w:bottom w:val="single" w:color="2E5FA3" w:sz="8"/>
              <w:right w:val="single" w:color="2E5FA3"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1200"/>
            <w:gridSpan w:val="1"/>
            <w:tcBorders>
              <w:top w:val="single" w:color="2E5FA3" w:sz="8"/>
              <w:left w:val="single" w:color="2E5FA3" w:sz="8"/>
              <w:bottom w:val="single" w:color="2E5FA3" w:sz="8"/>
              <w:right w:val="single" w:color="2E5FA3"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Référence</w:t>
            </w:r>
          </w:p>
        </w:tc>
        <w:tc>
          <w:tcPr>
            <w:tcW w:type="dxa" w:w="2200"/>
            <w:gridSpan w:val="1"/>
            <w:tcBorders>
              <w:top w:val="single" w:color="2E5FA3" w:sz="8"/>
              <w:left w:val="single" w:color="2E5FA3" w:sz="8"/>
              <w:bottom w:val="single" w:color="2E5FA3" w:sz="8"/>
              <w:right w:val="single" w:color="2E5FA3"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 fonctionnel</w:t>
            </w:r>
          </w:p>
        </w:tc>
        <w:tc>
          <w:tcPr>
            <w:tcW w:type="dxa" w:w="2760"/>
            <w:gridSpan w:val="1"/>
            <w:tcBorders>
              <w:top w:val="single" w:color="2E5FA3" w:sz="8"/>
              <w:left w:val="single" w:color="2E5FA3" w:sz="8"/>
              <w:bottom w:val="single" w:color="2E5FA3" w:sz="8"/>
              <w:right w:val="single" w:color="2E5FA3"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Traduction base ecoinvent</w:t>
            </w:r>
          </w:p>
        </w:tc>
        <w:tc>
          <w:tcPr>
            <w:tcW w:type="dxa" w:w="400"/>
            <w:gridSpan w:val="1"/>
            <w:tcBorders>
              <w:top w:val="single" w:color="2E5FA3" w:sz="8"/>
              <w:left w:val="single" w:color="2E5FA3" w:sz="8"/>
              <w:bottom w:val="single" w:color="2E5FA3" w:sz="8"/>
              <w:right w:val="single" w:color="2E5FA3"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Qté</w:t>
            </w:r>
          </w:p>
        </w:tc>
      </w:tr>
      <w:tr>
        <w:tc>
          <w:tcPr>
            <w:gridSpan w:val="6"/>
            <w:tcBorders>
              <w:top w:val="single" w:color="2E5FA3" w:sz="8"/>
              <w:left w:val="single" w:color="2E5FA3" w:sz="8"/>
              <w:bottom w:val="single" w:color="2E5FA3" w:sz="8"/>
              <w:right w:val="single" w:color="2E5FA3" w:sz="8"/>
            </w:tcBorders>
            <w:shd w:fill="DEEAF1" w:val="clear"/>
            <w:tcMar>
              <w:top w:type="dxa" w:w="100"/>
              <w:left w:type="dxa" w:w="200"/>
              <w:bottom w:type="dxa" w:w="100"/>
              <w:right w:type="dxa" w:w="120"/>
            </w:tcMar>
          </w:tcPr>
          <w:p>
            <w:r>
              <w:rPr>
                <w:rFonts w:ascii="Arial" w:cs="Arial" w:eastAsia="Arial" w:hAnsi="Arial"/>
                <w:b/>
                <w:bCs/>
                <w:color w:val="1F3864"/>
                <w:sz w:val="22"/>
                <w:szCs w:val="22"/>
              </w:rPr>
              <w:t xml:space="preserve">Carte Chargeur (Charging Board)</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Chargeur solaire / DC</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Contrôleur de charge</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CN3765</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 de la charge Li-ion/LiPo depuis panneau solaire ou 12V (CC-CV), MPPT intégré, Vin max 28V, Icharge 1A</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Integrated circuit, logic type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Chargeur solaire / DC</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Inductance de puissance</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10 µH, 2A</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Filtre DC-DC pour le convertisseur de charge</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Inductor, ferrite core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Chargeur solaire / DC</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Condensateur filtrage entrée</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10 µF / 50V, CMS</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Filtrage tension d'entrée panneau solaire / 12V</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Capacitor, electrolytic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Chargeur solaire / DC</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Condensateur filtrage sortie</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22 µF / 10V, CMS</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Filtrage tension de sortie vers batterie</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Capacitor, electrolytic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Chargeur solaire / DC</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Résistances de programmation</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CMS 0402, diverses valeurs</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Réglage courant de charge et seuils de tension (CN3765)</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Resistor, through-hole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Chargeur solaire / DC</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Diode de protection</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Schottky, CMS</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Protection contre le courant inverse panneau solaire</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Diode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Régulateur USB 5V</w:t>
            </w:r>
          </w:p>
        </w:tc>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Convertisseur buck/régulateur</w:t>
            </w:r>
          </w:p>
        </w:tc>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LDO ou DC-DC step-down 5V→4.2V</w:t>
            </w:r>
          </w:p>
        </w:tc>
        <w:tc>
          <w:tcPr>
            <w:tcW w:type="dxa" w:w="2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Adaptation de la tension USB 5V pour la charge batterie</w:t>
            </w:r>
          </w:p>
        </w:tc>
        <w:tc>
          <w:tcPr>
            <w:tcW w:type="dxa" w:w="27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Integrated circuit, logic type {GLO}| market for | APOS, S</w:t>
            </w:r>
          </w:p>
        </w:tc>
        <w:tc>
          <w:tcPr>
            <w:tcW w:type="dxa" w:w="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Régulateur USB 5V</w:t>
            </w:r>
          </w:p>
        </w:tc>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Connecteur USB</w:t>
            </w:r>
          </w:p>
        </w:tc>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USB Type-C ou Micro-USB, CMS</w:t>
            </w:r>
          </w:p>
        </w:tc>
        <w:tc>
          <w:tcPr>
            <w:tcW w:type="dxa" w:w="2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Prise d'alimentation 5V depuis source USB</w:t>
            </w:r>
          </w:p>
        </w:tc>
        <w:tc>
          <w:tcPr>
            <w:tcW w:type="dxa" w:w="27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Connector {GLO}| market for | APOS, S</w:t>
            </w:r>
          </w:p>
        </w:tc>
        <w:tc>
          <w:tcPr>
            <w:tcW w:type="dxa" w:w="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Protection batterie (BMS)</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Circuit BMS</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Cellule Li-ion 1S BMS, CMS</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Protection surcharge, surintensité, sur-décharge. Permutation CC-CV</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Integrated circuit, logic type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Protection batterie (BMS)</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MOSFET de protection</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N-channel MOSFET, CMS</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Coupure du courant en cas de défaut (surcharge / surintensité)</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Transistor, metal oxide semiconductor field effect transistor (MOSFET)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Protection batterie (BMS)</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Résistance de shunt</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10 mΩ, CMS 2512</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Mesure du courant de charge pour le BMS</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Resistor, through-hole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Protection batterie (BMS)</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Connecteur batterie</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JST PH 2.0, 2 broches</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Connexion de la cellule Li-ion / LiPo</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Connector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gridSpan w:val="6"/>
            <w:tcBorders>
              <w:top w:val="single" w:color="2E5FA3" w:sz="8"/>
              <w:left w:val="single" w:color="2E5FA3" w:sz="8"/>
              <w:bottom w:val="single" w:color="2E5FA3" w:sz="8"/>
              <w:right w:val="single" w:color="2E5FA3" w:sz="8"/>
            </w:tcBorders>
            <w:shd w:fill="DEEAF1" w:val="clear"/>
            <w:tcMar>
              <w:top w:type="dxa" w:w="100"/>
              <w:left w:type="dxa" w:w="200"/>
              <w:bottom w:type="dxa" w:w="100"/>
              <w:right w:type="dxa" w:w="120"/>
            </w:tcMar>
          </w:tcPr>
          <w:p>
            <w:r>
              <w:rPr>
                <w:rFonts w:ascii="Arial" w:cs="Arial" w:eastAsia="Arial" w:hAnsi="Arial"/>
                <w:b/>
                <w:bCs/>
                <w:color w:val="1F3864"/>
                <w:sz w:val="22"/>
                <w:szCs w:val="22"/>
              </w:rPr>
              <w:t xml:space="preserve">Carte Contrôle &amp; Mesure (Control &amp; Measurement Board)</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Fuel Gauge</w:t>
            </w:r>
          </w:p>
        </w:tc>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Jauge de carburant Li+</w:t>
            </w:r>
          </w:p>
        </w:tc>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MAX17055</w:t>
            </w:r>
          </w:p>
        </w:tc>
        <w:tc>
          <w:tcPr>
            <w:tcW w:type="dxa" w:w="2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Mesure SoC, SoH, courant, tension batterie via I2C. Estimation temps de charge/décharge restant</w:t>
            </w:r>
          </w:p>
        </w:tc>
        <w:tc>
          <w:tcPr>
            <w:tcW w:type="dxa" w:w="27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Integrated circuit, logic type {GLO}| market for | APOS, S</w:t>
            </w:r>
          </w:p>
        </w:tc>
        <w:tc>
          <w:tcPr>
            <w:tcW w:type="dxa" w:w="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Fuel Gauge</w:t>
            </w:r>
          </w:p>
        </w:tc>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Résistance de sens (shunt)</w:t>
            </w:r>
          </w:p>
        </w:tc>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10 mΩ, CMS 0805</w:t>
            </w:r>
          </w:p>
        </w:tc>
        <w:tc>
          <w:tcPr>
            <w:tcW w:type="dxa" w:w="2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Mesure du courant par le MAX17055</w:t>
            </w:r>
          </w:p>
        </w:tc>
        <w:tc>
          <w:tcPr>
            <w:tcW w:type="dxa" w:w="27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Resistor, through-hole {GLO}| market for | APOS, S</w:t>
            </w:r>
          </w:p>
        </w:tc>
        <w:tc>
          <w:tcPr>
            <w:tcW w:type="dxa" w:w="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Fuel Gauge</w:t>
            </w:r>
          </w:p>
        </w:tc>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Condensateurs de découplage</w:t>
            </w:r>
          </w:p>
        </w:tc>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100 nF + 10 µF, CMS 0402</w:t>
            </w:r>
          </w:p>
        </w:tc>
        <w:tc>
          <w:tcPr>
            <w:tcW w:type="dxa" w:w="2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Filtrage alimentation MAX17055</w:t>
            </w:r>
          </w:p>
        </w:tc>
        <w:tc>
          <w:tcPr>
            <w:tcW w:type="dxa" w:w="27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Capacitor, electrolytic {GLO}| market for | APOS, S</w:t>
            </w:r>
          </w:p>
        </w:tc>
        <w:tc>
          <w:tcPr>
            <w:tcW w:type="dxa" w:w="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Fuel Gauge</w:t>
            </w:r>
          </w:p>
        </w:tc>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Résistances pull-up I2C</w:t>
            </w:r>
          </w:p>
        </w:tc>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4.7 kΩ, CMS 0402</w:t>
            </w:r>
          </w:p>
        </w:tc>
        <w:tc>
          <w:tcPr>
            <w:tcW w:type="dxa" w:w="2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Pull-up bus I2C (SDA, SCL) pour communication avec ESP32</w:t>
            </w:r>
          </w:p>
        </w:tc>
        <w:tc>
          <w:tcPr>
            <w:tcW w:type="dxa" w:w="27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Resistor, through-hole {GLO}| market for | APOS, S</w:t>
            </w:r>
          </w:p>
        </w:tc>
        <w:tc>
          <w:tcPr>
            <w:tcW w:type="dxa" w:w="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Microcontrôleur &amp; Affichage</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Module microcontrôleur</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ESP32 (avec écran intégré)</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Traitement des données I2C, affichage SoC / tension / courant / temps restant</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Printed wiring board, for surface-mounted components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Microcontrôleur &amp; Affichage</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Écran LCD / OLED</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0.96" OLED I2C ou LCD TFT</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Affichage des paramètres de charge (%, tension, courant, temps)</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Liquid crystal display, unmounted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Microcontrôleur &amp; Affichage</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Régulateur 3.3V</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LDO 3.3V, CMS (ex. AMS1117-3.3)</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Alimentation de l'ESP32 et des périphériques 3.3V</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Integrated circuit, logic type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Microcontrôleur &amp; Affichage</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Condensateurs découplage</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100 nF + 10 µF, CMS 0402</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Filtrage alimentation ESP32</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Capacitor, electrolytic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Capteur température (option)</w:t>
            </w:r>
          </w:p>
        </w:tc>
        <w:tc>
          <w:tcPr>
            <w:tcW w:type="dxa" w:w="1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Thermistance NTC</w:t>
            </w:r>
          </w:p>
        </w:tc>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NTC 10kΩ, CMS 0402</w:t>
            </w:r>
          </w:p>
        </w:tc>
        <w:tc>
          <w:tcPr>
            <w:tcW w:type="dxa" w:w="2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Surveillance thermique cellule, coupure charge en cas de surchauffe</w:t>
            </w:r>
          </w:p>
        </w:tc>
        <w:tc>
          <w:tcPr>
            <w:tcW w:type="dxa" w:w="27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Resistor, through-hole {GLO}| market for | APOS, S</w:t>
            </w:r>
          </w:p>
        </w:tc>
        <w:tc>
          <w:tcPr>
            <w:tcW w:type="dxa" w:w="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r>
      <w:tr>
        <w:tc>
          <w:tcPr>
            <w:gridSpan w:val="6"/>
            <w:tcBorders>
              <w:top w:val="single" w:color="2E5FA3" w:sz="8"/>
              <w:left w:val="single" w:color="2E5FA3" w:sz="8"/>
              <w:bottom w:val="single" w:color="2E5FA3" w:sz="8"/>
              <w:right w:val="single" w:color="2E5FA3" w:sz="8"/>
            </w:tcBorders>
            <w:shd w:fill="DEEAF1" w:val="clear"/>
            <w:tcMar>
              <w:top w:type="dxa" w:w="100"/>
              <w:left w:type="dxa" w:w="200"/>
              <w:bottom w:type="dxa" w:w="100"/>
              <w:right w:type="dxa" w:w="120"/>
            </w:tcMar>
          </w:tcPr>
          <w:p>
            <w:r>
              <w:rPr>
                <w:rFonts w:ascii="Arial" w:cs="Arial" w:eastAsia="Arial" w:hAnsi="Arial"/>
                <w:b/>
                <w:bCs/>
                <w:color w:val="1F3864"/>
                <w:sz w:val="22"/>
                <w:szCs w:val="22"/>
              </w:rPr>
              <w:t xml:space="preserve">PCB &amp; Assemblage (commun aux deux cartes)</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PCB</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Circuit imprimé double face</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FR4, 1.6 mm, 2 couches, finition HASL</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 mécanique et électrique de tous les composants CMS</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Printed wiring board, for surface-mounted components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PCB</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Brasure CMS</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Sn63Pb37 ou SAC305 (sans plomb)</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Assemblage des composants CMS sur le PCB</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Soldering, during assembling of printed wiring board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
            </w:r>
          </w:p>
        </w:tc>
      </w:tr>
      <w:tr>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PCB</w:t>
            </w:r>
          </w:p>
        </w:tc>
        <w:tc>
          <w:tcPr>
            <w:tcW w:type="dxa" w:w="1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Connecteur inter-cartes</w:t>
            </w:r>
          </w:p>
        </w:tc>
        <w:tc>
          <w:tcPr>
            <w:tcW w:type="dxa" w:w="1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Connecteur 2.54 mm, pin header</w:t>
            </w:r>
          </w:p>
        </w:tc>
        <w:tc>
          <w:tcPr>
            <w:tcW w:type="dxa" w:w="22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Liaison électrique entre la carte chargeur et la carte contrôle</w:t>
            </w:r>
          </w:p>
        </w:tc>
        <w:tc>
          <w:tcPr>
            <w:tcW w:type="dxa" w:w="276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Connector {GLO}| market for | APOS, S</w:t>
            </w:r>
          </w:p>
        </w:tc>
        <w:tc>
          <w:tcPr>
            <w:tcW w:type="dxa" w:w="400"/>
            <w:tcBorders>
              <w:top w:val="single" w:color="C0C0C0" w:sz="4"/>
              <w:left w:val="single" w:color="C0C0C0" w:sz="4"/>
              <w:bottom w:val="single" w:color="C0C0C0" w:sz="4"/>
              <w:right w:val="single" w:color="C0C0C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r>
    </w:tbl>
    <w:p>
      <w:pPr>
        <w:spacing w:after="60" w:before="60"/>
      </w:pPr>
      <w:r>
        <w:t xml:space="preserve"/>
      </w:r>
    </w:p>
    <w:p>
      <w:pPr>
        <w:pStyle w:val="Heading2"/>
        <w:shd w:fill="2E5FA3" w:val="clear"/>
        <w:spacing w:after="160" w:before="240"/>
        <w:ind w:left="200"/>
      </w:pPr>
      <w:r>
        <w:rPr>
          <w:rFonts w:ascii="Arial" w:cs="Arial" w:eastAsia="Arial" w:hAnsi="Arial"/>
          <w:b/>
          <w:bCs/>
          <w:color w:val="FFFFFF"/>
          <w:sz w:val="28"/>
          <w:szCs w:val="28"/>
        </w:rPr>
        <w:t xml:space="preserve">3.1 Notes sur les équivalences Ecoinvent</w:t>
      </w:r>
    </w:p>
    <w:p>
      <w:pPr>
        <w:spacing w:after="80" w:before="80"/>
        <w:jc w:val="left"/>
      </w:pPr>
      <w:r>
        <w:rPr>
          <w:rFonts w:ascii="Arial" w:cs="Arial" w:eastAsia="Arial" w:hAnsi="Arial"/>
          <w:b w:val="false"/>
          <w:bCs w:val="false"/>
          <w:i w:val="false"/>
          <w:iCs w:val="false"/>
          <w:color w:val="000000"/>
          <w:sz w:val="22"/>
          <w:szCs w:val="22"/>
        </w:rPr>
        <w:t xml:space="preserve">Les correspondances appliquées pour les composants principaux sont détaillées ci-après :</w:t>
      </w:r>
    </w:p>
    <w:p>
      <w:pPr>
        <w:pStyle w:val="ListParagraph"/>
        <w:numPr>
          <w:ilvl w:val="0"/>
          <w:numId w:val="2"/>
        </w:numPr>
        <w:spacing w:after="60" w:before="60"/>
      </w:pPr>
      <w:r>
        <w:rPr>
          <w:rFonts w:ascii="Arial" w:cs="Arial" w:eastAsia="Arial" w:hAnsi="Arial"/>
          <w:color w:val="000000"/>
          <w:sz w:val="22"/>
          <w:szCs w:val="22"/>
        </w:rPr>
        <w:t xml:space="preserve">Circuits intégrés (CN3765, MAX17055, BMS, régulateurs) : l’entrée ecoinvent "Integrated circuit, logic type" est retenue comme proxy générique pour les CI numériques / analogiques en boitier CMS. L’unité est la pièce.</w:t>
      </w:r>
    </w:p>
    <w:p>
      <w:pPr>
        <w:pStyle w:val="ListParagraph"/>
        <w:numPr>
          <w:ilvl w:val="0"/>
          <w:numId w:val="2"/>
        </w:numPr>
        <w:spacing w:after="60" w:before="60"/>
      </w:pPr>
      <w:r>
        <w:rPr>
          <w:rFonts w:ascii="Arial" w:cs="Arial" w:eastAsia="Arial" w:hAnsi="Arial"/>
          <w:color w:val="000000"/>
          <w:sz w:val="22"/>
          <w:szCs w:val="22"/>
        </w:rPr>
        <w:t xml:space="preserve">Inductances : l’entrée "Inductor, ferrite core" est utilisée. L’unité est la pièce.</w:t>
      </w:r>
    </w:p>
    <w:p>
      <w:pPr>
        <w:pStyle w:val="ListParagraph"/>
        <w:numPr>
          <w:ilvl w:val="0"/>
          <w:numId w:val="2"/>
        </w:numPr>
        <w:spacing w:after="60" w:before="60"/>
      </w:pPr>
      <w:r>
        <w:rPr>
          <w:rFonts w:ascii="Arial" w:cs="Arial" w:eastAsia="Arial" w:hAnsi="Arial"/>
          <w:color w:val="000000"/>
          <w:sz w:val="22"/>
          <w:szCs w:val="22"/>
        </w:rPr>
        <w:t xml:space="preserve">Condensateurs : l’entrée "Capacitor, electrolytic" est utilisée pour les condensateurs de filtrage. Pour les condensateurs céramiques CMS (découplage), "Capacitor, ceramic, SMD" peut être privilégié si disponible dans la version ecoinvent utilisée.</w:t>
      </w:r>
    </w:p>
    <w:p>
      <w:pPr>
        <w:pStyle w:val="ListParagraph"/>
        <w:numPr>
          <w:ilvl w:val="0"/>
          <w:numId w:val="2"/>
        </w:numPr>
        <w:spacing w:after="60" w:before="60"/>
      </w:pPr>
      <w:r>
        <w:rPr>
          <w:rFonts w:ascii="Arial" w:cs="Arial" w:eastAsia="Arial" w:hAnsi="Arial"/>
          <w:color w:val="000000"/>
          <w:sz w:val="22"/>
          <w:szCs w:val="22"/>
        </w:rPr>
        <w:t xml:space="preserve">Résistances : l’entrée "Resistor, through-hole" est utilisée comme proxy pour les résistances CMS 0402/0805/2512, en l’absence d’une entrée CMS dédiée dans toutes les versions ecoinvent.</w:t>
      </w:r>
    </w:p>
    <w:p>
      <w:pPr>
        <w:pStyle w:val="ListParagraph"/>
        <w:numPr>
          <w:ilvl w:val="0"/>
          <w:numId w:val="2"/>
        </w:numPr>
        <w:spacing w:after="60" w:before="60"/>
      </w:pPr>
      <w:r>
        <w:rPr>
          <w:rFonts w:ascii="Arial" w:cs="Arial" w:eastAsia="Arial" w:hAnsi="Arial"/>
          <w:color w:val="000000"/>
          <w:sz w:val="22"/>
          <w:szCs w:val="22"/>
        </w:rPr>
        <w:t xml:space="preserve">PCB : l’entrée "Printed wiring board, for surface-mounted components" est la plus adaptée pour les cartes CMS double face en FR4. L’unité est le m² ou le kg selon la version ecoinvent.</w:t>
      </w:r>
    </w:p>
    <w:p>
      <w:pPr>
        <w:pStyle w:val="ListParagraph"/>
        <w:numPr>
          <w:ilvl w:val="0"/>
          <w:numId w:val="2"/>
        </w:numPr>
        <w:spacing w:after="60" w:before="60"/>
      </w:pPr>
      <w:r>
        <w:rPr>
          <w:rFonts w:ascii="Arial" w:cs="Arial" w:eastAsia="Arial" w:hAnsi="Arial"/>
          <w:color w:val="000000"/>
          <w:sz w:val="22"/>
          <w:szCs w:val="22"/>
        </w:rPr>
        <w:t xml:space="preserve">Assemblage (brasure) : l’entrée "Soldering, during assembling of printed wiring board" couvre l’étape de refusion / brasure à la vague pour l’assemblage CMS.</w:t>
      </w:r>
    </w:p>
    <w:p>
      <w:pPr>
        <w:pStyle w:val="ListParagraph"/>
        <w:numPr>
          <w:ilvl w:val="0"/>
          <w:numId w:val="2"/>
        </w:numPr>
        <w:spacing w:after="60" w:before="60"/>
      </w:pPr>
      <w:r>
        <w:rPr>
          <w:rFonts w:ascii="Arial" w:cs="Arial" w:eastAsia="Arial" w:hAnsi="Arial"/>
          <w:color w:val="000000"/>
          <w:sz w:val="22"/>
          <w:szCs w:val="22"/>
        </w:rPr>
        <w:t xml:space="preserve">Connecteurs : l’entrée "Connector" est utilisée pour tous les connecteurs (USB, JST, pin headers). L’unité est la pièce.</w:t>
      </w:r>
    </w:p>
    <w:p>
      <w:pPr>
        <w:pStyle w:val="ListParagraph"/>
        <w:numPr>
          <w:ilvl w:val="0"/>
          <w:numId w:val="2"/>
        </w:numPr>
        <w:spacing w:after="60" w:before="60"/>
      </w:pPr>
      <w:r>
        <w:rPr>
          <w:rFonts w:ascii="Arial" w:cs="Arial" w:eastAsia="Arial" w:hAnsi="Arial"/>
          <w:color w:val="000000"/>
          <w:sz w:val="22"/>
          <w:szCs w:val="22"/>
        </w:rPr>
        <w:t xml:space="preserve">Diodes : l’entrée "Diode" couvre les diodes Schottky de protection.</w:t>
      </w:r>
    </w:p>
    <w:p>
      <w:pPr>
        <w:pStyle w:val="ListParagraph"/>
        <w:numPr>
          <w:ilvl w:val="0"/>
          <w:numId w:val="2"/>
        </w:numPr>
        <w:spacing w:after="60" w:before="60"/>
      </w:pPr>
      <w:r>
        <w:rPr>
          <w:rFonts w:ascii="Arial" w:cs="Arial" w:eastAsia="Arial" w:hAnsi="Arial"/>
          <w:color w:val="000000"/>
          <w:sz w:val="22"/>
          <w:szCs w:val="22"/>
        </w:rPr>
        <w:t xml:space="preserve">MOSFET : l’entrée "Transistor, metal oxide semiconductor field effect transistor (MOSFET)" est l’équivalence la plus précise disponible.</w:t>
      </w:r>
    </w:p>
    <w:p>
      <w:pPr>
        <w:pStyle w:val="ListParagraph"/>
        <w:numPr>
          <w:ilvl w:val="0"/>
          <w:numId w:val="2"/>
        </w:numPr>
        <w:spacing w:after="60" w:before="60"/>
      </w:pPr>
      <w:r>
        <w:rPr>
          <w:rFonts w:ascii="Arial" w:cs="Arial" w:eastAsia="Arial" w:hAnsi="Arial"/>
          <w:color w:val="000000"/>
          <w:sz w:val="22"/>
          <w:szCs w:val="22"/>
        </w:rPr>
        <w:t xml:space="preserve">Écran OLED / LCD : l’entrée "Liquid crystal display, unmounted" est utilisée comme proxy pour les écrans de petite taille (0.96").</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Ces équivalences constituent un inventaire à l’échelle du composant. Pour une ACV complète, il conviendra de compléter cet inventaire par les quantités physiques (masses) de chaque composant, la consommation électrique en phase d’utilisation et les scénarios de fin de vie.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2"/>
      </w:pBdr>
      <w:tabs>
        <w:tab w:val="right" w:pos="9360"/>
      </w:tabs>
    </w:pPr>
    <w:r>
      <w:rPr>
        <w:rFonts w:ascii="Arial" w:cs="Arial" w:eastAsia="Arial" w:hAnsi="Arial"/>
        <w:color w:val="888888"/>
        <w:sz w:val="18"/>
        <w:szCs w:val="18"/>
      </w:rPr>
      <w:t xml:space="preserve">Page </w:t>
    </w:r>
    <w:fldSimple w:instr="PAGE"/>
    <w:r>
      <w:rPr>
        <w:rFonts w:ascii="Arial" w:cs="Arial" w:eastAsia="Arial" w:hAnsi="Arial"/>
        <w:color w:val="888888"/>
        <w:sz w:val="18"/>
        <w:szCs w:val="18"/>
      </w:rPr>
      <w:t xml:space="preserve">	Document ACV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pPr>
    <w:r>
      <w:rPr>
        <w:rFonts w:ascii="Arial" w:cs="Arial" w:eastAsia="Arial" w:hAnsi="Arial"/>
        <w:color w:val="888888"/>
        <w:sz w:val="18"/>
        <w:szCs w:val="18"/>
      </w:rPr>
      <w:t xml:space="preserve">Chargeur de Batteries — Analyse de Cycle de Vie</w:t>
    </w:r>
    <w:r>
      <w:rPr>
        <w:rFonts w:ascii="Arial" w:cs="Arial" w:eastAsia="Arial" w:hAnsi="Arial"/>
        <w:sz w:val="18"/>
        <w:szCs w:val="18"/>
      </w:rPr>
      <w:t xml:space="preserve">	</w:t>
    </w:r>
    <w:r>
      <w:rPr>
        <w:rFonts w:ascii="Arial" w:cs="Arial" w:eastAsia="Arial" w:hAnsi="Arial"/>
        <w:color w:val="888888"/>
        <w:sz w:val="18"/>
        <w:szCs w:val="18"/>
      </w:rPr>
      <w:t xml:space="preserve">Projet Electronique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2026-04-21T18:18:22.951Z</dcterms:created>
  <dcterms:modified xsi:type="dcterms:W3CDTF">2026-04-21T18:18:22.951Z</dcterms:modified>
</cp:coreProperties>
</file>

<file path=docProps/custom.xml><?xml version="1.0" encoding="utf-8"?>
<Properties xmlns="http://schemas.openxmlformats.org/officeDocument/2006/custom-properties" xmlns:vt="http://schemas.openxmlformats.org/officeDocument/2006/docPropsVTypes"/>
</file>