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V&amp;P Juristen</w:t>
        <w:br/>
        <w:t>Opzet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pPr>
      <w:r>
        <w:rPr/>
        <w:t>Auteur: Patrick</w:t>
      </w:r>
    </w:p>
    <w:p>
      <w:pPr>
        <w:pStyle w:val="Normal"/>
        <w:jc w:val="left"/>
        <w:rPr/>
      </w:pPr>
      <w:r>
        <w:rPr/>
        <w:t>Versie: 0.0.1</w:t>
        <w:br/>
        <w:t>Opmaak: 12-02-2017</w:t>
        <w:br/>
        <w:t>Plaats: Ede</w:t>
      </w:r>
    </w:p>
    <w:p>
      <w:pPr>
        <w:pStyle w:val="Normal"/>
        <w:jc w:val="center"/>
        <w:rPr/>
      </w:pPr>
      <w:r>
        <w:rPr/>
      </w:r>
    </w:p>
    <w:p>
      <w:pPr>
        <w:pStyle w:val="ContentsHeading"/>
        <w:rPr/>
      </w:pPr>
      <w:r>
        <w:rPr/>
        <w:t>Table of Contents</w:t>
      </w:r>
    </w:p>
    <w:p>
      <w:pPr>
        <w:pStyle w:val="Contents2"/>
        <w:tabs>
          <w:tab w:val="right" w:pos="9355" w:leader="dot"/>
        </w:tabs>
        <w:rPr/>
      </w:pPr>
      <w:r>
        <w:fldChar w:fldCharType="begin"/>
      </w:r>
      <w:r>
        <w:instrText> TOC \f \o "1-9" \h</w:instrText>
      </w:r>
      <w:r>
        <w:fldChar w:fldCharType="separate"/>
      </w:r>
      <w:hyperlink w:anchor="__RefHeading___Toc109_1619856006">
        <w:r>
          <w:rPr>
            <w:rStyle w:val="IndexLink"/>
          </w:rPr>
          <w:t>Personas</w:t>
          <w:tab/>
          <w:t>3</w:t>
        </w:r>
      </w:hyperlink>
    </w:p>
    <w:p>
      <w:pPr>
        <w:pStyle w:val="Contents3"/>
        <w:tabs>
          <w:tab w:val="right" w:pos="9072" w:leader="dot"/>
        </w:tabs>
        <w:rPr/>
      </w:pPr>
      <w:hyperlink w:anchor="__RefHeading___Toc111_1619856006">
        <w:r>
          <w:rPr>
            <w:rStyle w:val="IndexLink"/>
          </w:rPr>
          <w:t>Flow:</w:t>
          <w:tab/>
          <w:t>3</w:t>
        </w:r>
      </w:hyperlink>
    </w:p>
    <w:p>
      <w:pPr>
        <w:pStyle w:val="Contents2"/>
        <w:tabs>
          <w:tab w:val="right" w:pos="9355" w:leader="dot"/>
        </w:tabs>
        <w:rPr/>
      </w:pPr>
      <w:hyperlink w:anchor="__RefHeading___Toc113_1619856006">
        <w:r>
          <w:rPr>
            <w:rStyle w:val="IndexLink"/>
          </w:rPr>
          <w:t>Werkwijze V&amp;P Juristen:</w:t>
          <w:tab/>
          <w:t>3</w:t>
        </w:r>
      </w:hyperlink>
    </w:p>
    <w:p>
      <w:pPr>
        <w:pStyle w:val="Contents2"/>
        <w:tabs>
          <w:tab w:val="right" w:pos="9355" w:leader="dot"/>
        </w:tabs>
        <w:rPr/>
      </w:pPr>
      <w:hyperlink w:anchor="__RefHeading___Toc115_1619856006">
        <w:r>
          <w:rPr>
            <w:rStyle w:val="IndexLink"/>
          </w:rPr>
          <w:t>Verdienmodel:</w:t>
          <w:tab/>
          <w:t>3</w:t>
        </w:r>
      </w:hyperlink>
    </w:p>
    <w:p>
      <w:pPr>
        <w:pStyle w:val="Contents2"/>
        <w:tabs>
          <w:tab w:val="right" w:pos="9355" w:leader="dot"/>
        </w:tabs>
        <w:rPr/>
      </w:pPr>
      <w:hyperlink w:anchor="__RefHeading___Toc117_1619856006">
        <w:r>
          <w:rPr>
            <w:rStyle w:val="IndexLink"/>
          </w:rPr>
          <w:t>Doel:</w:t>
          <w:tab/>
          <w:t>3</w:t>
        </w:r>
      </w:hyperlink>
    </w:p>
    <w:p>
      <w:pPr>
        <w:pStyle w:val="Contents3"/>
        <w:tabs>
          <w:tab w:val="right" w:pos="9072" w:leader="dot"/>
        </w:tabs>
        <w:rPr/>
      </w:pPr>
      <w:hyperlink w:anchor="__RefHeading___Toc119_1619856006">
        <w:r>
          <w:rPr>
            <w:rStyle w:val="IndexLink"/>
          </w:rPr>
          <w:t>Opzet incasso website:</w:t>
          <w:tab/>
          <w:t>3</w:t>
        </w:r>
      </w:hyperlink>
    </w:p>
    <w:p>
      <w:pPr>
        <w:pStyle w:val="Contents2"/>
        <w:tabs>
          <w:tab w:val="right" w:pos="9355" w:leader="dot"/>
        </w:tabs>
        <w:rPr/>
      </w:pPr>
      <w:hyperlink w:anchor="__RefHeading___Toc225_1619856006">
        <w:r>
          <w:rPr>
            <w:rStyle w:val="IndexLink"/>
          </w:rPr>
          <w:t>Openstaande zaken:</w:t>
          <w:tab/>
          <w:t>4</w:t>
        </w:r>
      </w:hyperlink>
      <w:r>
        <w:fldChar w:fldCharType="end"/>
      </w:r>
    </w:p>
    <w:p>
      <w:pPr>
        <w:pStyle w:val="Normal"/>
        <w:jc w:val="left"/>
        <w:rPr/>
      </w:pPr>
      <w:r>
        <w:rPr/>
      </w:r>
      <w:r>
        <w:br w:type="page"/>
      </w:r>
    </w:p>
    <w:p>
      <w:pPr>
        <w:pStyle w:val="Heading2"/>
        <w:numPr>
          <w:ilvl w:val="1"/>
          <w:numId w:val="1"/>
        </w:numPr>
        <w:ind w:left="0" w:hanging="0"/>
        <w:rPr/>
      </w:pPr>
      <w:bookmarkStart w:id="0" w:name="__RefHeading___Toc109_1619856006"/>
      <w:bookmarkEnd w:id="0"/>
      <w:r>
        <w:rPr/>
        <w:t>Personas</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Crediteuren: Crediteuren kunnen natuurlijke personen en rechtspersonen zijn. Een crediteur heeft een vordering op een debiteur en wil deze geïnd hebben. De crediteur kan eerst zelf geprobeerd hebben om de vordering te innen, echter zonder succes.</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Debiteuren: Deze hebben een schuld bij een crediteur. Een debiteur kan een reden hebben om niet te betalen of is het simpelweg vergeten. De reden an niet betalen kan o.a. dat de tegenprestatie niet voldoet aan de verwachtingen.</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Medewerker: Een medewerker werkt aan het dossier met de vordering van een crediteur. De medewerker werkt de status bij en houdt de geschiedenis bij van het dossier. De medewerker stelt in samenspraak met de crediteur een dagvaarding op, indien buitenrechtelijke pogingen niet leiden tot betaling en/of betalingsafspraken.</w:t>
      </w:r>
    </w:p>
    <w:p>
      <w:pPr>
        <w:pStyle w:val="Normal"/>
        <w:rPr>
          <w:rFonts w:ascii="Verdana" w:hAnsi="Verdana"/>
          <w:sz w:val="16"/>
          <w:szCs w:val="16"/>
          <w:lang w:val="nl-NL"/>
        </w:rPr>
      </w:pPr>
      <w:r>
        <w:rPr>
          <w:rFonts w:ascii="Verdana" w:hAnsi="Verdana"/>
          <w:sz w:val="16"/>
          <w:szCs w:val="16"/>
          <w:lang w:val="nl-NL"/>
        </w:rPr>
      </w:r>
    </w:p>
    <w:p>
      <w:pPr>
        <w:pStyle w:val="Heading3"/>
        <w:numPr>
          <w:ilvl w:val="2"/>
          <w:numId w:val="1"/>
        </w:numPr>
        <w:ind w:left="0" w:hanging="0"/>
        <w:rPr/>
      </w:pPr>
      <w:bookmarkStart w:id="1" w:name="__RefHeading___Toc111_1619856006"/>
      <w:bookmarkEnd w:id="1"/>
      <w:r>
        <w:rPr/>
        <w:t>Flow:</w:t>
      </w:r>
    </w:p>
    <w:p>
      <w:pPr>
        <w:pStyle w:val="Normal"/>
        <w:rPr>
          <w:rFonts w:ascii="Verdana" w:hAnsi="Verdana"/>
          <w:sz w:val="16"/>
          <w:szCs w:val="16"/>
          <w:lang w:val="nl-NL"/>
        </w:rPr>
      </w:pPr>
      <w:r>
        <w:rPr>
          <w:rFonts w:ascii="Verdana" w:hAnsi="Verdana"/>
          <w:sz w:val="16"/>
          <w:szCs w:val="16"/>
          <w:lang w:val="nl-NL"/>
        </w:rPr>
        <w:t>Een crediteur en een debiteur gaan een verbintenis aan. De crediteur voldoet zijn prestatie, echter blijft de tegenprestatie uit. De crediteur kan al contact gehad hebben met de debiteur door bijvoorbeeld de debiteurenadministratie of besteedt dit uit. Echter na aanmaningen blijft de tegenprestatie uit. Op dat moment besluit de crediteur om de vordering uit handen te geven aan een incasso bureau.</w:t>
      </w:r>
    </w:p>
    <w:p>
      <w:pPr>
        <w:pStyle w:val="Normal"/>
        <w:rPr>
          <w:rFonts w:ascii="Verdana" w:hAnsi="Verdana"/>
          <w:sz w:val="16"/>
          <w:szCs w:val="16"/>
          <w:lang w:val="nl-NL"/>
        </w:rPr>
      </w:pPr>
      <w:r>
        <w:rPr>
          <w:rFonts w:ascii="Verdana" w:hAnsi="Verdana"/>
          <w:sz w:val="16"/>
          <w:szCs w:val="16"/>
          <w:lang w:val="nl-NL"/>
        </w:rPr>
      </w:r>
    </w:p>
    <w:p>
      <w:pPr>
        <w:pStyle w:val="Heading2"/>
        <w:numPr>
          <w:ilvl w:val="1"/>
          <w:numId w:val="1"/>
        </w:numPr>
        <w:ind w:left="0" w:hanging="0"/>
        <w:rPr/>
      </w:pPr>
      <w:bookmarkStart w:id="2" w:name="__RefHeading___Toc113_1619856006"/>
      <w:bookmarkEnd w:id="2"/>
      <w:r>
        <w:rPr/>
        <w:t>Werkwijze V&amp;P Juristen:</w:t>
      </w:r>
    </w:p>
    <w:p>
      <w:pPr>
        <w:pStyle w:val="Normal"/>
        <w:rPr>
          <w:rFonts w:ascii="Verdana" w:hAnsi="Verdana"/>
          <w:sz w:val="16"/>
          <w:szCs w:val="16"/>
          <w:lang w:val="nl-NL"/>
        </w:rPr>
      </w:pPr>
      <w:r>
        <w:rPr>
          <w:rFonts w:ascii="Verdana" w:hAnsi="Verdana"/>
          <w:sz w:val="16"/>
          <w:szCs w:val="16"/>
          <w:lang w:val="nl-NL"/>
        </w:rPr>
        <w:t>De vordering wordt bekeken op merites en volledigheid. Bij geen merites wordt de vordering niet in behandeling genomen. Indien het dossier niet compleet is of later blijkt niet compleet te zijn, dan zijn de gevolgen voor de client. Als de vordering voldoet aan de eisen van V&amp;P Juristen, waarbij het V&amp;P Juristen ten alle tijden vrijstaat om de vordering af te wijzen, wordt er een overeenkomst opgesteld tussen V&amp;P Juristen en client. In deze overeenkomst staat o.a. dat:</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Nederlands recht van toepassing is.</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Client niet is toegestaan om enig betalingen te accepteren m.b.t. de vordering. Indien dit toch gebeurt, dan is client de incasso kosten verschuldigd van minimaal 40 euro conform wetgeving. Alle handelingen met betrekking tot de vordering worden stopgezet en alle openstaande kosten worden verhaald op de client. Eventuele schade aan client is voor rekening van client en eventuele schade bij V&amp;P Juristen zullen worden verhaald op de client.</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Eenmaal per maand worden geïnde vorderingen overgemaakt. Dit zal rond de 25de zijn.</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Client heeft ten alle tijde inzage in de status van zijn vordering. Dit betekent dat de client kan zien welke handelingen zijn verricht ten bate van het innen van de vordering. De client heeft ook inzage in betalingen verricht door de debiteur en welke bedragen zijn overgemaakt en welke nog openstaan. De client heeft ook inzage in de tegenwerpingen die debiteur eventueel maakt.</w:t>
      </w:r>
    </w:p>
    <w:p>
      <w:pPr>
        <w:pStyle w:val="Normal"/>
        <w:rPr>
          <w:rFonts w:ascii="Verdana" w:hAnsi="Verdana"/>
          <w:sz w:val="16"/>
          <w:szCs w:val="16"/>
          <w:lang w:val="nl-NL"/>
        </w:rPr>
      </w:pPr>
      <w:r>
        <w:rPr>
          <w:rFonts w:ascii="Verdana" w:hAnsi="Verdana"/>
          <w:sz w:val="16"/>
          <w:szCs w:val="16"/>
          <w:lang w:val="nl-NL"/>
        </w:rPr>
      </w:r>
    </w:p>
    <w:p>
      <w:pPr>
        <w:pStyle w:val="Heading2"/>
        <w:numPr>
          <w:ilvl w:val="1"/>
          <w:numId w:val="1"/>
        </w:numPr>
        <w:ind w:left="0" w:hanging="0"/>
        <w:rPr/>
      </w:pPr>
      <w:bookmarkStart w:id="3" w:name="__RefHeading___Toc115_1619856006"/>
      <w:bookmarkEnd w:id="3"/>
      <w:r>
        <w:rPr/>
        <w:t>Verdienmodel:</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Indien er sprake is van een handelingsovereenkomst in de zin van artikel 6:119a lid 1 BW, dan is er een bedrag van 40 euro verschuldigd op basis van artikel 6:96 lid 1 c jo 6:96 lid 4 BW zonder dat daar een aanmaning voor nodig is. Daarbij komen nog buitengerechtelijke kosten die gemaakt zijn om de vordering te innen artikel 6:96 lid 1 sub c BW.</w:t>
      </w:r>
    </w:p>
    <w:p>
      <w:pPr>
        <w:pStyle w:val="Normal"/>
        <w:rPr>
          <w:rFonts w:ascii="Verdana" w:hAnsi="Verdana"/>
          <w:sz w:val="16"/>
          <w:szCs w:val="16"/>
          <w:lang w:val="nl-NL"/>
        </w:rPr>
      </w:pPr>
      <w:r>
        <w:rPr>
          <w:rFonts w:ascii="Verdana" w:hAnsi="Verdana"/>
          <w:sz w:val="16"/>
          <w:szCs w:val="16"/>
          <w:lang w:val="nl-NL"/>
        </w:rPr>
        <w:t>De crediteur betaalt een vast abonnementsbedrag per jaar van 142,50 euro om vorderingen in te dienen. In deze abonnement zit alleen het buitengerechtelijk proces, indien er proceskosten gemaakt moeten worden dan zullen deze in eerste instantie verhaald worden op de debiteur. Mocht de debiteur niet in staat zijn om de proceskosten te dragen, dan zullen deze door de client gedragen worden indien client tegen advies een gerechtelijke procedure is gestart.</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r>
    </w:p>
    <w:p>
      <w:pPr>
        <w:pStyle w:val="Heading2"/>
        <w:numPr>
          <w:ilvl w:val="1"/>
          <w:numId w:val="1"/>
        </w:numPr>
        <w:ind w:left="0" w:hanging="0"/>
        <w:rPr/>
      </w:pPr>
      <w:bookmarkStart w:id="4" w:name="__RefHeading___Toc117_1619856006"/>
      <w:bookmarkEnd w:id="4"/>
      <w:r>
        <w:rPr/>
        <w:t>Doel:</w:t>
      </w:r>
    </w:p>
    <w:p>
      <w:pPr>
        <w:pStyle w:val="Normal"/>
        <w:rPr>
          <w:rFonts w:ascii="Verdana" w:hAnsi="Verdana"/>
          <w:sz w:val="16"/>
          <w:szCs w:val="16"/>
          <w:lang w:val="nl-NL"/>
        </w:rPr>
      </w:pPr>
      <w:r>
        <w:rPr>
          <w:rFonts w:ascii="Verdana" w:hAnsi="Verdana"/>
          <w:sz w:val="16"/>
          <w:szCs w:val="16"/>
          <w:lang w:val="nl-NL"/>
        </w:rPr>
        <w:t xml:space="preserve">Het doel is om een virtueel kantoor in te richten waarin alles wordt geregistreerd en bewerkt. </w:t>
      </w:r>
    </w:p>
    <w:p>
      <w:pPr>
        <w:pStyle w:val="Normal"/>
        <w:rPr>
          <w:rFonts w:ascii="Verdana" w:hAnsi="Verdana"/>
          <w:sz w:val="16"/>
          <w:szCs w:val="16"/>
          <w:lang w:val="nl-NL"/>
        </w:rPr>
      </w:pPr>
      <w:r>
        <w:rPr>
          <w:rFonts w:ascii="Verdana" w:hAnsi="Verdana"/>
          <w:sz w:val="16"/>
          <w:szCs w:val="16"/>
          <w:lang w:val="nl-NL"/>
        </w:rPr>
      </w:r>
    </w:p>
    <w:p>
      <w:pPr>
        <w:pStyle w:val="Heading3"/>
        <w:numPr>
          <w:ilvl w:val="2"/>
          <w:numId w:val="1"/>
        </w:numPr>
        <w:ind w:left="0" w:hanging="0"/>
        <w:rPr/>
      </w:pPr>
      <w:bookmarkStart w:id="5" w:name="__RefHeading___Toc119_1619856006"/>
      <w:bookmarkEnd w:id="5"/>
      <w:r>
        <w:rPr/>
        <w:t>Opzet incasso website:</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Inlog/</w:t>
      </w:r>
      <w:r>
        <w:rPr>
          <w:rFonts w:ascii="Verdana" w:hAnsi="Verdana"/>
          <w:sz w:val="16"/>
          <w:szCs w:val="16"/>
          <w:lang w:val="nl-NL"/>
        </w:rPr>
        <w:t>registratie</w:t>
      </w:r>
      <w:r>
        <w:rPr>
          <w:rFonts w:ascii="Verdana" w:hAnsi="Verdana"/>
          <w:sz w:val="16"/>
          <w:szCs w:val="16"/>
          <w:lang w:val="nl-NL"/>
        </w:rPr>
        <w:t xml:space="preserve"> pagina maken.</w:t>
      </w:r>
    </w:p>
    <w:p>
      <w:pPr>
        <w:pStyle w:val="Normal"/>
        <w:rPr>
          <w:rFonts w:ascii="Verdana" w:hAnsi="Verdana"/>
          <w:sz w:val="16"/>
          <w:szCs w:val="16"/>
          <w:lang w:val="nl-NL"/>
        </w:rPr>
      </w:pPr>
      <w:r>
        <w:rPr>
          <w:rFonts w:ascii="Verdana" w:hAnsi="Verdana"/>
          <w:sz w:val="16"/>
          <w:szCs w:val="16"/>
          <w:lang w:val="nl-NL"/>
        </w:rPr>
        <w:t>Admin aanmaken.</w:t>
      </w:r>
    </w:p>
    <w:p>
      <w:pPr>
        <w:pStyle w:val="Normal"/>
        <w:rPr>
          <w:rFonts w:ascii="Verdana" w:hAnsi="Verdana"/>
          <w:sz w:val="16"/>
          <w:szCs w:val="16"/>
          <w:lang w:val="nl-NL"/>
        </w:rPr>
      </w:pPr>
      <w:r>
        <w:rPr>
          <w:rFonts w:ascii="Verdana" w:hAnsi="Verdana"/>
          <w:sz w:val="16"/>
          <w:szCs w:val="16"/>
          <w:lang w:val="nl-NL"/>
        </w:rPr>
        <w:t>Admin maakt medewerkers aan.</w:t>
        <w:br/>
        <w:t>Admin kent rollen toe aan medewerkers waarmee medewerkers toegang krijgen tot bepaalde taken.</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 xml:space="preserve">Medewerkers kunnen </w:t>
        <w:br/>
        <w:t>– profiel bewerken zoals naam, functie, telefoon, plaats etc.</w:t>
        <w:br/>
        <w:t xml:space="preserve">– toegang tot dossiers </w:t>
      </w:r>
      <w:r>
        <w:rPr>
          <w:rFonts w:ascii="Verdana" w:hAnsi="Verdana"/>
          <w:sz w:val="16"/>
          <w:szCs w:val="16"/>
          <w:lang w:val="nl-NL"/>
        </w:rPr>
        <w:t>om voortgang vast te leggen zoals: debiteur gesproken, 1ste aanmaning, 2de aanmaning, betaalafspraak, dagvaarding aanzegging, betekening dagvaarding, rechtszaak.</w:t>
      </w:r>
      <w:r>
        <w:rPr>
          <w:rFonts w:ascii="Verdana" w:hAnsi="Verdana"/>
          <w:sz w:val="16"/>
          <w:szCs w:val="16"/>
          <w:lang w:val="nl-NL"/>
        </w:rPr>
        <w:br/>
        <w:t>– toegang tot overzichten m.b.t. dossier</w:t>
        <w:br/>
      </w:r>
    </w:p>
    <w:p>
      <w:pPr>
        <w:pStyle w:val="Normal"/>
        <w:rPr>
          <w:rFonts w:ascii="Verdana" w:hAnsi="Verdana"/>
          <w:sz w:val="16"/>
          <w:szCs w:val="16"/>
          <w:lang w:val="nl-NL"/>
        </w:rPr>
      </w:pPr>
      <w:r>
        <w:rPr>
          <w:rFonts w:ascii="Verdana" w:hAnsi="Verdana"/>
          <w:sz w:val="16"/>
          <w:szCs w:val="16"/>
          <w:lang w:val="nl-NL"/>
        </w:rPr>
        <w:t>Crediteuren kunnen</w:t>
        <w:br/>
        <w:t>– zich aanmelden/registreren</w:t>
        <w:br/>
        <w:t>– hun profiel bewerken</w:t>
        <w:br/>
        <w:t>– vorderingen indienen (uploaden van bewijstukken, dit kan ook opgestuurd worden waarna het wordt ingescand en terug wordt gestuurd. Indien het tot een rechtszaak komt, zijn deze producties nodig)</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status voortgang bekijken dossier</w:t>
        <w:br/>
        <w:t xml:space="preserve">– intrekken dossier </w:t>
      </w:r>
      <w:r>
        <w:rPr>
          <w:rFonts w:ascii="Verdana" w:hAnsi="Verdana"/>
          <w:sz w:val="16"/>
          <w:szCs w:val="16"/>
          <w:lang w:val="nl-NL"/>
        </w:rPr>
        <w:t>(indien hier proceskosten voor zijn gemaakt, dan worden die verhaald op client)</w:t>
      </w:r>
      <w:r>
        <w:rPr>
          <w:rFonts w:ascii="Verdana" w:hAnsi="Verdana"/>
          <w:sz w:val="16"/>
          <w:szCs w:val="16"/>
          <w:lang w:val="nl-NL"/>
        </w:rPr>
        <w:br/>
        <w:t>– dossier aanvullen</w:t>
        <w:br/>
        <w:t>– betalingen bekijken</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Gemaakte afspraken met debiteur bekijken, indien deze aangemerkt zijn als publiekelijk.</w:t>
        <w:tab/>
        <w:tab/>
        <w:tab/>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Debiteuren kunnen:</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 xml:space="preserve">hun vordering via Ideal voldoen op basis van het dossiernummer. Hiervoor vult de debiteur zijn nawt gegevens in en kan een kleine toelichting geven. </w:t>
      </w:r>
      <w:r>
        <w:rPr>
          <w:rFonts w:ascii="Verdana" w:hAnsi="Verdana"/>
          <w:sz w:val="16"/>
          <w:szCs w:val="16"/>
          <w:lang w:val="nl-NL"/>
        </w:rPr>
        <w:t>Pas als de transactie rond is en geverifieerd dat de betaling is gelukt, wordt het dossier bijgewerkt.</w:t>
      </w:r>
      <w:r>
        <w:rPr>
          <w:rFonts w:ascii="Verdana" w:hAnsi="Verdana"/>
          <w:sz w:val="16"/>
          <w:szCs w:val="16"/>
          <w:lang w:val="nl-NL"/>
        </w:rPr>
        <w:br/>
        <w:t xml:space="preserve">– Indien debiteur zich registreert, </w:t>
      </w:r>
      <w:r>
        <w:rPr>
          <w:rFonts w:ascii="Verdana" w:hAnsi="Verdana"/>
          <w:sz w:val="16"/>
          <w:szCs w:val="16"/>
          <w:lang w:val="nl-NL"/>
        </w:rPr>
        <w:t>kan de debiteur de gemaakte afspraken zien en zien wanneer de volgende betaling voldaan moet worden indien er nog een restsom open staat.</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Openstaande sommen kunnen met een knop via ideal worden voldaan.</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Crediteur en debiteur hebben, als ze zich geregistreerd hebben, de mogelijkheid welke email ze willen ontvangen. Hierbij zijn een paar email soort verplicht en dienen als bewijsstuk.</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Jobs:</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De rente van de openstaande vorderingen wordt elke dag berekend.</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Reminders via email worden verstuurd naar debiteuren zodat ze op de hoogte zijn wanneer een volgende betaling moet worden verricht (minimaal 3 dagen van te voren en op de dag zelf).</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Reminders voor data van rechtszaken aan zowel de debiteur als de crediteur (minimaal 48 uur van te voren).</w:t>
      </w:r>
    </w:p>
    <w:p>
      <w:pPr>
        <w:pStyle w:val="Normal"/>
        <w:rPr>
          <w:rFonts w:ascii="Verdana" w:hAnsi="Verdana"/>
          <w:sz w:val="16"/>
          <w:szCs w:val="16"/>
          <w:lang w:val="nl-NL"/>
        </w:rPr>
      </w:pPr>
      <w:r>
        <w:rPr>
          <w:rFonts w:ascii="Verdana" w:hAnsi="Verdana"/>
          <w:sz w:val="16"/>
          <w:szCs w:val="16"/>
          <w:lang w:val="nl-NL"/>
        </w:rPr>
        <w:t xml:space="preserve">– </w:t>
      </w:r>
      <w:r>
        <w:rPr>
          <w:rFonts w:ascii="Verdana" w:hAnsi="Verdana"/>
          <w:sz w:val="16"/>
          <w:szCs w:val="16"/>
          <w:lang w:val="nl-NL"/>
        </w:rPr>
        <w:t>Reminders van betalingen voor de desbetreffende crediteur en de datum wanneer deze wordt overgemaakt. (kan ongewenst zijn).</w:t>
      </w:r>
    </w:p>
    <w:p>
      <w:pPr>
        <w:pStyle w:val="Normal"/>
        <w:rPr>
          <w:rFonts w:ascii="Verdana" w:hAnsi="Verdana"/>
          <w:sz w:val="16"/>
          <w:szCs w:val="16"/>
          <w:lang w:val="nl-NL"/>
        </w:rPr>
      </w:pPr>
      <w:r>
        <w:rPr>
          <w:rFonts w:ascii="Verdana" w:hAnsi="Verdana"/>
          <w:sz w:val="16"/>
          <w:szCs w:val="16"/>
          <w:lang w:val="nl-NL"/>
        </w:rPr>
      </w:r>
    </w:p>
    <w:p>
      <w:pPr>
        <w:pStyle w:val="Heading2"/>
        <w:numPr>
          <w:ilvl w:val="1"/>
          <w:numId w:val="1"/>
        </w:numPr>
        <w:ind w:left="0" w:hanging="0"/>
        <w:rPr/>
      </w:pPr>
      <w:bookmarkStart w:id="6" w:name="__RefHeading___Toc225_1619856006"/>
      <w:bookmarkEnd w:id="6"/>
      <w:r>
        <w:rPr/>
        <w:t>Openstaande zaken:</w:t>
      </w:r>
    </w:p>
    <w:p>
      <w:pPr>
        <w:pStyle w:val="Normal"/>
        <w:rPr>
          <w:rFonts w:ascii="Verdana" w:hAnsi="Verdana"/>
          <w:sz w:val="16"/>
          <w:szCs w:val="16"/>
          <w:lang w:val="nl-NL"/>
        </w:rPr>
      </w:pPr>
      <w:r>
        <w:rPr>
          <w:rFonts w:ascii="Verdana" w:hAnsi="Verdana"/>
          <w:sz w:val="16"/>
          <w:szCs w:val="16"/>
          <w:lang w:val="nl-NL"/>
        </w:rPr>
        <w:t>Je werkt met privacy gevoelige informatie en zal derhalve aangemeld moeten worden bij de register persoonsgegevens (zie wet bescherming persoonsgegevens).</w:t>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t>Data model maken</w:t>
      </w:r>
    </w:p>
    <w:p>
      <w:pPr>
        <w:pStyle w:val="Normal"/>
        <w:rPr>
          <w:rFonts w:ascii="Verdana" w:hAnsi="Verdana"/>
          <w:sz w:val="16"/>
          <w:szCs w:val="16"/>
          <w:lang w:val="nl-NL"/>
        </w:rPr>
      </w:pPr>
      <w:r>
        <w:rPr>
          <w:rFonts w:ascii="Verdana" w:hAnsi="Verdana"/>
          <w:sz w:val="16"/>
          <w:szCs w:val="16"/>
          <w:lang w:val="nl-NL"/>
        </w:rPr>
        <w:t>Wireframes maken</w:t>
      </w:r>
    </w:p>
    <w:p>
      <w:pPr>
        <w:pStyle w:val="Normal"/>
        <w:rPr>
          <w:rFonts w:ascii="Verdana" w:hAnsi="Verdana"/>
          <w:sz w:val="16"/>
          <w:szCs w:val="16"/>
          <w:lang w:val="nl-NL"/>
        </w:rPr>
      </w:pPr>
      <w:r>
        <w:rPr>
          <w:rFonts w:ascii="Verdana" w:hAnsi="Verdana"/>
          <w:sz w:val="16"/>
          <w:szCs w:val="16"/>
          <w:lang w:val="nl-NL"/>
        </w:rPr>
        <w:t>Inrichten laravel framework</w:t>
      </w:r>
      <w:r>
        <w:rPr>
          <w:rFonts w:ascii="Verdana" w:hAnsi="Verdana"/>
          <w:sz w:val="16"/>
          <w:szCs w:val="16"/>
          <w:lang w:val="nl-NL"/>
        </w:rPr>
        <w:br/>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r>
    </w:p>
    <w:p>
      <w:pPr>
        <w:pStyle w:val="Normal"/>
        <w:rPr>
          <w:rFonts w:ascii="Verdana" w:hAnsi="Verdana"/>
          <w:sz w:val="16"/>
          <w:szCs w:val="16"/>
          <w:lang w:val="nl-NL"/>
        </w:rPr>
      </w:pPr>
      <w:r>
        <w:rPr>
          <w:rFonts w:ascii="Verdana" w:hAnsi="Verdana"/>
          <w:sz w:val="16"/>
          <w:szCs w:val="16"/>
          <w:lang w:val="nl-N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6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nl-NL"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Heading">
    <w:name w:val="TOA Heading"/>
    <w:basedOn w:val="Heading"/>
    <w:pPr>
      <w:suppressLineNumbers/>
      <w:ind w:left="0" w:hanging="0"/>
    </w:pPr>
    <w:rPr>
      <w:b/>
      <w:bCs/>
      <w:sz w:val="32"/>
      <w:szCs w:val="32"/>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LibreOffice/5.1.4.2$MacOSX_X86_64 LibreOffice_project/f99d75f39f1c57ebdd7ffc5f42867c12031db97a</Application>
  <Pages>4</Pages>
  <Words>944</Words>
  <Characters>5290</Characters>
  <CharactersWithSpaces>6213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2017-02-12T16:18:17Z</dcterms:created>
  <dc:creator>Patrick Teunissen</dc:creator>
  <dc:description/>
  <dc:language>nl-NL</dc:language>
  <cp:lastModifiedBy>Patrick Teunissen</cp:lastModifiedBy>
  <dcterms:modified xsi:type="dcterms:W3CDTF">2017-02-12T18:53:40Z</dcterms:modified>
  <cp:revision>20</cp:revision>
  <dc:subject/>
  <dc:title/>
</cp:coreProperties>
</file>