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Quarterly Report — Acme Corp</w:t>
      </w:r>
    </w:p>
    <w:p>
      <w:pPr>
        <w:pStyle w:val="Normal"/>
        <w:bidi w:val="0"/>
        <w:jc w:val="start"/>
        <w:rPr/>
      </w:pPr>
      <w:r>
        <w:rPr/>
        <w:t>Prepared by Jane Smith (jane.smith@acme-corp.com) on behalf of the finance team.</w:t>
      </w:r>
    </w:p>
    <w:p>
      <w:pPr>
        <w:pStyle w:val="Normal"/>
        <w:bidi w:val="0"/>
        <w:jc w:val="start"/>
        <w:rPr/>
      </w:pPr>
      <w:r>
        <w:rPr/>
        <w:t xml:space="preserve">Revenue grew 12% — see the </w:t>
      </w:r>
      <w:hyperlink r:id="rId2">
        <w:r>
          <w:rPr>
            <w:rStyle w:val="Hyperlink"/>
          </w:rPr>
          <w:t>full results</w:t>
        </w:r>
      </w:hyperlink>
      <w:r>
        <w:rPr/>
        <w:t xml:space="preserve"> and the dataset sales_2024.csv for details.</w:t>
      </w:r>
    </w:p>
    <w:p>
      <w:pPr>
        <w:pStyle w:val="Normal"/>
        <w:bidi w:val="0"/>
        <w:jc w:val="start"/>
        <w:rPr/>
      </w:pPr>
      <w:r>
        <w:rPr/>
        <w:t>Tabs</w:t>
        <w:tab/>
        <w:t>and    spaces; line</w:t>
        <w:br/>
        <w:t xml:space="preserve">break; accents: café, naïve, </w:t>
      </w:r>
      <w:r>
        <w:rPr/>
        <w:t>会議</w:t>
      </w:r>
      <w:r>
        <w:rPr/>
        <w:t>, Müller &amp; Söhne &lt;ok&gt;.</w:t>
      </w:r>
    </w:p>
    <w:p>
      <w:pPr>
        <w:pStyle w:val="Normal"/>
        <w:bidi w:val="0"/>
        <w:jc w:val="start"/>
        <w:rPr/>
      </w:pPr>
      <w:r>
        <w:rPr/>
        <w:t>Invoice reference INV-2024-00123 was paid; DOI 10.1000/xyz123 cited.</w:t>
      </w:r>
      <w:r>
        <w:rPr>
          <w:rStyle w:val="FootnoteReference"/>
        </w:rPr>
        <w:footnoteReference w:id="2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Region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APAC</w:t>
            </w:r>
          </w:p>
        </w:tc>
      </w:tr>
    </w:tbl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 item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Second item with 'quotes' and “curly quotes”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Footnote: contact accounts@acme-corp.com.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cme-corp.com/results/q3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Smith</dc:creator>
  <dc:description/>
  <dc:language>en-AU</dc:language>
  <cp:lastModifiedBy>Tom Brown</cp:lastModifiedBy>
  <cp:revision>0</cp:revision>
  <dc:subject/>
  <dc:title>Quarterly report</dc:title>
</cp:coreProperties>
</file>