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178E6">
      <w:pPr>
        <w:pStyle w:val="5"/>
      </w:pPr>
      <w:bookmarkStart w:id="0" w:name="X99971f9a275820b61089243bf47a079639d9731"/>
      <w:r>
        <w:rPr>
          <w:b/>
          <w:bCs/>
          <w:sz w:val="30"/>
          <w:szCs w:val="30"/>
        </w:rPr>
        <w:t>AGV实施岗位技术问卷</w:t>
      </w:r>
    </w:p>
    <w:p w14:paraId="362BDEA8">
      <w:pPr>
        <w:pStyle w:val="23"/>
        <w:spacing w:before="0" w:after="120" w:line="240" w:lineRule="auto"/>
      </w:pPr>
      <w:r>
        <w:rPr>
          <w:b/>
          <w:bCs/>
          <w:sz w:val="24"/>
          <w:szCs w:val="24"/>
        </w:rPr>
        <w:t>1、从业过的AGV品牌有哪些？熟练掌握哪些？各品牌项目数量多少？有无相关AGV厂商的实施资格证书认定？</w:t>
      </w:r>
    </w:p>
    <w:p w14:paraId="05BAB0CA">
      <w:pPr>
        <w:pStyle w:val="3"/>
        <w:spacing w:before="0" w:after="120" w:line="240" w:lineRule="auto"/>
        <w:ind w:firstLine="240" w:firstLineChars="100"/>
        <w:jc w:val="center"/>
      </w:pPr>
      <w:r>
        <w:rPr>
          <w:sz w:val="24"/>
          <w:szCs w:val="24"/>
        </w:rPr>
        <w:t>从业品牌主要有华睿和塔斯克，各项目数量均为1个。</w:t>
      </w:r>
    </w:p>
    <w:tbl>
      <w:tblPr>
        <w:tblStyle w:val="4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 w14:paraId="5765A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00" w:type="dxa"/>
            <w:tcMar>
              <w:top w:w="180" w:type="dxa"/>
            </w:tcMar>
          </w:tcPr>
          <w:tbl>
            <w:tblPr>
              <w:tblStyle w:val="42"/>
              <w:tblW w:w="5000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0"/>
              <w:gridCol w:w="3000"/>
              <w:gridCol w:w="3000"/>
            </w:tblGrid>
            <w:tr w14:paraId="4B05CF4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B52445E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品牌/车型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03929BF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熟练程度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871086E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台数</w:t>
                  </w:r>
                </w:p>
              </w:tc>
            </w:tr>
            <w:tr w14:paraId="207F28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51E8EAE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华睿-潜伏式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0B17897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熟练掌握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74AE62B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5台</w:t>
                  </w:r>
                </w:p>
              </w:tc>
            </w:tr>
            <w:tr w14:paraId="1B45EA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A63632F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华睿-单旋臂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E94851F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了解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7D8387C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5台</w:t>
                  </w:r>
                </w:p>
              </w:tc>
            </w:tr>
            <w:tr w14:paraId="5B91E9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75C9CF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叉车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DBEFE2C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了解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05E97A6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3台</w:t>
                  </w:r>
                </w:p>
              </w:tc>
            </w:tr>
          </w:tbl>
          <w:p w14:paraId="41FEAA63"/>
        </w:tc>
      </w:tr>
    </w:tbl>
    <w:p w14:paraId="2EC22293">
      <w:pPr>
        <w:pStyle w:val="3"/>
        <w:spacing w:before="0" w:after="120" w:line="240" w:lineRule="auto"/>
      </w:pPr>
      <w:r>
        <w:rPr>
          <w:sz w:val="24"/>
          <w:szCs w:val="24"/>
        </w:rPr>
        <w:t>无AGV厂商实施资格证书认定。</w:t>
      </w:r>
    </w:p>
    <w:p w14:paraId="33E98C3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4F5731">
      <w:pPr>
        <w:pStyle w:val="23"/>
        <w:spacing w:before="0" w:after="120" w:line="240" w:lineRule="auto"/>
      </w:pPr>
      <w:r>
        <w:rPr>
          <w:b/>
          <w:bCs/>
          <w:sz w:val="24"/>
          <w:szCs w:val="24"/>
        </w:rPr>
        <w:t>2、实施过哪些业务场景？AGV台数各多少？</w:t>
      </w:r>
    </w:p>
    <w:p w14:paraId="7E14E195">
      <w:pPr>
        <w:pStyle w:val="3"/>
        <w:spacing w:before="0" w:after="120" w:line="240" w:lineRule="auto"/>
      </w:pPr>
      <w:r>
        <w:rPr>
          <w:sz w:val="24"/>
          <w:szCs w:val="24"/>
        </w:rPr>
        <w:t>主要参与宁德时代大型仓储物流项目，AGV总数13台。</w:t>
      </w:r>
    </w:p>
    <w:p w14:paraId="35C15AEB">
      <w:pPr>
        <w:pStyle w:val="3"/>
        <w:spacing w:before="0" w:after="120" w:line="240" w:lineRule="auto"/>
      </w:pPr>
      <w:r>
        <w:rPr>
          <w:sz w:val="24"/>
          <w:szCs w:val="24"/>
        </w:rPr>
        <w:t>业务场景为单旋臂线内工作，线内包括预分切、冷压、模切等环节。</w:t>
      </w:r>
    </w:p>
    <w:p w14:paraId="48150E35">
      <w:pPr>
        <w:pStyle w:val="3"/>
        <w:spacing w:before="0" w:after="120" w:line="240" w:lineRule="auto"/>
      </w:pPr>
      <w:r>
        <w:rPr>
          <w:sz w:val="24"/>
          <w:szCs w:val="24"/>
        </w:rPr>
        <w:t>其中标定工作量较大，主要负责预分切和冷压两个区域的标定工作：</w:t>
      </w:r>
    </w:p>
    <w:p w14:paraId="74A80374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● </w:t>
      </w:r>
      <w:r>
        <w:rPr>
          <w:b/>
          <w:bCs/>
        </w:rPr>
        <w:t>预分切：</w:t>
      </w:r>
      <w:r>
        <w:t> </w:t>
      </w:r>
      <w:r>
        <w:rPr>
          <w:rFonts w:hint="eastAsia"/>
        </w:rPr>
        <w:t>共3个大机台，负责4台单旋臂的标定。预分切的卷轴较大，虽然精度要求不是最高的，但因为卷轴过大，如果中间出现小精度问题，有可能直接影响到下一卷能不能拉过去</w:t>
      </w:r>
    </w:p>
    <w:p w14:paraId="159F14C1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● </w:t>
      </w:r>
      <w:r>
        <w:rPr>
          <w:b/>
          <w:bCs/>
        </w:rPr>
        <w:t>冷压：</w:t>
      </w:r>
      <w:r>
        <w:t> </w:t>
      </w:r>
      <w:r>
        <w:rPr>
          <w:rFonts w:hint="eastAsia"/>
        </w:rPr>
        <w:t>共10个机台，负责7台单旋臂的标定</w:t>
      </w:r>
    </w:p>
    <w:p w14:paraId="6BE38ADA">
      <w:pPr>
        <w:pStyle w:val="3"/>
        <w:spacing w:before="0" w:after="120" w:line="240" w:lineRule="auto"/>
      </w:pPr>
      <w:r>
        <w:rPr>
          <w:sz w:val="24"/>
          <w:szCs w:val="24"/>
        </w:rPr>
        <w:t>共负责13个机台的顺序标定，标定完成后使用Postman接口逐一跑通，确保全部正常运行。</w:t>
      </w:r>
    </w:p>
    <w:p w14:paraId="46939A4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D69CB6E">
      <w:pPr>
        <w:pStyle w:val="23"/>
        <w:spacing w:before="0" w:after="120" w:line="240" w:lineRule="auto"/>
      </w:pPr>
      <w:r>
        <w:rPr>
          <w:b/>
          <w:bCs/>
          <w:sz w:val="24"/>
          <w:szCs w:val="24"/>
        </w:rPr>
        <w:t>3、简述实施项目从入场到交付离场的过程与步骤</w:t>
      </w:r>
    </w:p>
    <w:p w14:paraId="7FCFD4C7">
      <w:pPr>
        <w:pStyle w:val="3"/>
        <w:spacing w:before="0" w:after="120" w:line="240" w:lineRule="auto"/>
      </w:pPr>
      <w:r>
        <w:rPr>
          <w:sz w:val="24"/>
          <w:szCs w:val="24"/>
        </w:rPr>
        <w:t>以宁德时代项目为例（7月入场），主要流程如下：</w:t>
      </w:r>
    </w:p>
    <w:p w14:paraId="78B1175E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1. </w:t>
      </w:r>
      <w:r>
        <w:rPr>
          <w:b/>
          <w:bCs/>
        </w:rPr>
        <w:t>项目配网</w:t>
      </w:r>
      <w:r>
        <w:t xml:space="preserve"> — </w:t>
      </w:r>
      <w:r>
        <w:rPr>
          <w:rFonts w:hint="eastAsia"/>
        </w:rPr>
        <w:t>现场网络环境搭建（此步骤由团队其他成员完成）</w:t>
      </w:r>
    </w:p>
    <w:p w14:paraId="27A90F03">
      <w:pPr>
        <w:pStyle w:val="3"/>
        <w:spacing w:before="120" w:after="120" w:line="240" w:lineRule="auto"/>
        <w:rPr>
          <w:rFonts w:hint="default" w:eastAsiaTheme="minorEastAsia"/>
          <w:lang w:val="en-US" w:eastAsia="zh-CN"/>
        </w:rPr>
      </w:pPr>
      <w:r>
        <w:rPr>
          <w:rFonts w:ascii="Arial" w:hAnsi="Arial" w:eastAsia="Arial" w:cs="Arial"/>
        </w:rPr>
        <w:t>2. </w:t>
      </w:r>
      <w:r>
        <w:rPr>
          <w:b/>
          <w:bCs/>
        </w:rPr>
        <w:t>扫图</w:t>
      </w:r>
      <w:r>
        <w:t xml:space="preserve"> — </w:t>
      </w:r>
      <w:r>
        <w:rPr>
          <w:rFonts w:hint="eastAsia"/>
        </w:rPr>
        <w:t>对现场环境进行激光扫描</w:t>
      </w:r>
      <w:r>
        <w:rPr>
          <w:rFonts w:hint="eastAsia"/>
          <w:lang w:val="en-US" w:eastAsia="zh-CN"/>
        </w:rPr>
        <w:t>(了解相关流程和成员协作完成)</w:t>
      </w:r>
    </w:p>
    <w:p w14:paraId="5A58FF44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3. </w:t>
      </w:r>
      <w:r>
        <w:rPr>
          <w:b/>
          <w:bCs/>
        </w:rPr>
        <w:t>初期标定</w:t>
      </w:r>
      <w:r>
        <w:t xml:space="preserve"> — </w:t>
      </w:r>
      <w:r>
        <w:rPr>
          <w:rFonts w:hint="eastAsia"/>
        </w:rPr>
        <w:t>对AGV进行初始标定，测试精准度</w:t>
      </w:r>
    </w:p>
    <w:p w14:paraId="3A10307D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4. </w:t>
      </w:r>
      <w:r>
        <w:rPr>
          <w:b/>
          <w:bCs/>
        </w:rPr>
        <w:t>操作单旋臂</w:t>
      </w:r>
      <w:r>
        <w:t xml:space="preserve"> — </w:t>
      </w:r>
      <w:r>
        <w:rPr>
          <w:rFonts w:hint="eastAsia"/>
        </w:rPr>
        <w:t>完成单旋臂车型的操作调试</w:t>
      </w:r>
    </w:p>
    <w:p w14:paraId="2554ED3A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5. </w:t>
      </w:r>
      <w:r>
        <w:rPr>
          <w:b/>
          <w:bCs/>
        </w:rPr>
        <w:t>路线规划与预跑</w:t>
      </w:r>
      <w:r>
        <w:t xml:space="preserve"> — </w:t>
      </w:r>
      <w:r>
        <w:rPr>
          <w:rFonts w:hint="eastAsia"/>
        </w:rPr>
        <w:t>进行初期路线规划，预跑验证路线可行性</w:t>
      </w:r>
    </w:p>
    <w:p w14:paraId="1AB5F992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6. </w:t>
      </w:r>
      <w:r>
        <w:rPr>
          <w:b/>
          <w:bCs/>
        </w:rPr>
        <w:t>从0到1建图</w:t>
      </w:r>
      <w:r>
        <w:t xml:space="preserve"> — </w:t>
      </w:r>
      <w:r>
        <w:rPr>
          <w:rFonts w:hint="eastAsia"/>
        </w:rPr>
        <w:t>初期标定精准度测试通过后，完成整体建图</w:t>
      </w:r>
    </w:p>
    <w:p w14:paraId="121C88C7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7. </w:t>
      </w:r>
      <w:r>
        <w:rPr>
          <w:b/>
          <w:bCs/>
        </w:rPr>
        <w:t>API接口对接</w:t>
      </w:r>
      <w:r>
        <w:t xml:space="preserve"> — </w:t>
      </w:r>
      <w:r>
        <w:rPr>
          <w:rFonts w:hint="eastAsia"/>
        </w:rPr>
        <w:t>使用Postman跑接口，确认全部接口调通</w:t>
      </w:r>
    </w:p>
    <w:p w14:paraId="3BA1E369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8. </w:t>
      </w:r>
      <w:r>
        <w:rPr>
          <w:b/>
          <w:bCs/>
        </w:rPr>
        <w:t>项目初期上线</w:t>
      </w:r>
      <w:r>
        <w:t xml:space="preserve"> — </w:t>
      </w:r>
      <w:r>
        <w:rPr>
          <w:rFonts w:hint="eastAsia"/>
        </w:rPr>
        <w:t>接口调通、标定测试无误后进入初期上线阶段</w:t>
      </w:r>
    </w:p>
    <w:p w14:paraId="27CF65F1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9. </w:t>
      </w:r>
      <w:r>
        <w:rPr>
          <w:b/>
          <w:bCs/>
        </w:rPr>
        <w:t>改图与参数调整</w:t>
      </w:r>
      <w:r>
        <w:t xml:space="preserve"> — </w:t>
      </w:r>
      <w:r>
        <w:rPr>
          <w:rFonts w:hint="eastAsia"/>
        </w:rPr>
        <w:t>上线后针对各类参数问题进行改图优化（在团队指导下进行）</w:t>
      </w:r>
    </w:p>
    <w:p w14:paraId="5C6EE654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10. </w:t>
      </w:r>
      <w:r>
        <w:rPr>
          <w:b/>
          <w:bCs/>
        </w:rPr>
        <w:t>持续运维调试</w:t>
      </w:r>
      <w:r>
        <w:t xml:space="preserve"> — </w:t>
      </w:r>
      <w:r>
        <w:rPr>
          <w:rFonts w:hint="eastAsia"/>
        </w:rPr>
        <w:t>改图完成后继续运行，持续优化</w:t>
      </w:r>
    </w:p>
    <w:p w14:paraId="47B490A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151EC8">
      <w:pPr>
        <w:pStyle w:val="23"/>
        <w:spacing w:before="0" w:after="120" w:line="240" w:lineRule="auto"/>
      </w:pPr>
      <w:r>
        <w:rPr>
          <w:b/>
          <w:bCs/>
          <w:sz w:val="24"/>
          <w:szCs w:val="24"/>
        </w:rPr>
        <w:t>4、AGV有哪些导航方式？做过哪几种？分别有什么区别？</w:t>
      </w:r>
    </w:p>
    <w:p w14:paraId="12B9CAC1">
      <w:pPr>
        <w:pStyle w:val="3"/>
        <w:spacing w:before="0" w:after="120" w:line="240" w:lineRule="auto"/>
      </w:pPr>
      <w:r>
        <w:rPr>
          <w:sz w:val="24"/>
          <w:szCs w:val="24"/>
        </w:rPr>
        <w:t>主要做过二维码导航和激光导航两种。</w:t>
      </w:r>
    </w:p>
    <w:tbl>
      <w:tblPr>
        <w:tblStyle w:val="42"/>
        <w:tblW w:w="12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0"/>
      </w:tblGrid>
      <w:tr w14:paraId="6517B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000" w:type="dxa"/>
            <w:tcMar>
              <w:top w:w="180" w:type="dxa"/>
            </w:tcMar>
          </w:tcPr>
          <w:tbl>
            <w:tblPr>
              <w:tblStyle w:val="42"/>
              <w:tblW w:w="1500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0"/>
              <w:gridCol w:w="3000"/>
              <w:gridCol w:w="3000"/>
              <w:gridCol w:w="3000"/>
              <w:gridCol w:w="3000"/>
            </w:tblGrid>
            <w:tr w14:paraId="6EAD98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44B53BA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导航方式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97DA0A6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适用场景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832ED1C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优点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7AC224A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缺点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44DEF2C">
                  <w:pPr>
                    <w:pStyle w:val="24"/>
                    <w:spacing w:before="0" w:after="120" w:line="240" w:lineRule="auto"/>
                    <w:rPr>
                      <w:color w:val="060A26"/>
                      <w:sz w:val="24"/>
                      <w:szCs w:val="24"/>
                    </w:rPr>
                  </w:pPr>
                </w:p>
              </w:tc>
            </w:tr>
            <w:tr w14:paraId="3B4784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2EA5C84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二维码导航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80EA638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进机台、进入料架台等高精度场景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70206E4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定位精度高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B122BDC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105DDBB">
                  <w:pPr>
                    <w:pStyle w:val="24"/>
                    <w:spacing w:before="0" w:after="120" w:line="240" w:lineRule="auto"/>
                    <w:rPr>
                      <w:color w:val="060A26"/>
                      <w:sz w:val="24"/>
                      <w:szCs w:val="24"/>
                    </w:rPr>
                  </w:pPr>
                </w:p>
              </w:tc>
            </w:tr>
            <w:tr w14:paraId="5951B5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FFE1F38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激光导航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5797626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大规模场地中的车辆移动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104FA1F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部署省力，适合大范围场地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F980BD5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精度不高，偶尔出现激光扫不到的情况，有撞人风险，激光有时会出现歪斜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3FE2A74">
                  <w:pPr>
                    <w:pStyle w:val="24"/>
                    <w:spacing w:before="0" w:after="120" w:line="240" w:lineRule="auto"/>
                    <w:rPr>
                      <w:color w:val="060A26"/>
                      <w:sz w:val="24"/>
                      <w:szCs w:val="24"/>
                    </w:rPr>
                  </w:pPr>
                </w:p>
              </w:tc>
            </w:tr>
          </w:tbl>
          <w:p w14:paraId="4E3886A2"/>
        </w:tc>
      </w:tr>
    </w:tbl>
    <w:p w14:paraId="3507C07B">
      <w:pPr>
        <w:pStyle w:val="3"/>
        <w:spacing w:before="0" w:after="120" w:line="240" w:lineRule="auto"/>
        <w:rPr>
          <w:sz w:val="24"/>
          <w:szCs w:val="24"/>
        </w:rPr>
      </w:pPr>
      <w:r>
        <w:rPr>
          <w:sz w:val="24"/>
          <w:szCs w:val="24"/>
        </w:rPr>
        <w:t>实际应用中，二维码导航更偏向高精度场景，例如单旋臂进机台时。</w:t>
      </w:r>
    </w:p>
    <w:p w14:paraId="4C583A3A">
      <w:pPr>
        <w:pStyle w:val="3"/>
        <w:spacing w:before="0" w:after="120"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视觉导航： 了解基本原理，未在实际项目中实施过。</w:t>
      </w:r>
    </w:p>
    <w:p w14:paraId="1B6CC258">
      <w:pPr>
        <w:pStyle w:val="3"/>
        <w:spacing w:before="0" w:after="120" w:line="240" w:lineRule="auto"/>
      </w:pPr>
      <w:r>
        <w:rPr>
          <w:sz w:val="24"/>
          <w:szCs w:val="24"/>
        </w:rPr>
        <w:t>需要注意的是，单旋臂在提重卷时车体可能被压下，此时需要修改挠度进行区分处理。</w:t>
      </w:r>
    </w:p>
    <w:p w14:paraId="3696AD4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1F558F">
      <w:pPr>
        <w:pStyle w:val="23"/>
        <w:spacing w:before="0" w:after="120" w:line="240" w:lineRule="auto"/>
      </w:pPr>
      <w:r>
        <w:rPr>
          <w:b/>
          <w:bCs/>
          <w:sz w:val="24"/>
          <w:szCs w:val="24"/>
        </w:rPr>
        <w:t>5、AGV调度一般会用到哪些通讯协议？RCS与MES或WMS集成的参与程度？</w:t>
      </w:r>
    </w:p>
    <w:p w14:paraId="5DEEB5BF">
      <w:pPr>
        <w:pStyle w:val="3"/>
        <w:spacing w:before="0" w:after="120" w:line="240" w:lineRule="auto"/>
      </w:pPr>
      <w:r>
        <w:rPr>
          <w:b/>
          <w:bCs/>
          <w:sz w:val="24"/>
          <w:szCs w:val="24"/>
        </w:rPr>
        <w:t>通讯协议：</w:t>
      </w:r>
      <w:r>
        <w:rPr>
          <w:sz w:val="24"/>
          <w:szCs w:val="24"/>
        </w:rPr>
        <w:t> IP、TCP协议。宁德现场使用5G网卡进行通讯。</w:t>
      </w:r>
    </w:p>
    <w:p w14:paraId="39C6219B">
      <w:pPr>
        <w:pStyle w:val="3"/>
        <w:spacing w:before="0" w:after="120" w:line="240" w:lineRule="auto"/>
      </w:pPr>
      <w:r>
        <w:rPr>
          <w:b/>
          <w:bCs/>
          <w:sz w:val="24"/>
          <w:szCs w:val="24"/>
        </w:rPr>
        <w:t>RCS与MES/WMS的参与程度：</w:t>
      </w:r>
    </w:p>
    <w:p w14:paraId="078C0E2B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● </w:t>
      </w:r>
      <w:r>
        <w:rPr>
          <w:b/>
          <w:bCs/>
        </w:rPr>
        <w:t>RCS：</w:t>
      </w:r>
      <w:r>
        <w:t> </w:t>
      </w:r>
      <w:r>
        <w:rPr>
          <w:rFonts w:hint="eastAsia"/>
        </w:rPr>
        <w:t>作为项目调度的中枢大脑，负责整体任务调度与分配</w:t>
      </w:r>
    </w:p>
    <w:p w14:paraId="09E7E1C2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● </w:t>
      </w:r>
      <w:r>
        <w:rPr>
          <w:b/>
          <w:bCs/>
        </w:rPr>
        <w:t>MES：</w:t>
      </w:r>
      <w:r>
        <w:t> </w:t>
      </w:r>
      <w:r>
        <w:rPr>
          <w:rFonts w:hint="eastAsia"/>
        </w:rPr>
        <w:t>负责生产管理</w:t>
      </w:r>
    </w:p>
    <w:p w14:paraId="7043DE9C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● </w:t>
      </w:r>
      <w:r>
        <w:rPr>
          <w:b/>
          <w:bCs/>
        </w:rPr>
        <w:t>WMS：</w:t>
      </w:r>
      <w:r>
        <w:t> </w:t>
      </w:r>
      <w:r>
        <w:rPr>
          <w:rFonts w:hint="eastAsia"/>
        </w:rPr>
        <w:t>在宁德项目中主要接触WMS</w:t>
      </w:r>
    </w:p>
    <w:p w14:paraId="02BF066B">
      <w:pPr>
        <w:pStyle w:val="3"/>
        <w:spacing w:before="0" w:after="120" w:line="240" w:lineRule="auto"/>
      </w:pPr>
      <w:r>
        <w:rPr>
          <w:sz w:val="24"/>
          <w:szCs w:val="24"/>
        </w:rPr>
        <w:t>个人参与方面：会查看RCS上的错误分析，会看API接口。在WMS层面，日常工作中会通过查看PLC的方块式对外展示界面和PLC协议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判断任务是被RCS取消、WMS取消还是上位机取消，定位问题出在哪一层。</w:t>
      </w:r>
    </w:p>
    <w:p w14:paraId="48C6C72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1F68ABE">
      <w:pPr>
        <w:pStyle w:val="23"/>
        <w:spacing w:before="0" w:after="120" w:line="240" w:lineRule="auto"/>
      </w:pPr>
      <w:r>
        <w:rPr>
          <w:b/>
          <w:bCs/>
          <w:sz w:val="24"/>
          <w:szCs w:val="24"/>
        </w:rPr>
        <w:t>6、AGV与PLC通讯的交互是否有实施过？</w:t>
      </w:r>
    </w:p>
    <w:p w14:paraId="0A311E5D">
      <w:pPr>
        <w:pStyle w:val="3"/>
        <w:spacing w:before="0" w:after="120" w:line="240" w:lineRule="auto"/>
      </w:pPr>
      <w:r>
        <w:rPr>
          <w:sz w:val="24"/>
          <w:szCs w:val="24"/>
        </w:rPr>
        <w:t>主要负责联调和PLC信号对接。</w:t>
      </w:r>
    </w:p>
    <w:p w14:paraId="49237BA8">
      <w:pPr>
        <w:pStyle w:val="3"/>
        <w:spacing w:before="0" w:after="120" w:line="240" w:lineRule="auto"/>
      </w:pPr>
      <w:r>
        <w:rPr>
          <w:sz w:val="24"/>
          <w:szCs w:val="24"/>
        </w:rPr>
        <w:t>实际案例：宁德项目中，料架台PLC信号与AGV信号对不上，车辆无法进入料架台，AGV报"找不到合适的电芯卷放料"。经排查发现数字信号对不上，上报领导后协调料架台PLC人员到场联调，最终定位到是料架台PLC断网导致信号错误。</w:t>
      </w:r>
    </w:p>
    <w:p w14:paraId="5E6C3CC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B7A7FA">
      <w:pPr>
        <w:pStyle w:val="23"/>
        <w:spacing w:before="0" w:after="120" w:line="240" w:lineRule="auto"/>
      </w:pPr>
      <w:r>
        <w:rPr>
          <w:b/>
          <w:bCs/>
          <w:sz w:val="24"/>
          <w:szCs w:val="24"/>
        </w:rPr>
        <w:t>7、实施过程中常见异常有哪些？如何处理？</w:t>
      </w:r>
    </w:p>
    <w:tbl>
      <w:tblPr>
        <w:tblStyle w:val="4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 w14:paraId="603A1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00" w:type="dxa"/>
            <w:tcMar>
              <w:top w:w="180" w:type="dxa"/>
            </w:tcMar>
          </w:tcPr>
          <w:tbl>
            <w:tblPr>
              <w:tblStyle w:val="42"/>
              <w:tblW w:w="5000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0"/>
              <w:gridCol w:w="3000"/>
              <w:gridCol w:w="3000"/>
            </w:tblGrid>
            <w:tr w14:paraId="273C1F3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E952C56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异常类型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A59A940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原因分析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340D5DC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处理方式</w:t>
                  </w:r>
                </w:p>
              </w:tc>
            </w:tr>
            <w:tr w14:paraId="71A146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0B5D97B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进机台时旋臂传感针报错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DD48DB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旋臂传感器相关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59998B8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重新对桶的高度进行标定；若仍反复报错，需修改产品参数</w:t>
                  </w:r>
                </w:p>
              </w:tc>
            </w:tr>
            <w:tr w14:paraId="797DE9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53D3EE4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光电未触发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CE03D59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车辆进入料架台时频繁出现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CA84DB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检查光电传感器状态及触发条件</w:t>
                  </w:r>
                </w:p>
              </w:tc>
            </w:tr>
            <w:tr w14:paraId="2098D8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6F73E7F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绕卷矩阵参数报错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A4F600E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华睿设备常见问题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D16CCFB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检查并修正矩阵参数配置</w:t>
                  </w:r>
                </w:p>
              </w:tc>
            </w:tr>
            <w:tr w14:paraId="3479BB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79A62A1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路线不可达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5DAF411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属于系统bug，现场无法直接分析错误码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996ACA9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进入车辆单片机和运行日志进行分析；已知原因包括运行点位不对（机台点位、运行区、缓存架、准备区之间的点位配置问题）</w:t>
                  </w:r>
                </w:p>
              </w:tc>
            </w:tr>
            <w:tr w14:paraId="503CEE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2A8F1F5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丢定位（非常常见）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FCE9368">
                  <w:pPr>
                    <w:pStyle w:val="24"/>
                    <w:spacing w:before="0" w:after="12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场景过于单一，环境特征不足，激光雷达无法有效定位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FE17E1C">
                  <w:pPr>
                    <w:pStyle w:val="24"/>
                    <w:spacing w:before="0" w:after="120" w:line="240" w:lineRule="auto"/>
                    <w:rPr>
                      <w:rFonts w:hint="eastAsia" w:eastAsiaTheme="minorEastAsia"/>
                      <w:lang w:val="en-US" w:eastAsia="zh-CN"/>
                    </w:rPr>
                  </w:pPr>
                  <w:r>
                    <w:rPr>
                      <w:color w:val="060A26"/>
                      <w:sz w:val="24"/>
                      <w:szCs w:val="24"/>
                    </w:rPr>
                    <w:t>张贴反光条</w:t>
                  </w:r>
                  <w:r>
                    <w:rPr>
                      <w:rFonts w:hint="eastAsia"/>
                      <w:color w:val="060A26"/>
                      <w:sz w:val="24"/>
                      <w:szCs w:val="24"/>
                      <w:lang w:val="en-US" w:eastAsia="zh-CN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>→ 部分地区裁剪 → 重新扫图  → 局部扫图</w:t>
                  </w:r>
                  <w:r>
                    <w:rPr>
                      <w:rFonts w:hint="eastAsia"/>
                      <w:color w:val="060A26"/>
                      <w:sz w:val="24"/>
                      <w:szCs w:val="24"/>
                      <w:lang w:val="en-US" w:eastAsia="zh-CN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>→ 部分地区裁剪</w:t>
                  </w:r>
                  <w:r>
                    <w:rPr>
                      <w:rFonts w:hint="eastAsia"/>
                      <w:color w:val="060A26"/>
                      <w:sz w:val="24"/>
                      <w:szCs w:val="24"/>
                      <w:lang w:val="en-US" w:eastAsia="zh-CN"/>
                    </w:rPr>
                    <w:t>拼接</w:t>
                  </w:r>
                </w:p>
              </w:tc>
            </w:tr>
          </w:tbl>
          <w:p w14:paraId="014ABEE9"/>
        </w:tc>
      </w:tr>
    </w:tbl>
    <w:p w14:paraId="55F83E2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67FCE56">
      <w:pPr>
        <w:pStyle w:val="23"/>
        <w:spacing w:before="0" w:after="120" w:line="240" w:lineRule="auto"/>
      </w:pPr>
      <w:r>
        <w:rPr>
          <w:b/>
          <w:bCs/>
          <w:sz w:val="24"/>
          <w:szCs w:val="24"/>
        </w:rPr>
        <w:t>8、梯控和安全门以及自动门的实施过没？你认为有哪些点容易误导交互调试？</w:t>
      </w:r>
    </w:p>
    <w:p w14:paraId="38037575">
      <w:pPr>
        <w:pStyle w:val="3"/>
        <w:spacing w:before="0" w:after="120" w:line="240" w:lineRule="auto"/>
      </w:pPr>
      <w:r>
        <w:rPr>
          <w:sz w:val="24"/>
          <w:szCs w:val="24"/>
        </w:rPr>
        <w:t>未直接参与梯控、安全门及自动门的实施。但通过华睿内部工作群和内部工单系统，查看过现场同事反馈及二线技术支持的技术分析，了解到以下常见问题：</w:t>
      </w:r>
    </w:p>
    <w:p w14:paraId="00584ABA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● </w:t>
      </w:r>
      <w:r>
        <w:rPr>
          <w:b/>
          <w:bCs/>
        </w:rPr>
        <w:t>电梯内丢定位：</w:t>
      </w:r>
      <w:r>
        <w:t> </w:t>
      </w:r>
      <w:r>
        <w:rPr>
          <w:rFonts w:hint="eastAsia"/>
        </w:rPr>
        <w:t>AGV进入电梯后容易丢失定位</w:t>
      </w:r>
    </w:p>
    <w:p w14:paraId="4F8AFEFE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● </w:t>
      </w:r>
      <w:r>
        <w:rPr>
          <w:b/>
          <w:bCs/>
        </w:rPr>
        <w:t>自动门夹车：</w:t>
      </w:r>
      <w:r>
        <w:t> </w:t>
      </w:r>
      <w:r>
        <w:rPr>
          <w:rFonts w:hint="eastAsia"/>
        </w:rPr>
        <w:t>AGV进电梯时部分情况下会被自动门夹到</w:t>
      </w:r>
    </w:p>
    <w:p w14:paraId="0696B064">
      <w:pPr>
        <w:pStyle w:val="3"/>
        <w:spacing w:before="0" w:after="120" w:line="240" w:lineRule="auto"/>
      </w:pPr>
      <w:r>
        <w:rPr>
          <w:sz w:val="24"/>
          <w:szCs w:val="24"/>
        </w:rPr>
        <w:t>容易误导交互调试的点：</w:t>
      </w:r>
    </w:p>
    <w:p w14:paraId="34815C7A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● </w:t>
      </w:r>
      <w:r>
        <w:rPr>
          <w:b/>
          <w:bCs/>
        </w:rPr>
        <w:t>电梯延迟问题：</w:t>
      </w:r>
      <w:r>
        <w:t> </w:t>
      </w:r>
      <w:r>
        <w:rPr>
          <w:rFonts w:hint="eastAsia"/>
        </w:rPr>
        <w:t>电梯运行需要30~40秒延迟，车辆出电梯门口时容易</w:t>
      </w:r>
      <w:r>
        <w:rPr>
          <w:rFonts w:hint="eastAsia"/>
          <w:lang w:val="en-US" w:eastAsia="zh-CN"/>
        </w:rPr>
        <w:t>超时</w:t>
      </w:r>
      <w:r>
        <w:rPr>
          <w:rFonts w:hint="eastAsia"/>
        </w:rPr>
        <w:t>报"人工干预"</w:t>
      </w:r>
    </w:p>
    <w:p w14:paraId="68996A6E">
      <w:pPr>
        <w:pStyle w:val="3"/>
        <w:spacing w:before="120" w:after="120" w:line="240" w:lineRule="auto"/>
      </w:pPr>
      <w:r>
        <w:rPr>
          <w:rFonts w:ascii="Arial" w:hAnsi="Arial" w:eastAsia="Arial" w:cs="Arial"/>
        </w:rPr>
        <w:t>● </w:t>
      </w:r>
      <w:r>
        <w:rPr>
          <w:b/>
          <w:bCs/>
        </w:rPr>
        <w:t>光栅误触发：</w:t>
      </w:r>
      <w:r>
        <w:t> </w:t>
      </w:r>
      <w:r>
        <w:rPr>
          <w:rFonts w:hint="eastAsia"/>
        </w:rPr>
        <w:t>出电梯过程中触发安全光栅，导致机构受限，这是现场非常常见的情况</w:t>
      </w:r>
    </w:p>
    <w:p w14:paraId="4FA95742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EE76CF">
      <w:pPr>
        <w:pStyle w:val="23"/>
        <w:spacing w:before="0" w:after="120" w:line="240" w:lineRule="auto"/>
      </w:pPr>
      <w:r>
        <w:rPr>
          <w:b/>
          <w:bCs/>
          <w:sz w:val="24"/>
          <w:szCs w:val="24"/>
        </w:rPr>
        <w:t>9、服务器的相关部署工作介绍？</w:t>
      </w:r>
    </w:p>
    <w:p w14:paraId="1D123B82">
      <w:pPr>
        <w:pStyle w:val="3"/>
        <w:spacing w:before="0" w:after="120" w:line="240" w:lineRule="auto"/>
      </w:pPr>
      <w:r>
        <w:rPr>
          <w:sz w:val="24"/>
          <w:szCs w:val="24"/>
        </w:rPr>
        <w:t>在宁德项目中，主要负责RCS系统的接口配网工作。具体包括：根据分配的IP地址，将RCS系统部署到对应IP中；通过单旋臂内部网口使用网线直连进行连接；使用Postman等工具进行端口发送测试。</w:t>
      </w:r>
    </w:p>
    <w:p w14:paraId="38704280">
      <w:pPr>
        <w:pStyle w:val="3"/>
        <w:spacing w:before="0" w:after="120" w:line="240" w:lineRule="auto"/>
      </w:pPr>
      <w:r>
        <w:rPr>
          <w:sz w:val="24"/>
          <w:szCs w:val="24"/>
        </w:rPr>
        <w:t>对服务器整体部署（如操作系统安装、数据库配置等）了解有限。</w:t>
      </w:r>
    </w:p>
    <w:p w14:paraId="4E55A5D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3CD7C18">
      <w:pPr>
        <w:pStyle w:val="23"/>
        <w:spacing w:before="0" w:after="120" w:line="240" w:lineRule="auto"/>
      </w:pPr>
      <w:r>
        <w:rPr>
          <w:b/>
          <w:bCs/>
          <w:sz w:val="24"/>
          <w:szCs w:val="24"/>
        </w:rPr>
        <w:t>10、有无完整主导项目全过程交付的"项目经理"管理经验，及带队规模？</w:t>
      </w:r>
    </w:p>
    <w:p w14:paraId="75E963EA">
      <w:pPr>
        <w:pStyle w:val="3"/>
        <w:spacing w:before="0" w:after="120" w:line="240" w:lineRule="auto"/>
      </w:pPr>
      <w:r>
        <w:rPr>
          <w:sz w:val="24"/>
          <w:szCs w:val="24"/>
        </w:rPr>
        <w:t>无相关主</w:t>
      </w:r>
      <w:bookmarkStart w:id="1" w:name="_GoBack"/>
      <w:bookmarkEnd w:id="1"/>
      <w:r>
        <w:rPr>
          <w:sz w:val="24"/>
          <w:szCs w:val="24"/>
        </w:rPr>
        <w:t>导项目交付的项目经理管理经验。</w:t>
      </w:r>
    </w:p>
    <w:p w14:paraId="553BA3B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7FEDC98">
      <w:pPr>
        <w:pStyle w:val="23"/>
        <w:spacing w:before="0" w:after="120" w:line="240" w:lineRule="auto"/>
      </w:pPr>
    </w:p>
    <w:bookmarkEnd w:id="0"/>
    <w:sectPr>
      <w:footnotePr>
        <w:numRestart w:val="eachSect"/>
      </w:footnotePr>
      <w:pgMar w:top="60" w:right="60" w:bottom="0" w:left="6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11B07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240" w:after="80"/>
      <w:outlineLvl w:val="1"/>
    </w:pPr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spacing w:before="160" w:after="60"/>
      <w:outlineLvl w:val="3"/>
    </w:pPr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spacing w:before="160" w:after="60"/>
      <w:outlineLvl w:val="4"/>
    </w:pPr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paragraph" w:styleId="8">
    <w:name w:val="heading 6"/>
    <w:basedOn w:val="1"/>
    <w:next w:val="3"/>
    <w:link w:val="36"/>
    <w:unhideWhenUsed/>
    <w:qFormat/>
    <w:uiPriority w:val="9"/>
    <w:pPr>
      <w:keepNext/>
      <w:keepLines/>
      <w:spacing w:before="120" w:after="40"/>
      <w:outlineLvl w:val="5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9">
    <w:name w:val="heading 7"/>
    <w:basedOn w:val="1"/>
    <w:next w:val="3"/>
    <w:link w:val="37"/>
    <w:unhideWhenUsed/>
    <w:qFormat/>
    <w:uiPriority w:val="9"/>
    <w:pPr>
      <w:keepNext/>
      <w:keepLines/>
      <w:spacing w:before="120" w:after="40"/>
      <w:outlineLvl w:val="6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0">
    <w:name w:val="heading 8"/>
    <w:basedOn w:val="1"/>
    <w:next w:val="3"/>
    <w:link w:val="38"/>
    <w:unhideWhenUsed/>
    <w:qFormat/>
    <w:uiPriority w:val="9"/>
    <w:pPr>
      <w:keepNext/>
      <w:keepLines/>
      <w:spacing w:before="120" w:after="40"/>
      <w:outlineLvl w:val="7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1">
    <w:name w:val="heading 9"/>
    <w:basedOn w:val="1"/>
    <w:next w:val="3"/>
    <w:link w:val="39"/>
    <w:unhideWhenUsed/>
    <w:qFormat/>
    <w:uiPriority w:val="9"/>
    <w:pPr>
      <w:keepNext/>
      <w:keepLines/>
      <w:spacing w:before="120" w:after="40"/>
      <w:outlineLvl w:val="8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0" w:after="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pBdr>
        <w:left w:val="single" w:color="CCCCCC" w:sz="18" w:space="12"/>
      </w:pBdr>
      <w:spacing w:before="100" w:after="100"/>
      <w:ind w:left="480" w:right="480" w:firstLine="0"/>
    </w:pPr>
    <w:rPr>
      <w:color w:val="999999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0" w:after="0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character" w:customStyle="1" w:styleId="32">
    <w:name w:val="Heading 2 Char"/>
    <w:basedOn w:val="19"/>
    <w:link w:val="4"/>
    <w:uiPriority w:val="9"/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character" w:customStyle="1" w:styleId="33">
    <w:name w:val="Heading 3 Char"/>
    <w:basedOn w:val="19"/>
    <w:link w:val="5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34">
    <w:name w:val="Heading 4 Char"/>
    <w:basedOn w:val="19"/>
    <w:link w:val="6"/>
    <w:uiPriority w:val="9"/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character" w:customStyle="1" w:styleId="35">
    <w:name w:val="Heading 5 Char"/>
    <w:basedOn w:val="19"/>
    <w:link w:val="7"/>
    <w:uiPriority w:val="9"/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character" w:customStyle="1" w:styleId="36">
    <w:name w:val="Heading 6 Char"/>
    <w:basedOn w:val="19"/>
    <w:link w:val="8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7">
    <w:name w:val="Heading 7 Char"/>
    <w:basedOn w:val="19"/>
    <w:link w:val="9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8">
    <w:name w:val="Heading 8 Char"/>
    <w:basedOn w:val="19"/>
    <w:link w:val="10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9">
    <w:name w:val="Heading 9 Char"/>
    <w:basedOn w:val="19"/>
    <w:link w:val="11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unhideWhenUsed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5" w:type="dxa"/>
        <w:left w:w="108" w:type="dxa"/>
        <w:bottom w:w="55" w:type="dxa"/>
        <w:right w:w="108" w:type="dxa"/>
      </w:tblCellMar>
    </w:tblPr>
    <w:tblStylePr w:type="firstRow">
      <w:rPr>
        <w:b/>
        <w:bCs/>
      </w:rPr>
      <w:tcPr>
        <w:tcBorders>
          <w:bottom w:val="single" w:color="000000" w:sz="8" w:space="0"/>
        </w:tcBorders>
        <w:vAlign w:val="bottom"/>
      </w:tcPr>
    </w:tblStylePr>
  </w:style>
  <w:style w:type="table" w:customStyle="1" w:styleId="42">
    <w:name w:val="BorderlessTable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paragraph" w:customStyle="1" w:styleId="49">
    <w:name w:val="Source Code"/>
    <w:basedOn w:val="1"/>
    <w:qFormat/>
    <w:uiPriority w:val="9"/>
    <w:pPr>
      <w:shd w:val="clear" w:color="auto" w:fill="F0F0F0"/>
      <w:spacing w:before="100" w:after="100"/>
      <w:ind w:left="240" w:right="240"/>
    </w:pPr>
    <w:rPr>
      <w:rFonts w:ascii="Consolas" w:hAnsi="Consolas"/>
      <w:color w:val="333333"/>
      <w:sz w:val="22"/>
    </w:rPr>
  </w:style>
  <w:style w:type="character" w:customStyle="1" w:styleId="50">
    <w:name w:val="Verbatim Char"/>
    <w:basedOn w:val="21"/>
    <w:qFormat/>
    <w:uiPriority w:val="0"/>
    <w:rPr>
      <w:rFonts w:ascii="Consolas" w:hAnsi="Consolas"/>
      <w:color w:val="333333"/>
      <w:sz w:val="22"/>
      <w:shd w:val="clear" w:color="auto" w:fill="F0F0F0"/>
    </w:rPr>
  </w:style>
  <w:style w:type="character" w:customStyle="1" w:styleId="51">
    <w:name w:val="Section Number"/>
    <w:basedOn w:val="21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</w:rPr>
  </w:style>
  <w:style w:type="character" w:customStyle="1" w:styleId="53">
    <w:name w:val="KeywordTok"/>
    <w:basedOn w:val="50"/>
    <w:uiPriority w:val="0"/>
    <w:rPr>
      <w:b/>
      <w:color w:val="007020"/>
    </w:rPr>
  </w:style>
  <w:style w:type="character" w:customStyle="1" w:styleId="54">
    <w:name w:val="DataTypeTok"/>
    <w:basedOn w:val="50"/>
    <w:uiPriority w:val="0"/>
    <w:rPr>
      <w:color w:val="902000"/>
    </w:rPr>
  </w:style>
  <w:style w:type="character" w:customStyle="1" w:styleId="55">
    <w:name w:val="DecValTok"/>
    <w:basedOn w:val="50"/>
    <w:qFormat/>
    <w:uiPriority w:val="0"/>
    <w:rPr>
      <w:color w:val="40A070"/>
    </w:rPr>
  </w:style>
  <w:style w:type="character" w:customStyle="1" w:styleId="56">
    <w:name w:val="BaseNTok"/>
    <w:basedOn w:val="50"/>
    <w:qFormat/>
    <w:uiPriority w:val="0"/>
    <w:rPr>
      <w:color w:val="40A070"/>
    </w:rPr>
  </w:style>
  <w:style w:type="character" w:customStyle="1" w:styleId="57">
    <w:name w:val="FloatTok"/>
    <w:basedOn w:val="50"/>
    <w:uiPriority w:val="0"/>
    <w:rPr>
      <w:color w:val="40A070"/>
    </w:rPr>
  </w:style>
  <w:style w:type="character" w:customStyle="1" w:styleId="58">
    <w:name w:val="ConstantTok"/>
    <w:basedOn w:val="50"/>
    <w:uiPriority w:val="0"/>
    <w:rPr>
      <w:color w:val="880000"/>
    </w:rPr>
  </w:style>
  <w:style w:type="character" w:customStyle="1" w:styleId="59">
    <w:name w:val="CharTok"/>
    <w:basedOn w:val="50"/>
    <w:uiPriority w:val="0"/>
    <w:rPr>
      <w:color w:val="4070A0"/>
    </w:rPr>
  </w:style>
  <w:style w:type="character" w:customStyle="1" w:styleId="60">
    <w:name w:val="SpecialCharTok"/>
    <w:basedOn w:val="50"/>
    <w:uiPriority w:val="0"/>
    <w:rPr>
      <w:color w:val="4070A0"/>
    </w:rPr>
  </w:style>
  <w:style w:type="character" w:customStyle="1" w:styleId="61">
    <w:name w:val="StringTok"/>
    <w:basedOn w:val="50"/>
    <w:uiPriority w:val="0"/>
    <w:rPr>
      <w:color w:val="4070A0"/>
    </w:rPr>
  </w:style>
  <w:style w:type="character" w:customStyle="1" w:styleId="62">
    <w:name w:val="VerbatimStringTok"/>
    <w:basedOn w:val="50"/>
    <w:uiPriority w:val="0"/>
    <w:rPr>
      <w:color w:val="4070A0"/>
    </w:rPr>
  </w:style>
  <w:style w:type="character" w:customStyle="1" w:styleId="63">
    <w:name w:val="SpecialStringTok"/>
    <w:basedOn w:val="50"/>
    <w:uiPriority w:val="0"/>
    <w:rPr>
      <w:color w:val="BB6688"/>
    </w:rPr>
  </w:style>
  <w:style w:type="character" w:customStyle="1" w:styleId="64">
    <w:name w:val="ImportTok"/>
    <w:basedOn w:val="50"/>
    <w:uiPriority w:val="0"/>
    <w:rPr>
      <w:b/>
      <w:color w:val="008000"/>
    </w:rPr>
  </w:style>
  <w:style w:type="character" w:customStyle="1" w:styleId="65">
    <w:name w:val="CommentTok"/>
    <w:basedOn w:val="50"/>
    <w:uiPriority w:val="0"/>
    <w:rPr>
      <w:i/>
      <w:color w:val="60A0B0"/>
    </w:rPr>
  </w:style>
  <w:style w:type="character" w:customStyle="1" w:styleId="66">
    <w:name w:val="DocumentationTok"/>
    <w:basedOn w:val="50"/>
    <w:qFormat/>
    <w:uiPriority w:val="0"/>
    <w:rPr>
      <w:i/>
      <w:color w:val="BA2121"/>
    </w:rPr>
  </w:style>
  <w:style w:type="character" w:customStyle="1" w:styleId="67">
    <w:name w:val="AnnotationTok"/>
    <w:basedOn w:val="50"/>
    <w:uiPriority w:val="0"/>
    <w:rPr>
      <w:b/>
      <w:i/>
      <w:color w:val="60A0B0"/>
    </w:rPr>
  </w:style>
  <w:style w:type="character" w:customStyle="1" w:styleId="68">
    <w:name w:val="CommentVarTok"/>
    <w:basedOn w:val="50"/>
    <w:uiPriority w:val="0"/>
    <w:rPr>
      <w:b/>
      <w:i/>
      <w:color w:val="60A0B0"/>
    </w:rPr>
  </w:style>
  <w:style w:type="character" w:customStyle="1" w:styleId="69">
    <w:name w:val="OtherTok"/>
    <w:basedOn w:val="50"/>
    <w:qFormat/>
    <w:uiPriority w:val="0"/>
    <w:rPr>
      <w:color w:val="007020"/>
    </w:rPr>
  </w:style>
  <w:style w:type="character" w:customStyle="1" w:styleId="70">
    <w:name w:val="FunctionTok"/>
    <w:basedOn w:val="50"/>
    <w:uiPriority w:val="0"/>
    <w:rPr>
      <w:color w:val="06287E"/>
    </w:rPr>
  </w:style>
  <w:style w:type="character" w:customStyle="1" w:styleId="71">
    <w:name w:val="VariableTok"/>
    <w:basedOn w:val="50"/>
    <w:uiPriority w:val="0"/>
    <w:rPr>
      <w:color w:val="19177C"/>
    </w:rPr>
  </w:style>
  <w:style w:type="character" w:customStyle="1" w:styleId="72">
    <w:name w:val="ControlFlowTok"/>
    <w:basedOn w:val="50"/>
    <w:qFormat/>
    <w:uiPriority w:val="0"/>
    <w:rPr>
      <w:b/>
      <w:color w:val="007020"/>
    </w:rPr>
  </w:style>
  <w:style w:type="character" w:customStyle="1" w:styleId="73">
    <w:name w:val="OperatorTok"/>
    <w:basedOn w:val="50"/>
    <w:uiPriority w:val="0"/>
    <w:rPr>
      <w:color w:val="666666"/>
    </w:rPr>
  </w:style>
  <w:style w:type="character" w:customStyle="1" w:styleId="74">
    <w:name w:val="BuiltInTok"/>
    <w:basedOn w:val="50"/>
    <w:uiPriority w:val="0"/>
    <w:rPr>
      <w:color w:val="008000"/>
    </w:rPr>
  </w:style>
  <w:style w:type="character" w:customStyle="1" w:styleId="75">
    <w:name w:val="ExtensionTok"/>
    <w:basedOn w:val="50"/>
    <w:uiPriority w:val="0"/>
  </w:style>
  <w:style w:type="character" w:customStyle="1" w:styleId="76">
    <w:name w:val="PreprocessorTok"/>
    <w:basedOn w:val="50"/>
    <w:qFormat/>
    <w:uiPriority w:val="0"/>
    <w:rPr>
      <w:color w:val="BC7A00"/>
    </w:rPr>
  </w:style>
  <w:style w:type="character" w:customStyle="1" w:styleId="77">
    <w:name w:val="AttributeTok"/>
    <w:basedOn w:val="50"/>
    <w:uiPriority w:val="0"/>
    <w:rPr>
      <w:color w:val="7D9029"/>
    </w:rPr>
  </w:style>
  <w:style w:type="character" w:customStyle="1" w:styleId="78">
    <w:name w:val="RegionMarkerTok"/>
    <w:basedOn w:val="50"/>
    <w:uiPriority w:val="0"/>
  </w:style>
  <w:style w:type="character" w:customStyle="1" w:styleId="79">
    <w:name w:val="InformationTok"/>
    <w:basedOn w:val="50"/>
    <w:uiPriority w:val="0"/>
    <w:rPr>
      <w:b/>
      <w:i/>
      <w:color w:val="60A0B0"/>
    </w:rPr>
  </w:style>
  <w:style w:type="character" w:customStyle="1" w:styleId="80">
    <w:name w:val="WarningTok"/>
    <w:basedOn w:val="50"/>
    <w:uiPriority w:val="0"/>
    <w:rPr>
      <w:b/>
      <w:i/>
      <w:color w:val="60A0B0"/>
    </w:rPr>
  </w:style>
  <w:style w:type="character" w:customStyle="1" w:styleId="81">
    <w:name w:val="AlertTok"/>
    <w:basedOn w:val="50"/>
    <w:uiPriority w:val="0"/>
    <w:rPr>
      <w:b/>
      <w:color w:val="FF0000"/>
    </w:rPr>
  </w:style>
  <w:style w:type="character" w:customStyle="1" w:styleId="82">
    <w:name w:val="ErrorTok"/>
    <w:basedOn w:val="50"/>
    <w:uiPriority w:val="0"/>
    <w:rPr>
      <w:b/>
      <w:color w:val="FF0000"/>
    </w:rPr>
  </w:style>
  <w:style w:type="character" w:customStyle="1" w:styleId="83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1909</Words>
  <Characters>2036</Characters>
  <Lines>12</Lines>
  <Paragraphs>8</Paragraphs>
  <TotalTime>4</TotalTime>
  <ScaleCrop>false</ScaleCrop>
  <LinksUpToDate>false</LinksUpToDate>
  <CharactersWithSpaces>2091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2026-09-15T03:26:00Z</dcterms:created>
  <dc:creator>Administrator</dc:creator>
  <cp:lastModifiedBy>陈神奇</cp:lastModifiedBy>
  <dcterms:modified xsi:type="dcterms:W3CDTF">2026-09-15T03:32:24Z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0L1Q3a06VRu+3A/4rTlhHgonMTJvp87O0et5ohd5xwA=","ProduceID":"doc_sgs:f4ced979-6e9a-4cef-b609-ff1e05bcc0c5","ReservedCode2":"0L1Q3a06VRu+3A/4rTlhHgonMTJvp87O0et5ohd5xwA=","PropagateID":"doc_sgs:f4ced979-6e9a-4cef-b609-ff1e05bcc0c5","ContentProducer":"001191440101MA9Y9T4H7A00000"}</vt:lpwstr>
  </property>
  <property fmtid="{D5CDD505-2E9C-101B-9397-08002B2CF9AE}" pid="3" name="KSOTemplateDocerSaveRecord">
    <vt:lpwstr>eyJoZGlkIjoiOTc4NWM3MzAxZjY0ZDliMWRjYzE4MWE0NzMyOWQ0ZTQiLCJ1c2VySWQiOiI0NTU5NjY3NzgifQ==</vt:lpwstr>
  </property>
  <property fmtid="{D5CDD505-2E9C-101B-9397-08002B2CF9AE}" pid="4" name="KSOProductBuildVer">
    <vt:lpwstr>2052-12.1.0.28505</vt:lpwstr>
  </property>
  <property fmtid="{D5CDD505-2E9C-101B-9397-08002B2CF9AE}" pid="5" name="ICV">
    <vt:lpwstr>62BA76353A864302ABB592806780B112_12</vt:lpwstr>
  </property>
</Properties>
</file>