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Become a Brainrot — Performance &amp; CCU Investigation</w:t>
      </w:r>
    </w:p>
    <w:p>
      <w:pPr>
        <w:pBdr>
          <w:bottom w:val="single" w:color="C0392B" w:sz="12"/>
        </w:pBd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QA findings — client render profiling + analytics review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E7A34"/>
          <w:sz w:val="21"/>
          <w:szCs w:val="21"/>
        </w:rPr>
        <w:t xml:space="preserve">The new brainrot models did NOT cause the CCU drop. </w:t>
      </w:r>
      <w:r>
        <w:rPr>
          <w:rFonts w:ascii="Calibri" w:cs="Calibri" w:eastAsia="Calibri" w:hAnsi="Calibri"/>
          <w:sz w:val="21"/>
          <w:szCs w:val="21"/>
        </w:rPr>
        <w:t xml:space="preserve">The decline begins Jul 20 — two days before the models were published (Jul 22).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bulk of client render cost is one folder: </w:t>
      </w:r>
      <w:r>
        <w:rPr>
          <w:rFonts w:ascii="Consolas" w:cs="Consolas" w:eastAsia="Consolas" w:hAnsi="Consolas"/>
          <w:b/>
          <w:bCs/>
          <w:color w:val="C0392B"/>
          <w:sz w:val="21"/>
          <w:szCs w:val="21"/>
        </w:rPr>
        <w:t xml:space="preserve">Workspace.Garden</w:t>
      </w:r>
      <w:r>
        <w:rPr>
          <w:rFonts w:ascii="Calibri" w:cs="Calibri" w:eastAsia="Calibri" w:hAnsi="Calibri"/>
          <w:sz w:val="21"/>
          <w:szCs w:val="21"/>
        </w:rPr>
        <w:t xml:space="preserve"> holds ~1,781 particle emitters — 84% of all live emitters. Disabling it alone roughly halves render time.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Brainrot models account for ~4% of live emitters. </w:t>
      </w:r>
      <w:r>
        <w:rPr>
          <w:rFonts w:ascii="Calibri" w:cs="Calibri" w:eastAsia="Calibri" w:hAnsi="Calibri"/>
          <w:sz w:val="21"/>
          <w:szCs w:val="21"/>
        </w:rPr>
        <w:t xml:space="preserve">Their render contribution is minor.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Session time did fall ~11%. Real, but a secondary effect and not proven tied to the models — it can't explain a 38% DAU drop on its own.</w:t>
      </w:r>
    </w:p>
    <w:p>
      <w:pPr>
        <w:pBdr>
          <w:bottom w:val="single" w:color="D9D9D9" w:sz="6"/>
        </w:pBdr>
        <w:spacing w:after="120" w:before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1 — Did the model swap cause the CCU drop?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Short answer: no. </w:t>
      </w:r>
      <w:r>
        <w:rPr>
          <w:rFonts w:ascii="Calibri" w:cs="Calibri" w:eastAsia="Calibri" w:hAnsi="Calibri"/>
          <w:sz w:val="21"/>
          <w:szCs w:val="21"/>
        </w:rPr>
        <w:t xml:space="preserve">The daily active users curve shows the decline starting before the update shipped.</w:t>
      </w:r>
    </w:p>
    <w:tbl>
      <w:tblPr>
        <w:tblW w:type="dxa" w:w="6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400"/>
        <w:gridCol w:w="1800"/>
        <w:gridCol w:w="34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DAU (approx.)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Jul 19 (Sun)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~855K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local peak</w:t>
            </w:r>
          </w:p>
        </w:tc>
      </w:tr>
      <w:tr>
        <w:tc>
          <w:tcPr>
            <w:tcW w:type="dxa" w:w="1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Jul 20 (Mon)</w:t>
            </w:r>
          </w:p>
        </w:tc>
        <w:tc>
          <w:tcPr>
            <w:tcW w:type="dxa" w:w="18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~610K</w:t>
            </w:r>
          </w:p>
        </w:tc>
        <w:tc>
          <w:tcPr>
            <w:tcW w:type="dxa" w:w="3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−29% — decline starts here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Jul 21 (Tue)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~500K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−18%</w:t>
            </w:r>
          </w:p>
        </w:tc>
      </w:tr>
      <w:tr>
        <w:tc>
          <w:tcPr>
            <w:tcW w:type="dxa" w:w="1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Jul 22 (Wed)</w:t>
            </w:r>
          </w:p>
        </w:tc>
        <w:tc>
          <w:tcPr>
            <w:tcW w:type="dxa" w:w="18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~370K</w:t>
            </w:r>
          </w:p>
        </w:tc>
        <w:tc>
          <w:tcPr>
            <w:tcW w:type="dxa" w:w="3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trough — new models published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Jul 23 (Thu)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~565K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+53% — recovery</w:t>
            </w:r>
          </w:p>
        </w:tc>
      </w:tr>
    </w:tbl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DAU by day. Values read from the dashboard chart (approximate).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Daily active users, Jul 1–23. The break is Jul 19→20, before the Jul 22 publish.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this is conclusive: </w:t>
      </w:r>
      <w:r>
        <w:rPr>
          <w:rFonts w:ascii="Calibri" w:cs="Calibri" w:eastAsia="Calibri" w:hAnsi="Calibri"/>
          <w:sz w:val="21"/>
          <w:szCs w:val="21"/>
        </w:rPr>
        <w:t xml:space="preserve">a drop that starts two days before the publish cannot have been caused by the publish. Jul 23 then recovers +53%, and growth has continued since. </w:t>
      </w:r>
      <w:r>
        <w:rPr>
          <w:rFonts w:ascii="Calibri" w:cs="Calibri" w:eastAsia="Calibri" w:hAnsi="Calibri"/>
          <w:sz w:val="21"/>
          <w:szCs w:val="21"/>
        </w:rPr>
        <w:t xml:space="preserve">(Note: the Jul 23 spike is partly attributable to weekend admin activity, per Nina — but that affects the recovery, not the pre-publish decline, which is the load-bearing fact here.)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Still open: </w:t>
      </w:r>
      <w:r>
        <w:rPr>
          <w:rFonts w:ascii="Calibri" w:cs="Calibri" w:eastAsia="Calibri" w:hAnsi="Calibri"/>
          <w:sz w:val="21"/>
          <w:szCs w:val="21"/>
        </w:rPr>
        <w:t xml:space="preserve">exact timestamp of the stolen-asset takedown. If it lands Jul 19–20, it fully explains the curve. Requested from Nina.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2 — Where the render cost actually is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Method: </w:t>
      </w:r>
      <w:r>
        <w:rPr>
          <w:rFonts w:ascii="Calibri" w:cs="Calibri" w:eastAsia="Calibri" w:hAnsi="Calibri"/>
          <w:sz w:val="21"/>
          <w:szCs w:val="21"/>
        </w:rPr>
        <w:t xml:space="preserve">MicroProfiler HTML dumps captured in Studio Play mode on the dev place, same camera position, 60 frames each. One variable changed between captures (particle emitters). Machine: AMD Ryzen 7 7800X3D, RX 9070 XT, 1080p, quality 12.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The ablation result</w:t>
      </w:r>
    </w:p>
    <w:tbl>
      <w:tblPr>
        <w:tblW w:type="dxa" w:w="7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200"/>
        <w:gridCol w:w="1500"/>
        <w:gridCol w:w="2100"/>
        <w:gridCol w:w="1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Garden emitters off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All emitters off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Render (CPU) ms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8.65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4.07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3.89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GPU ms</w:t>
            </w:r>
          </w:p>
        </w:tc>
        <w:tc>
          <w:tcPr>
            <w:tcW w:type="dxa" w:w="15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1.40</w:t>
            </w:r>
          </w:p>
        </w:tc>
        <w:tc>
          <w:tcPr>
            <w:tcW w:type="dxa" w:w="21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1.79</w:t>
            </w:r>
          </w:p>
        </w:tc>
        <w:tc>
          <w:tcPr>
            <w:tcW w:type="dxa" w:w="18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1.31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particles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9,730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1,323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Draw calls</w:t>
            </w:r>
          </w:p>
        </w:tc>
        <w:tc>
          <w:tcPr>
            <w:tcW w:type="dxa" w:w="15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340</w:t>
            </w:r>
          </w:p>
        </w:tc>
        <w:tc>
          <w:tcPr>
            <w:tcW w:type="dxa" w:w="21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173</w:t>
            </w:r>
          </w:p>
        </w:tc>
        <w:tc>
          <w:tcPr>
            <w:tcW w:type="dxa" w:w="18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131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Materials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1,368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174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114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Triangles</w:t>
            </w:r>
          </w:p>
        </w:tc>
        <w:tc>
          <w:tcPr>
            <w:tcW w:type="dxa" w:w="15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610,738</w:t>
            </w:r>
          </w:p>
        </w:tc>
        <w:tc>
          <w:tcPr>
            <w:tcW w:type="dxa" w:w="21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471,615</w:t>
            </w:r>
          </w:p>
        </w:tc>
        <w:tc>
          <w:tcPr>
            <w:tcW w:type="dxa" w:w="18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577,199</w:t>
            </w:r>
          </w:p>
        </w:tc>
      </w:tr>
    </w:tbl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Disabling Garden emitters alone recovers 4.58 ms of the 4.77 ms recovered by disabling everything.</w:t>
      </w:r>
    </w:p>
    <w:p>
      <w:pPr>
        <w:spacing w:after="60" w:before="80"/>
        <w:jc w:val="center"/>
      </w:pPr>
      <w:r>
        <w:drawing>
          <wp:inline distT="0" distB="0" distL="0" distR="0">
            <wp:extent cx="4191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GPU never moves — it sits at ~1.4 ms throughout while the render CPU thread is 8.65 ms.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This is a CPU-bound render-submission problem, not a shading or overdraw problem.</w:t>
      </w:r>
      <w:r>
        <w:rPr>
          <w:rFonts w:ascii="Calibri" w:cs="Calibri" w:eastAsia="Calibri" w:hAnsi="Calibri"/>
          <w:sz w:val="21"/>
          <w:szCs w:val="21"/>
        </w:rPr>
        <w:t xml:space="preserve"> That matters for mobile: lowering graphics quality on a phone reduces GPU load, not CPU submission, so it will not help here.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Where the emitters live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Counted live in Workspace (single-player, one plot populated): 2,098 emitters total.</w:t>
      </w:r>
    </w:p>
    <w:p>
      <w:pPr>
        <w:spacing w:after="60" w:before="80"/>
        <w:jc w:val="center"/>
      </w:pPr>
      <w:r>
        <w:drawing>
          <wp:inline distT="0" distB="0" distL="0" distR="0">
            <wp:extent cx="4191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6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3400"/>
        <w:gridCol w:w="1600"/>
        <w:gridCol w:w="16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Live emitters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Workspace.Garden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1,781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84%</w:t>
            </w:r>
          </w:p>
        </w:tc>
      </w:tr>
      <w:tr>
        <w:tc>
          <w:tcPr>
            <w:tcW w:type="dxa" w:w="3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Plots</w:t>
            </w:r>
          </w:p>
        </w:tc>
        <w:tc>
          <w:tcPr>
            <w:tcW w:type="dxa" w:w="16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83</w:t>
            </w:r>
          </w:p>
        </w:tc>
        <w:tc>
          <w:tcPr>
            <w:tcW w:type="dxa" w:w="16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3.9%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Tredmills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3.1%</w:t>
            </w:r>
          </w:p>
        </w:tc>
      </w:tr>
      <w:tr>
        <w:tc>
          <w:tcPr>
            <w:tcW w:type="dxa" w:w="3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Map</w:t>
            </w:r>
          </w:p>
        </w:tc>
        <w:tc>
          <w:tcPr>
            <w:tcW w:type="dxa" w:w="16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6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2.2%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Brainrot models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92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9"/>
                <w:szCs w:val="19"/>
              </w:rPr>
              <w:t xml:space="preserve">4.3%</w:t>
            </w:r>
          </w:p>
        </w:tc>
      </w:tr>
      <w:tr>
        <w:tc>
          <w:tcPr>
            <w:tcW w:type="dxa" w:w="3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Limited</w:t>
            </w:r>
          </w:p>
        </w:tc>
        <w:tc>
          <w:tcPr>
            <w:tcW w:type="dxa" w:w="16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Locations / EventDesk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1.3%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each particle costs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~0.50 µs of render CPU per live particle; ~2.1 µs per enabled emitter.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Particles generated 92% of all materials (1,368 → 114) and 61% of all draw calls (340 → 131).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On the test rig: ~114 FPS → ~254 FPS with emitters off. On mobile (4–6× slower single-thread), this is roughly the difference between ~20 FPS and ~45 FPS.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Caveats &amp; confidence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Single-player, one plot. </w:t>
      </w:r>
      <w:r>
        <w:rPr>
          <w:rFonts w:ascii="Calibri" w:cs="Calibri" w:eastAsia="Calibri" w:hAnsi="Calibri"/>
          <w:sz w:val="21"/>
          <w:szCs w:val="21"/>
        </w:rPr>
        <w:t xml:space="preserve">On a full 6-plot server, brainrot emitters will be higher than 92 — but nowhere near Garden's 1,781, so the ranking holds. Re-measure on a populated server to firm up exact shares.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Garden-off capture had a slightly different scene state </w:t>
      </w:r>
      <w:r>
        <w:rPr>
          <w:rFonts w:ascii="Calibri" w:cs="Calibri" w:eastAsia="Calibri" w:hAnsi="Calibri"/>
          <w:sz w:val="21"/>
          <w:szCs w:val="21"/>
        </w:rPr>
        <w:t xml:space="preserve">(1,931 vs 2,098 total emitters, and lower triangle count), so ~96% is approximate. A back-to-back same-session capture would nail it down.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Weather events (Toxic / Candy) also carry emitters and were cycling during capture — worth isolating separately.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Recommended actions</w:t>
      </w:r>
    </w:p>
    <w:tbl>
      <w:tblPr>
        <w:tblW w:type="dxa" w:w="7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200"/>
        <w:gridCol w:w="2400"/>
        <w:gridCol w:w="34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Workspace.Garden emitters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 ~1,781 emitters. Confirm whether Garden stays loaded outside the GrowGarden event — if so, every player pays ~4.5 ms permanently. Cull, pool, or LOD-gate by distance.</w:t>
            </w:r>
          </w:p>
        </w:tc>
      </w:tr>
      <w:tr>
        <w:tc>
          <w:tcPr>
            <w:tcW w:type="dxa" w:w="12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MED</w:t>
            </w:r>
          </w:p>
        </w:tc>
        <w:tc>
          <w:tcPr>
            <w:tcW w:type="dxa" w:w="2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Weather event emitters</w:t>
            </w:r>
          </w:p>
        </w:tc>
        <w:tc>
          <w:tcPr>
            <w:tcW w:type="dxa" w:w="3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Isolate Toxic/Candy emitter cost in a separate capture.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MED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Emitter budget per model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models average 6.5 emitters each; newest world (Mystic) ~13. Set a per-model cap.</w:t>
            </w:r>
          </w:p>
        </w:tc>
      </w:tr>
      <w:tr>
        <w:tc>
          <w:tcPr>
            <w:tcW w:type="dxa" w:w="12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Pre-existing debt</w:t>
            </w:r>
          </w:p>
        </w:tc>
        <w:tc>
          <w:tcPr>
            <w:tcW w:type="dxa" w:w="3400"/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 always-awake Guard Humanoids; 306 unthrottled animators; several 5.33 MB (1024²) textures. Not tied to the swap, but worth a pass.</w:t>
            </w:r>
          </w:p>
        </w:tc>
      </w:tr>
    </w:tbl>
    <w:p>
      <w:pPr>
        <w:pBdr>
          <w:bottom w:val="single" w:color="D9D9D9" w:sz="6"/>
        </w:pBdr>
        <w:spacing w:after="120" w:before="60"/>
      </w:pPr>
    </w:p>
    <w:p>
      <w:pPr>
        <w:spacing w:before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Appendix — raw MicroProfiler context (baseline capture, brainrots visible during keyboard event)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MicroProfiler flamegraph overlay, live game. Full HTML dumps available 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3447f83a657fd45a721aa70c8a074e542aa934.png"/><Relationship Id="rId8" Type="http://schemas.openxmlformats.org/officeDocument/2006/relationships/image" Target="media/8cc5a60e8fff66ef7754db3322f272710e3fbe00.png"/><Relationship Id="rId9" Type="http://schemas.openxmlformats.org/officeDocument/2006/relationships/image" Target="media/3dcf5fefb0a9d5eea07bde1b9d5d01c8ea25cb45.png"/><Relationship Id="rId10" Type="http://schemas.openxmlformats.org/officeDocument/2006/relationships/image" Target="media/611414e5aa8b3e482ec4b29176ea735667e7ee2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2026-07-28T18:19:30.348Z</dcterms:created>
  <dcterms:modified xsi:type="dcterms:W3CDTF">2026-07-28T18:19:30.348Z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