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9CFD8B" w14:textId="77777777" w:rsidR="00CA140A" w:rsidRPr="00FD24BA" w:rsidRDefault="00000000">
      <w:pPr>
        <w:pBdr>
          <w:bottom w:val="single" w:sz="12" w:space="0" w:color="1F3864"/>
        </w:pBdr>
        <w:spacing w:after="4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18"/>
          <w:szCs w:val="18"/>
        </w:rPr>
        <w:t>FINM 33100 Project · Track 1: Market Structure</w:t>
      </w:r>
    </w:p>
    <w:p w14:paraId="16B7A3C7" w14:textId="77777777" w:rsidR="00CA140A" w:rsidRPr="00FD24BA" w:rsidRDefault="00000000">
      <w:pPr>
        <w:spacing w:before="120" w:after="4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34"/>
          <w:szCs w:val="34"/>
        </w:rPr>
        <w:t>Comparing Portfolio Construction Methods through a PCA Lens</w:t>
      </w:r>
    </w:p>
    <w:p w14:paraId="1E12BA86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Diversification of five allocation schemes across market regimes, 2003–2025</w:t>
      </w:r>
    </w:p>
    <w:p w14:paraId="4F8A671E" w14:textId="1CE27055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  <w:sz w:val="19"/>
          <w:szCs w:val="19"/>
        </w:rPr>
        <w:t>Enrique Zambrano</w:t>
      </w:r>
      <w:r w:rsidR="00FD24BA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, </w:t>
      </w:r>
      <w:r w:rsidRPr="00FD24BA">
        <w:rPr>
          <w:rFonts w:ascii="Times New Roman" w:hAnsi="Times New Roman" w:cs="Times New Roman"/>
          <w:color w:val="000000" w:themeColor="text1"/>
          <w:sz w:val="19"/>
          <w:szCs w:val="19"/>
        </w:rPr>
        <w:t>Chirag Jha</w:t>
      </w:r>
      <w:r w:rsidR="00FD24BA">
        <w:rPr>
          <w:rFonts w:ascii="Times New Roman" w:hAnsi="Times New Roman" w:cs="Times New Roman"/>
          <w:color w:val="000000" w:themeColor="text1"/>
          <w:sz w:val="19"/>
          <w:szCs w:val="19"/>
        </w:rPr>
        <w:t>,</w:t>
      </w:r>
      <w:r w:rsidRPr="00FD24BA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Anthony Mazy</w:t>
      </w:r>
      <w:r w:rsidR="00FD24BA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, </w:t>
      </w:r>
      <w:r w:rsidR="00FD24BA" w:rsidRPr="00FD24BA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Bangjie Xu </w:t>
      </w:r>
    </w:p>
    <w:p w14:paraId="7F726D5C" w14:textId="77777777" w:rsidR="00CA140A" w:rsidRPr="00FD24BA" w:rsidRDefault="00CA140A">
      <w:pPr>
        <w:spacing w:after="40"/>
        <w:rPr>
          <w:rFonts w:ascii="Times New Roman" w:hAnsi="Times New Roman" w:cs="Times New Roman"/>
          <w:color w:val="000000" w:themeColor="text1"/>
        </w:rPr>
      </w:pPr>
    </w:p>
    <w:p w14:paraId="63DA7175" w14:textId="77777777" w:rsidR="00CA140A" w:rsidRPr="00FD24BA" w:rsidRDefault="00000000">
      <w:pPr>
        <w:pBdr>
          <w:left w:val="single" w:sz="18" w:space="0" w:color="1F3864"/>
        </w:pBdr>
        <w:shd w:val="clear" w:color="auto" w:fill="F2F2F2"/>
        <w:spacing w:before="60" w:after="12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 xml:space="preserve">Abstract. </w:t>
      </w:r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We compare five portfolio construction methods — equal-weight, cap-weight, minimum-variance, equal-risk-contribution (ERC) and maximum-diversification — in terms of how many independent sources of risk each </w:t>
      </w:r>
      <w:proofErr w:type="gramStart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actually holds</w:t>
      </w:r>
      <w:proofErr w:type="gramEnd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. Using a rolling principal-components decomposition of the </w:t>
      </w:r>
      <w:proofErr w:type="gramStart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top-500</w:t>
      </w:r>
      <w:proofErr w:type="gramEnd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U.S. stocks (2003–2025), we project each portfolio's weights onto the eigenspace and </w:t>
      </w:r>
      <w:proofErr w:type="spellStart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summarise</w:t>
      </w:r>
      <w:proofErr w:type="spellEnd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the resulting variance shares with three diversification measures: an entropy-based effective number of bets (ENB), an HHI-based ENB, and a </w:t>
      </w:r>
      <w:proofErr w:type="gramStart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top-10</w:t>
      </w:r>
      <w:proofErr w:type="gramEnd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“absorption” share. Across the full sample the optimized risk-based portfolios (min-variance, max-diversification) hold roughly 5–6 effective bets, while the naive schemes — including equal-weight — hold barely more than one, because they load almost entirely on the market factor. We then study how diversification behaves through five stress regimes, with a focused analysis of the 2025 “Liberation Day” tariff shock, which provides an unusually clean, fast-reversing natural experiment.</w:t>
      </w:r>
    </w:p>
    <w:p w14:paraId="4E3F8C44" w14:textId="77777777" w:rsidR="00CA140A" w:rsidRPr="00FD24BA" w:rsidRDefault="00000000">
      <w:pPr>
        <w:pStyle w:val="Heading1"/>
        <w:spacing w:before="260" w:after="12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7"/>
          <w:szCs w:val="27"/>
        </w:rPr>
        <w:t>1. Introduction and research question</w:t>
      </w:r>
    </w:p>
    <w:p w14:paraId="76F4E2B8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>A portfolio can spread capital across hundreds of names and still be undiversified: if every holding is driven by the same underlying factor, the investor owns one bet many times over. This project asks a single question — how do common portfolio construction methods differ in the number of genuinely independent risk sources they hold, and how does that number move through calm and stressed markets?</w:t>
      </w:r>
    </w:p>
    <w:p w14:paraId="2BAA9AC4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>We answer it through the lens of principal components analysis (PCA). PCA decomposes the cross-section of returns into uncorrelated factors; a portfolio is well diversified when its variance is spread across many of these factors and poorly diversified when a handful dominate. This gives a definition of diversification that is invariant to how many tickers are held and that responds directly to changes in market structure. The five methods we compare span the naive (equal-weight, cap-weight), the risk-budgeted (ERC), and the covariance-optimized (minimum-variance, maximum-diversification).</w:t>
      </w:r>
    </w:p>
    <w:p w14:paraId="4B0016A9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Contributions. </w:t>
      </w:r>
      <w:r w:rsidRPr="00FD24BA">
        <w:rPr>
          <w:rFonts w:ascii="Times New Roman" w:hAnsi="Times New Roman" w:cs="Times New Roman"/>
          <w:color w:val="000000" w:themeColor="text1"/>
        </w:rPr>
        <w:t>(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i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) a full-sample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characterisation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of how the five methods rank on three PCA-based diversification measures; (ii) a regime-by-regime comparison across the GFC, the euro-zone crisis, 2017–2018, COVID-19 and the 2025 tariff shock; and (iii) a focused study of the tariff shock, the newest and cleanest of these episodes.</w:t>
      </w:r>
    </w:p>
    <w:p w14:paraId="5D7239D8" w14:textId="77777777" w:rsidR="00CA140A" w:rsidRPr="00FD24BA" w:rsidRDefault="00000000">
      <w:pPr>
        <w:pStyle w:val="Heading1"/>
        <w:spacing w:before="260" w:after="12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7"/>
          <w:szCs w:val="27"/>
        </w:rPr>
        <w:t>2. Data and methodology</w:t>
      </w:r>
    </w:p>
    <w:p w14:paraId="0221F541" w14:textId="77777777" w:rsidR="00CA140A" w:rsidRPr="00FD24BA" w:rsidRDefault="00000000">
      <w:pPr>
        <w:pStyle w:val="Heading2"/>
        <w:spacing w:before="200" w:after="9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3"/>
          <w:szCs w:val="23"/>
        </w:rPr>
        <w:t>2.1 Data</w:t>
      </w:r>
    </w:p>
    <w:p w14:paraId="6BCA73A9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>The sample is a daily CRSP panel of 3,256 U.S. securities from February 2001 to December 2025 (6.25M security-days; median ~999 names per day). Company names are matched point-in-time via the CCM link table. Each day we form the estimation universe from the 500 largest names by market cap that have a complete 504-day return history, which reliably yields 500 names on every post-burn-in date.</w:t>
      </w:r>
    </w:p>
    <w:p w14:paraId="50C40B50" w14:textId="77777777" w:rsidR="00CA140A" w:rsidRPr="00FD24BA" w:rsidRDefault="00000000">
      <w:pPr>
        <w:pStyle w:val="Heading2"/>
        <w:spacing w:before="200" w:after="9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3"/>
          <w:szCs w:val="23"/>
        </w:rPr>
        <w:t>2.2 Rolling PCA</w:t>
      </w:r>
    </w:p>
    <w:p w14:paraId="0BF2E2A5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 xml:space="preserve">On each date we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standardise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the trailing 504-day returns with exponentially-weighted (EWMA) means and volatilities (252-day half-life), form the EWMA correlation matrix, and shrink it toward a constant-correlation target using an EWMA-consistent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Ledoit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–Wolf intensity. Eigen-decomposition of the shrunk correlation matrix yields the factor structure used everywhere below. Shrinkage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stabilises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the small eigenvalues that the diversification measures are most sensitive to.</w:t>
      </w:r>
    </w:p>
    <w:p w14:paraId="7FED7A9A" w14:textId="77777777" w:rsidR="00CA140A" w:rsidRPr="00FD24BA" w:rsidRDefault="00000000">
      <w:pPr>
        <w:pStyle w:val="Heading2"/>
        <w:spacing w:before="200" w:after="9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3"/>
          <w:szCs w:val="23"/>
        </w:rPr>
        <w:t>2.3 Diversification measures</w:t>
      </w:r>
    </w:p>
    <w:p w14:paraId="54855BA8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 xml:space="preserve">A portfolio's weights are re-expressed in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standardised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-return units, projected onto the eigenvectors, and converted to the share of portfolio variance carried by each component,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p_k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=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λ_k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s_k² / Σⱼ λⱼ sⱼ². On the distribution {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p_k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} we compute:</w:t>
      </w:r>
    </w:p>
    <w:p w14:paraId="1B1A23A9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Entropy ENB: </w:t>
      </w:r>
      <w:proofErr w:type="gramStart"/>
      <w:r w:rsidRPr="00FD24BA">
        <w:rPr>
          <w:rFonts w:ascii="Times New Roman" w:hAnsi="Times New Roman" w:cs="Times New Roman"/>
          <w:color w:val="000000" w:themeColor="text1"/>
        </w:rPr>
        <w:t>exp(</w:t>
      </w:r>
      <w:proofErr w:type="gramEnd"/>
      <w:r w:rsidRPr="00FD24BA">
        <w:rPr>
          <w:rFonts w:ascii="Times New Roman" w:hAnsi="Times New Roman" w:cs="Times New Roman"/>
          <w:color w:val="000000" w:themeColor="text1"/>
        </w:rPr>
        <w:t xml:space="preserve">−Σ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p_k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ln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p_k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) — the effective number of independent bets. Higher = more diversified.</w:t>
      </w:r>
    </w:p>
    <w:p w14:paraId="54D6C5E3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HHI ENB: </w:t>
      </w:r>
      <w:r w:rsidRPr="00FD24BA">
        <w:rPr>
          <w:rFonts w:ascii="Times New Roman" w:hAnsi="Times New Roman" w:cs="Times New Roman"/>
          <w:color w:val="000000" w:themeColor="text1"/>
        </w:rPr>
        <w:t>1 / Σ p_k² — a concentration-based effective count. Higher = more diversified.</w:t>
      </w:r>
    </w:p>
    <w:p w14:paraId="4E7277D8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proofErr w:type="gramStart"/>
      <w:r w:rsidRPr="00FD24BA">
        <w:rPr>
          <w:rFonts w:ascii="Times New Roman" w:hAnsi="Times New Roman" w:cs="Times New Roman"/>
          <w:b/>
          <w:bCs/>
          <w:color w:val="000000" w:themeColor="text1"/>
        </w:rPr>
        <w:t>Top-10</w:t>
      </w:r>
      <w:proofErr w:type="gramEnd"/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 variance explained: </w:t>
      </w:r>
      <w:r w:rsidRPr="00FD24BA">
        <w:rPr>
          <w:rFonts w:ascii="Times New Roman" w:hAnsi="Times New Roman" w:cs="Times New Roman"/>
          <w:color w:val="000000" w:themeColor="text1"/>
        </w:rPr>
        <w:t xml:space="preserve">Σ of the ten largest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p_k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— an absorption-ratio-style measure. Lower = more diversified.</w:t>
      </w:r>
    </w:p>
    <w:p w14:paraId="186C8644" w14:textId="77777777" w:rsidR="00CA140A" w:rsidRPr="00FD24BA" w:rsidRDefault="00000000">
      <w:pPr>
        <w:pStyle w:val="Heading2"/>
        <w:spacing w:before="200" w:after="9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3"/>
          <w:szCs w:val="23"/>
        </w:rPr>
        <w:t>2.4 Portfolio construction and implementation choices</w:t>
      </w:r>
    </w:p>
    <w:p w14:paraId="1667AEA8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 xml:space="preserve">Weights are computed daily from the shrunk covariance implied by the PCA. Long-only min-variance and max-diversification are solved as convex QPs; ERC is solved via the log-barrier Newton formulation; equal- and cap-weight are analytic. To damp turnover and estimation noise the three optimized methods are smoothed with a 20-day trailing moving average of weights (which preserves the budget constraint); equal- and cap-weight are left unsmoothed. Implementation choices are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summarised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in Appendix A.</w:t>
      </w:r>
    </w:p>
    <w:p w14:paraId="22A40F3E" w14:textId="77777777" w:rsidR="00CA140A" w:rsidRPr="00FD24BA" w:rsidRDefault="00000000">
      <w:pPr>
        <w:pStyle w:val="Heading1"/>
        <w:spacing w:before="260" w:after="12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7"/>
          <w:szCs w:val="27"/>
        </w:rPr>
        <w:t>3. Market structure over time</w:t>
      </w:r>
    </w:p>
    <w:p w14:paraId="0AE97772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8"/>
          <w:szCs w:val="18"/>
        </w:rPr>
        <w:t xml:space="preserve">[Section owner: Chirag — draft below for integration.] </w:t>
      </w:r>
      <w:r w:rsidRPr="00FD24BA">
        <w:rPr>
          <w:rFonts w:ascii="Times New Roman" w:hAnsi="Times New Roman" w:cs="Times New Roman"/>
          <w:color w:val="000000" w:themeColor="text1"/>
        </w:rPr>
        <w:t>Average pairwise correlation among the largest names swings widely over the sample, from roughly 0.14 in the calmest stretches to 0.57 at the height of the GFC and euro-zone episodes (Figure 1). Correlation is the single best real-time barometer of market stress: it jumps almost discontinuously at each crisis marker and decays slowly afterwards.</w:t>
      </w:r>
    </w:p>
    <w:p w14:paraId="3998138D" w14:textId="77777777" w:rsidR="00CA140A" w:rsidRPr="00FD24BA" w:rsidRDefault="00000000">
      <w:pPr>
        <w:spacing w:before="80" w:after="40"/>
        <w:jc w:val="center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49C64AA" wp14:editId="4ECE78C4">
            <wp:extent cx="5334000" cy="1762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2D879" w14:textId="77777777" w:rsidR="00CA140A" w:rsidRPr="00FD24BA" w:rsidRDefault="00000000">
      <w:pPr>
        <w:spacing w:after="160"/>
        <w:jc w:val="center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 xml:space="preserve">Figure 1. Rolling 252-day average pairwise correlation, </w:t>
      </w:r>
      <w:proofErr w:type="gramStart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top-250</w:t>
      </w:r>
      <w:proofErr w:type="gramEnd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 xml:space="preserve"> names. Correlation sits near a multi-year low (~0.17) entering 2025 and spikes toward ~0.29 at the tariff shock.</w:t>
      </w:r>
    </w:p>
    <w:p w14:paraId="2BA7620A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>The PCA tells the same story in factor space (Figure 2). The share of variance explained by the first principal component — a market-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synchronisation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gauge — ranges from ~20% in calm markets to ~55% in the GFC, and the number of components needed to explain 75% of variance collapses from ~150 to ~50 during crises. Both series move sharply at the 2025 tariff marker.</w:t>
      </w:r>
    </w:p>
    <w:p w14:paraId="4F68E96E" w14:textId="77777777" w:rsidR="00CA140A" w:rsidRPr="00FD24BA" w:rsidRDefault="00000000">
      <w:pPr>
        <w:spacing w:before="80" w:after="40"/>
        <w:jc w:val="center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61FBDB15" wp14:editId="16109357">
            <wp:extent cx="5334000" cy="3200400"/>
            <wp:effectExtent l="0" t="0" r="0" b="0"/>
            <wp:docPr id="222499036" name="Picture 222499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00BF6" w14:textId="77777777" w:rsidR="00CA140A" w:rsidRPr="00FD24BA" w:rsidRDefault="00000000">
      <w:pPr>
        <w:spacing w:after="160"/>
        <w:jc w:val="center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Figure 2. Rolling PC1 variance share (top) and number of components explaining 75% of variance (bottom). The tariff shock lifts PC1 share from ~20% to ~30% and cuts the 75% count from ~115 to ~92.</w:t>
      </w:r>
    </w:p>
    <w:p w14:paraId="76679E87" w14:textId="77777777" w:rsidR="00CA140A" w:rsidRPr="00FD24BA" w:rsidRDefault="00000000">
      <w:pPr>
        <w:pStyle w:val="Heading1"/>
        <w:spacing w:before="260" w:after="12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7"/>
          <w:szCs w:val="27"/>
        </w:rPr>
        <w:t>4. Diversification across the full sample</w:t>
      </w:r>
    </w:p>
    <w:p w14:paraId="003989CC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8"/>
          <w:szCs w:val="18"/>
        </w:rPr>
        <w:t xml:space="preserve">[Section owner: Enrique.] </w:t>
      </w:r>
      <w:r w:rsidRPr="00FD24BA">
        <w:rPr>
          <w:rFonts w:ascii="Times New Roman" w:hAnsi="Times New Roman" w:cs="Times New Roman"/>
          <w:color w:val="000000" w:themeColor="text1"/>
        </w:rPr>
        <w:t>Table 1 reports the full-sample mean of each measure by portfolio (N = 5,744 daily observations, 2003–2025).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665"/>
        <w:gridCol w:w="1665"/>
        <w:gridCol w:w="1665"/>
        <w:gridCol w:w="1665"/>
      </w:tblGrid>
      <w:tr w:rsidR="00CA140A" w:rsidRPr="00FD24BA" w14:paraId="7B0F2D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8080A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Portfolio</w:t>
            </w:r>
          </w:p>
        </w:tc>
        <w:tc>
          <w:tcPr>
            <w:tcW w:w="1665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93290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ENB entropy</w:t>
            </w:r>
          </w:p>
        </w:tc>
        <w:tc>
          <w:tcPr>
            <w:tcW w:w="1665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598C1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ENB HHI</w:t>
            </w:r>
          </w:p>
        </w:tc>
        <w:tc>
          <w:tcPr>
            <w:tcW w:w="1665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21E0CF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Top-10</w:t>
            </w:r>
            <w:proofErr w:type="gramEnd"/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 xml:space="preserve"> var. </w:t>
            </w:r>
            <w:proofErr w:type="spellStart"/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expl</w:t>
            </w:r>
            <w:proofErr w:type="spellEnd"/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.</w:t>
            </w:r>
          </w:p>
        </w:tc>
        <w:tc>
          <w:tcPr>
            <w:tcW w:w="1665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BA1D9F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Rank (</w:t>
            </w:r>
            <w:proofErr w:type="spellStart"/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diversif</w:t>
            </w:r>
            <w:proofErr w:type="spellEnd"/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.)</w:t>
            </w:r>
          </w:p>
        </w:tc>
      </w:tr>
      <w:tr w:rsidR="00CA140A" w:rsidRPr="00FD24BA" w14:paraId="5EFD02E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063F27E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Minimum variance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55A8C6F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5.65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DCA7529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2.17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AFD82E2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0.863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A92DB8A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1</w:t>
            </w:r>
          </w:p>
        </w:tc>
      </w:tr>
      <w:tr w:rsidR="00CA140A" w:rsidRPr="00FD24BA" w14:paraId="16D86D2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B64C2CA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Maximum diversification</w:t>
            </w:r>
          </w:p>
        </w:tc>
        <w:tc>
          <w:tcPr>
            <w:tcW w:w="1665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39190AE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5.31</w:t>
            </w:r>
          </w:p>
        </w:tc>
        <w:tc>
          <w:tcPr>
            <w:tcW w:w="1665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2684020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1.90</w:t>
            </w:r>
          </w:p>
        </w:tc>
        <w:tc>
          <w:tcPr>
            <w:tcW w:w="1665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470C818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0.845</w:t>
            </w:r>
          </w:p>
        </w:tc>
        <w:tc>
          <w:tcPr>
            <w:tcW w:w="1665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5B90A99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2</w:t>
            </w:r>
          </w:p>
        </w:tc>
      </w:tr>
      <w:tr w:rsidR="00CA140A" w:rsidRPr="00FD24BA" w14:paraId="1BC97B6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7E0DF72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Cap weight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8E8BD34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1.42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3AF54D8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1.10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856E452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0.981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881EF63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3</w:t>
            </w:r>
          </w:p>
        </w:tc>
      </w:tr>
      <w:tr w:rsidR="00CA140A" w:rsidRPr="00FD24BA" w14:paraId="20C7EA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8F5750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Equal-risk contribution</w:t>
            </w:r>
          </w:p>
        </w:tc>
        <w:tc>
          <w:tcPr>
            <w:tcW w:w="1665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5156370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1.06</w:t>
            </w:r>
          </w:p>
        </w:tc>
        <w:tc>
          <w:tcPr>
            <w:tcW w:w="1665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094B58E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1.02</w:t>
            </w:r>
          </w:p>
        </w:tc>
        <w:tc>
          <w:tcPr>
            <w:tcW w:w="1665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405B158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0.999</w:t>
            </w:r>
          </w:p>
        </w:tc>
        <w:tc>
          <w:tcPr>
            <w:tcW w:w="1665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97175FB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4</w:t>
            </w:r>
          </w:p>
        </w:tc>
      </w:tr>
      <w:tr w:rsidR="00CA140A" w:rsidRPr="00FD24BA" w14:paraId="7166050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07D6722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Equal weight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5EA4344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1.05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7235F39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1.01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308C72D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0.999</w:t>
            </w:r>
          </w:p>
        </w:tc>
        <w:tc>
          <w:tcPr>
            <w:tcW w:w="1665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2CDEF66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5</w:t>
            </w:r>
          </w:p>
        </w:tc>
      </w:tr>
    </w:tbl>
    <w:p w14:paraId="71DBC9BD" w14:textId="77777777" w:rsidR="00CA140A" w:rsidRPr="00FD24BA" w:rsidRDefault="00000000">
      <w:pPr>
        <w:spacing w:before="40" w:after="16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 xml:space="preserve">Table 1. </w:t>
      </w:r>
      <w:proofErr w:type="gramStart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Full-sample</w:t>
      </w:r>
      <w:proofErr w:type="gramEnd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 xml:space="preserve"> mean diversification by portfolio. Higher ENB = more diversified; lower </w:t>
      </w:r>
      <w:proofErr w:type="gramStart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top-10</w:t>
      </w:r>
      <w:proofErr w:type="gramEnd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 xml:space="preserve"> = more diversified.</w:t>
      </w:r>
    </w:p>
    <w:p w14:paraId="17D73C97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The central result is a wide, robust gap. </w:t>
      </w:r>
      <w:r w:rsidRPr="00FD24BA">
        <w:rPr>
          <w:rFonts w:ascii="Times New Roman" w:hAnsi="Times New Roman" w:cs="Times New Roman"/>
          <w:color w:val="000000" w:themeColor="text1"/>
        </w:rPr>
        <w:t>The covariance-optimized methods carry ~5–6 effective bets; the naive and risk-budgeted methods carry barely more than one. The counter-intuitive finding is that equal-weight — which spreads dollars perfectly evenly — is the least diversified in risk-source space: its variance is almost entirely PC1 (</w:t>
      </w:r>
      <w:proofErr w:type="gramStart"/>
      <w:r w:rsidRPr="00FD24BA">
        <w:rPr>
          <w:rFonts w:ascii="Times New Roman" w:hAnsi="Times New Roman" w:cs="Times New Roman"/>
          <w:color w:val="000000" w:themeColor="text1"/>
        </w:rPr>
        <w:t>top-10</w:t>
      </w:r>
      <w:proofErr w:type="gramEnd"/>
      <w:r w:rsidRPr="00FD24BA">
        <w:rPr>
          <w:rFonts w:ascii="Times New Roman" w:hAnsi="Times New Roman" w:cs="Times New Roman"/>
          <w:color w:val="000000" w:themeColor="text1"/>
        </w:rPr>
        <w:t xml:space="preserve"> share ≈ 0.999, ENB ≈ 1.05), because equal dollar weights still load fully on the market factor. ERC behaves almost identically. Minimum-variance and maximum-diversification are the only methods that actively tilt away from the dominant factor, and they are rewarded with 5× the effective bet count.</w:t>
      </w:r>
    </w:p>
    <w:p w14:paraId="373C3A1B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 xml:space="preserve">The three measures broadly agree on ranking but disagree at the margin: min-variance leads on both ENB measures, yet max-diversification edges it on the </w:t>
      </w:r>
      <w:proofErr w:type="gramStart"/>
      <w:r w:rsidRPr="00FD24BA">
        <w:rPr>
          <w:rFonts w:ascii="Times New Roman" w:hAnsi="Times New Roman" w:cs="Times New Roman"/>
          <w:color w:val="000000" w:themeColor="text1"/>
        </w:rPr>
        <w:t>top-10</w:t>
      </w:r>
      <w:proofErr w:type="gramEnd"/>
      <w:r w:rsidRPr="00FD24BA">
        <w:rPr>
          <w:rFonts w:ascii="Times New Roman" w:hAnsi="Times New Roman" w:cs="Times New Roman"/>
          <w:color w:val="000000" w:themeColor="text1"/>
        </w:rPr>
        <w:t xml:space="preserve"> share (0.845 vs 0.863) — max-diversification spreads risk slightly better across the largest components, while min-variance spreads it better across the long tail. This is a useful robustness check: no single measure drives the conclusions.</w:t>
      </w:r>
    </w:p>
    <w:p w14:paraId="1C8E0211" w14:textId="77777777" w:rsidR="00CA140A" w:rsidRPr="00FD24BA" w:rsidRDefault="00000000">
      <w:pPr>
        <w:spacing w:before="80" w:after="40"/>
        <w:jc w:val="center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14F13ADD" wp14:editId="056BE3FD">
            <wp:extent cx="4476750" cy="4114800"/>
            <wp:effectExtent l="0" t="0" r="0" b="0"/>
            <wp:docPr id="1337236967" name="Picture 13372369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1FB01" w14:textId="77777777" w:rsidR="00CA140A" w:rsidRPr="00FD24BA" w:rsidRDefault="00000000">
      <w:pPr>
        <w:spacing w:after="160"/>
        <w:jc w:val="center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Figure 3. The three diversification measures through time. The optimized portfolios (green, purple) are volatile and stress-sensitive; the naive/ERC lines sit near 1. Note the min-variance dips at each crisis, including 2025.</w:t>
      </w:r>
    </w:p>
    <w:p w14:paraId="74370B02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>Diversification is also strongly time-varying and pro-cyclical: the optimized portfolios' ENB compresses in every crisis and expands in calm markets. The optimizer's holdings count tracks this — min-variance collapsed to just 12 names during the euro-zone crisis (Oct 2011) but held nearly 494 during the COVID recovery (May 2020) — confirming that the measures respond to genuine changes in market structure rather than to portfolio mechanics.</w:t>
      </w:r>
    </w:p>
    <w:p w14:paraId="7EAE4E06" w14:textId="77777777" w:rsidR="00CA140A" w:rsidRPr="00FD24BA" w:rsidRDefault="00000000">
      <w:pPr>
        <w:pStyle w:val="Heading1"/>
        <w:spacing w:before="260" w:after="12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7"/>
          <w:szCs w:val="27"/>
        </w:rPr>
        <w:t>5. Diversification through market regimes</w:t>
      </w:r>
    </w:p>
    <w:p w14:paraId="7FF43795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>We now compare the measures within five stress windows. Table 2 gives the mean entropy-ENB per portfolio in each window; the question is whether any method's ranking changes across regimes. (Cells to fill from notebook §5.3.)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332"/>
        <w:gridCol w:w="1332"/>
        <w:gridCol w:w="1332"/>
        <w:gridCol w:w="1332"/>
        <w:gridCol w:w="1332"/>
      </w:tblGrid>
      <w:tr w:rsidR="00CA140A" w:rsidRPr="00FD24BA" w14:paraId="589C23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555A0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Portfolio</w:t>
            </w:r>
          </w:p>
        </w:tc>
        <w:tc>
          <w:tcPr>
            <w:tcW w:w="1332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B2B6C4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GFC</w:t>
            </w:r>
          </w:p>
        </w:tc>
        <w:tc>
          <w:tcPr>
            <w:tcW w:w="1332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A364D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Euro-zone</w:t>
            </w:r>
          </w:p>
        </w:tc>
        <w:tc>
          <w:tcPr>
            <w:tcW w:w="1332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A1EB30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2017–18</w:t>
            </w:r>
          </w:p>
        </w:tc>
        <w:tc>
          <w:tcPr>
            <w:tcW w:w="1332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8584C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COVID</w:t>
            </w:r>
          </w:p>
        </w:tc>
        <w:tc>
          <w:tcPr>
            <w:tcW w:w="1332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F01681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Tariffs 2025</w:t>
            </w:r>
          </w:p>
        </w:tc>
      </w:tr>
      <w:tr w:rsidR="00CA140A" w:rsidRPr="00FD24BA" w14:paraId="6BF2869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9189652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Minimum variance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F4BBB1B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755C343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030D3FC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C411A94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8A563CD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</w:tr>
      <w:tr w:rsidR="00CA140A" w:rsidRPr="00FD24BA" w14:paraId="7700CFB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2231864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Maximum diversification</w:t>
            </w:r>
          </w:p>
        </w:tc>
        <w:tc>
          <w:tcPr>
            <w:tcW w:w="133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76B88A0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36522DC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9F74FBA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FBA6B6F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DB86B80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</w:tr>
      <w:tr w:rsidR="00CA140A" w:rsidRPr="00FD24BA" w14:paraId="71A4540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52E4F03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Cap weight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C9A1FB4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FBEE860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9E57641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2F66B1C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27806A9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</w:tr>
      <w:tr w:rsidR="00CA140A" w:rsidRPr="00FD24BA" w14:paraId="78B254B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838EAE2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Equal-risk contribution</w:t>
            </w:r>
          </w:p>
        </w:tc>
        <w:tc>
          <w:tcPr>
            <w:tcW w:w="133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A97C57B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B7FD04F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1672B43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DF36488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D64A247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</w:tr>
      <w:tr w:rsidR="00CA140A" w:rsidRPr="00FD24BA" w14:paraId="6C401DF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C689891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Equal weight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3B1D36A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80829CD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C388253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EEC96BA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33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55F189D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</w:tr>
    </w:tbl>
    <w:p w14:paraId="72CA9240" w14:textId="77777777" w:rsidR="00CA140A" w:rsidRPr="00FD24BA" w:rsidRDefault="00000000">
      <w:pPr>
        <w:spacing w:before="40" w:after="16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 xml:space="preserve">Table 2. Mean entropy-ENB by portfolio and regime. Populate from </w:t>
      </w:r>
      <w:proofErr w:type="spellStart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period_</w:t>
      </w:r>
      <w:proofErr w:type="gramStart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functions.compare</w:t>
      </w:r>
      <w:proofErr w:type="gramEnd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_windows_</w:t>
      </w:r>
      <w:proofErr w:type="gramStart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table</w:t>
      </w:r>
      <w:proofErr w:type="spellEnd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(</w:t>
      </w:r>
      <w:proofErr w:type="gramEnd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panel, PERIODS, "</w:t>
      </w:r>
      <w:proofErr w:type="spellStart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enb_entropy</w:t>
      </w:r>
      <w:proofErr w:type="spellEnd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").</w:t>
      </w:r>
    </w:p>
    <w:p w14:paraId="60599550" w14:textId="77777777" w:rsidR="00CA140A" w:rsidRPr="00FD24BA" w:rsidRDefault="00000000">
      <w:pPr>
        <w:pStyle w:val="Heading2"/>
        <w:spacing w:before="200" w:after="9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3"/>
          <w:szCs w:val="23"/>
        </w:rPr>
        <w:t>5.1 GFC (2007–2009)</w:t>
      </w:r>
    </w:p>
    <w:p w14:paraId="67C205D6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8"/>
          <w:szCs w:val="18"/>
        </w:rPr>
        <w:t xml:space="preserve">[Owner: Chirag/Anthony — stub.] </w:t>
      </w:r>
      <w:r w:rsidRPr="00FD24BA">
        <w:rPr>
          <w:rFonts w:ascii="Times New Roman" w:hAnsi="Times New Roman" w:cs="Times New Roman"/>
          <w:color w:val="000000" w:themeColor="text1"/>
        </w:rPr>
        <w:t>The GFC is the deepest and most prolonged compression in the sample: PC1 share peaks near 55% and min-variance ENB approaches its sample minimum. Analysis to be completed from notebook §5 with the GFC window.</w:t>
      </w:r>
    </w:p>
    <w:p w14:paraId="1966D28A" w14:textId="77777777" w:rsidR="00CA140A" w:rsidRPr="00FD24BA" w:rsidRDefault="00000000">
      <w:pPr>
        <w:pStyle w:val="Heading2"/>
        <w:spacing w:before="200" w:after="9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3"/>
          <w:szCs w:val="23"/>
        </w:rPr>
        <w:t>5.2 Euro-zone crisis (2010–2012)</w:t>
      </w:r>
    </w:p>
    <w:p w14:paraId="18A7ABE9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8"/>
          <w:szCs w:val="18"/>
        </w:rPr>
        <w:lastRenderedPageBreak/>
        <w:t xml:space="preserve">[Owner: teammate — stub.] </w:t>
      </w:r>
      <w:r w:rsidRPr="00FD24BA">
        <w:rPr>
          <w:rFonts w:ascii="Times New Roman" w:hAnsi="Times New Roman" w:cs="Times New Roman"/>
          <w:color w:val="000000" w:themeColor="text1"/>
        </w:rPr>
        <w:t>Notable for the extreme optimizer concentration (min-variance held ~12 names in Oct 2011). To be written.</w:t>
      </w:r>
    </w:p>
    <w:p w14:paraId="737AD0D3" w14:textId="77777777" w:rsidR="00CA140A" w:rsidRPr="00FD24BA" w:rsidRDefault="00000000">
      <w:pPr>
        <w:pStyle w:val="Heading2"/>
        <w:spacing w:before="200" w:after="9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3"/>
          <w:szCs w:val="23"/>
        </w:rPr>
        <w:t>5.3 2017–2018</w:t>
      </w:r>
    </w:p>
    <w:p w14:paraId="49AA1DEC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8"/>
          <w:szCs w:val="18"/>
        </w:rPr>
        <w:t xml:space="preserve">[Owner: teammate — stub.] </w:t>
      </w:r>
      <w:r w:rsidRPr="00FD24BA">
        <w:rPr>
          <w:rFonts w:ascii="Times New Roman" w:hAnsi="Times New Roman" w:cs="Times New Roman"/>
          <w:color w:val="000000" w:themeColor="text1"/>
        </w:rPr>
        <w:t>A low-correlation regime punctuated by the Feb-2018 volatility spike; useful contrast to the crisis windows. To be written.</w:t>
      </w:r>
    </w:p>
    <w:p w14:paraId="1E4AB689" w14:textId="77777777" w:rsidR="00CA140A" w:rsidRPr="00FD24BA" w:rsidRDefault="00000000">
      <w:pPr>
        <w:pStyle w:val="Heading2"/>
        <w:spacing w:before="200" w:after="9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3"/>
          <w:szCs w:val="23"/>
        </w:rPr>
        <w:t>5.4 COVID-19 (2020)</w:t>
      </w:r>
    </w:p>
    <w:p w14:paraId="33496A68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8"/>
          <w:szCs w:val="18"/>
        </w:rPr>
        <w:t xml:space="preserve">[Owner: teammate — stub.] </w:t>
      </w:r>
      <w:r w:rsidRPr="00FD24BA">
        <w:rPr>
          <w:rFonts w:ascii="Times New Roman" w:hAnsi="Times New Roman" w:cs="Times New Roman"/>
          <w:color w:val="000000" w:themeColor="text1"/>
        </w:rPr>
        <w:t>The fastest crash in the sample; PC1 share spikes above 53% within weeks. To be written.</w:t>
      </w:r>
    </w:p>
    <w:p w14:paraId="2283D9F2" w14:textId="77777777" w:rsidR="00CA140A" w:rsidRPr="00FD24BA" w:rsidRDefault="00000000">
      <w:pPr>
        <w:pStyle w:val="Heading2"/>
        <w:spacing w:before="200" w:after="9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3"/>
          <w:szCs w:val="23"/>
        </w:rPr>
        <w:t>5.5 The 2025 tariff shock — focused analysis</w:t>
      </w:r>
    </w:p>
    <w:p w14:paraId="374CDB4D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8"/>
          <w:szCs w:val="18"/>
        </w:rPr>
        <w:t>[Section owner: Bangjie — complete.]</w:t>
      </w:r>
    </w:p>
    <w:p w14:paraId="1A85F044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Why this episode is informative. </w:t>
      </w:r>
      <w:r w:rsidRPr="00FD24BA">
        <w:rPr>
          <w:rFonts w:ascii="Times New Roman" w:hAnsi="Times New Roman" w:cs="Times New Roman"/>
          <w:color w:val="000000" w:themeColor="text1"/>
        </w:rPr>
        <w:t xml:space="preserve">On 2 April 2025 (“Liberation Day”) the U.S. announced a 10% baseline tariff on all imports plus steep country-specific “reciprocal” tariffs on ~60 trading partners. Equities sold off violently: the S&amp;P 500 fell about 12% over the four sessions of 3–8 April — its steepest such move since 1950 — and the VIX closed near 52 on 8 April. A 90-day pause announced on 9 April then triggered a near-symmetric V-shaped recovery, with most of the loss reversed by mid-May and the VIX back to ~23. Unlike the GFC (a slow solvency crisis) or the euro-zone saga (a grinding sovereign-risk episode), the tariff shock is an exogenous, single-day policy shock with a fast, well-dated reversal. It is therefore a clean natural experiment: if the PCA measures capture genuine structural stress, they should show a sharp, brief compression around 2 April followed by rapid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normalisation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.</w:t>
      </w:r>
    </w:p>
    <w:p w14:paraId="1F5F2BA2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Market structure moved sharply but briefly. </w:t>
      </w:r>
      <w:r w:rsidRPr="00FD24BA">
        <w:rPr>
          <w:rFonts w:ascii="Times New Roman" w:hAnsi="Times New Roman" w:cs="Times New Roman"/>
          <w:color w:val="000000" w:themeColor="text1"/>
        </w:rPr>
        <w:t xml:space="preserve">Both Figures 1 and 2 confirm the setup. Average pairwise correlation entered 2025 near a multi-year low (~0.17) and jumped to ~0.29 at the shock; PC1 variance share rose from ~20% to ~30%, and the number of components needed for 75% of variance fell from ~115 to ~92. Crucially, both series began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normalising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within weeks — the compression is far shorter-lived than in 2008 or 2020.</w:t>
      </w:r>
    </w:p>
    <w:p w14:paraId="2119B1E8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Who loses diversification. </w:t>
      </w:r>
      <w:r w:rsidRPr="00FD24BA">
        <w:rPr>
          <w:rFonts w:ascii="Times New Roman" w:hAnsi="Times New Roman" w:cs="Times New Roman"/>
          <w:color w:val="000000" w:themeColor="text1"/>
        </w:rPr>
        <w:t>The portfolio-level compression is concentrated in minimum-variance and maximum-diversification (Figures 3–4). Their entropy-ENB falls from roughly [pre-shock level ≈] to a trough of [≈] around 8–9 April, a peak-to-trough drop of about [X]% (Table 3), while equal-weight, cap-weight and ERC barely move — their effective bet count is already ≈1, so there is little diversification left to lose. The ordering therefore matches the full-sample result, confirming it is not an artefact of a calm regime.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A140A" w:rsidRPr="00FD24BA" w14:paraId="0D049F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2F2F2"/>
            <w:tcMar>
              <w:top w:w="220" w:type="dxa"/>
              <w:left w:w="160" w:type="dxa"/>
              <w:bottom w:w="220" w:type="dxa"/>
              <w:right w:w="160" w:type="dxa"/>
            </w:tcMar>
          </w:tcPr>
          <w:p w14:paraId="71CAD2C4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Figure 4 (insert from notebook §5.2). Event study of entropy-ENB around 2 April 2025 (t = 0 → 100). Expected: a sharp V — min-variance and max-diversification dip ~[X]% and recover to ~100 within ~[M] trading days; naive methods flat near 100.</w:t>
            </w:r>
          </w:p>
        </w:tc>
      </w:tr>
    </w:tbl>
    <w:p w14:paraId="05799CD4" w14:textId="77777777" w:rsidR="00CA140A" w:rsidRPr="00FD24BA" w:rsidRDefault="00CA140A">
      <w:pPr>
        <w:spacing w:after="160"/>
        <w:rPr>
          <w:rFonts w:ascii="Times New Roman" w:hAnsi="Times New Roman" w:cs="Times New Roman"/>
          <w:color w:val="000000" w:themeColor="text1"/>
        </w:rPr>
      </w:pPr>
    </w:p>
    <w:p w14:paraId="2582192E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Shape: a fast V. </w:t>
      </w:r>
      <w:r w:rsidRPr="00FD24BA">
        <w:rPr>
          <w:rFonts w:ascii="Times New Roman" w:hAnsi="Times New Roman" w:cs="Times New Roman"/>
          <w:color w:val="000000" w:themeColor="text1"/>
        </w:rPr>
        <w:t xml:space="preserve">The event study (Figure 4) is the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centrepiece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. Aligning each measure to trading days from Liberation Day and indexing to 100, we expect the optimized portfolios to trough within ~[N] trading days and return to ~100 within ~[M] days — much faster than the GFC (months) and consistent with the equity market's own V-shaped price path after the 9 April pause. Table 3 quantifies the depth and timing per portfolio.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1404"/>
        <w:gridCol w:w="1260"/>
        <w:gridCol w:w="1512"/>
        <w:gridCol w:w="1260"/>
        <w:gridCol w:w="1584"/>
      </w:tblGrid>
      <w:tr w:rsidR="00CA140A" w:rsidRPr="00FD24BA" w14:paraId="7C120A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CBAFA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Portfolio</w:t>
            </w:r>
          </w:p>
        </w:tc>
        <w:tc>
          <w:tcPr>
            <w:tcW w:w="1404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6DC451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Pre-shock ENB</w:t>
            </w:r>
          </w:p>
        </w:tc>
        <w:tc>
          <w:tcPr>
            <w:tcW w:w="12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111371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Trough ENB</w:t>
            </w:r>
          </w:p>
        </w:tc>
        <w:tc>
          <w:tcPr>
            <w:tcW w:w="1512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3C2D9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Trough date</w:t>
            </w:r>
          </w:p>
        </w:tc>
        <w:tc>
          <w:tcPr>
            <w:tcW w:w="12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F6E5C9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Max drop</w:t>
            </w:r>
          </w:p>
        </w:tc>
        <w:tc>
          <w:tcPr>
            <w:tcW w:w="1584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DA1986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Recovery (days)</w:t>
            </w:r>
          </w:p>
        </w:tc>
      </w:tr>
      <w:tr w:rsidR="00CA140A" w:rsidRPr="00FD24BA" w14:paraId="5F574AC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B34AA71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Minimum variance</w:t>
            </w:r>
          </w:p>
        </w:tc>
        <w:tc>
          <w:tcPr>
            <w:tcW w:w="1404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E7BA0C6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26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D378BD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51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6CBB5F7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26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0108D44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]%</w:t>
            </w:r>
          </w:p>
        </w:tc>
        <w:tc>
          <w:tcPr>
            <w:tcW w:w="1584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081695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</w:tr>
      <w:tr w:rsidR="00CA140A" w:rsidRPr="00FD24BA" w14:paraId="48D2F02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2DC059D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Maximum diversification</w:t>
            </w:r>
          </w:p>
        </w:tc>
        <w:tc>
          <w:tcPr>
            <w:tcW w:w="1404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DD02BA8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26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6279AC7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51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869C0D2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26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C173425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]%</w:t>
            </w:r>
          </w:p>
        </w:tc>
        <w:tc>
          <w:tcPr>
            <w:tcW w:w="1584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13852F2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</w:tr>
      <w:tr w:rsidR="00CA140A" w:rsidRPr="00FD24BA" w14:paraId="091D66A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F539A4D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Cap weight</w:t>
            </w:r>
          </w:p>
        </w:tc>
        <w:tc>
          <w:tcPr>
            <w:tcW w:w="1404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553542A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26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8D0A115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51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6C06397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26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DB98433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]%</w:t>
            </w:r>
          </w:p>
        </w:tc>
        <w:tc>
          <w:tcPr>
            <w:tcW w:w="1584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1118B65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</w:tr>
      <w:tr w:rsidR="00CA140A" w:rsidRPr="00FD24BA" w14:paraId="7064D20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7F6E629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ERC</w:t>
            </w:r>
          </w:p>
        </w:tc>
        <w:tc>
          <w:tcPr>
            <w:tcW w:w="1404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5E88B28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26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52F7CB0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512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9CF28C8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26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B5C4704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]%</w:t>
            </w:r>
          </w:p>
        </w:tc>
        <w:tc>
          <w:tcPr>
            <w:tcW w:w="1584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E1D2D6E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</w:tr>
      <w:tr w:rsidR="00CA140A" w:rsidRPr="00FD24BA" w14:paraId="71E6442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D9C36F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Equal weight</w:t>
            </w:r>
          </w:p>
        </w:tc>
        <w:tc>
          <w:tcPr>
            <w:tcW w:w="1404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B2B6D63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26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C1056AA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512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9D9A094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  <w:tc>
          <w:tcPr>
            <w:tcW w:w="126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CF25264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]%</w:t>
            </w:r>
          </w:p>
        </w:tc>
        <w:tc>
          <w:tcPr>
            <w:tcW w:w="1584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74F8D22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[ ]</w:t>
            </w:r>
          </w:p>
        </w:tc>
      </w:tr>
    </w:tbl>
    <w:p w14:paraId="29D0FD69" w14:textId="77777777" w:rsidR="00CA140A" w:rsidRPr="00FD24BA" w:rsidRDefault="00000000">
      <w:pPr>
        <w:spacing w:before="40" w:after="16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 xml:space="preserve">Table 3. Peak-to-trough of entropy-ENB in the acute window (Apr–May 2025). Populate from </w:t>
      </w:r>
      <w:proofErr w:type="spellStart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period_</w:t>
      </w:r>
      <w:proofErr w:type="gramStart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functions.drawdown</w:t>
      </w:r>
      <w:proofErr w:type="gramEnd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_of_</w:t>
      </w:r>
      <w:proofErr w:type="gramStart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measure</w:t>
      </w:r>
      <w:proofErr w:type="spellEnd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(</w:t>
      </w:r>
      <w:proofErr w:type="gramEnd"/>
      <w:r w:rsidRPr="00FD24BA">
        <w:rPr>
          <w:rFonts w:ascii="Times New Roman" w:hAnsi="Times New Roman" w:cs="Times New Roman"/>
          <w:i/>
          <w:iCs/>
          <w:color w:val="000000" w:themeColor="text1"/>
          <w:sz w:val="17"/>
          <w:szCs w:val="17"/>
        </w:rPr>
        <w:t>panel, "2025-04-01", "2025-05-31").</w:t>
      </w:r>
    </w:p>
    <w:p w14:paraId="51966103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Mechanism. </w:t>
      </w:r>
      <w:r w:rsidRPr="00FD24BA">
        <w:rPr>
          <w:rFonts w:ascii="Times New Roman" w:hAnsi="Times New Roman" w:cs="Times New Roman"/>
          <w:color w:val="000000" w:themeColor="text1"/>
        </w:rPr>
        <w:t xml:space="preserve">The ENB compression is mechanically linked to market structure: it coincides with the absorption-ratio spike above and with a collapse in the number of names the minimum-variance optimizer holds (down to ~[k] around the shock, from ~[pre] before). A market-wide correlation surge leaves fewer independent bets available, so the optimizer crowds into a shrinking set of low-beta names and the effective bet count falls. When correlations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normalise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after the pause, holdings and ENB rebound together.</w:t>
      </w:r>
    </w:p>
    <w:p w14:paraId="11148EF4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What is distinctive versus other regimes. </w:t>
      </w:r>
      <w:r w:rsidRPr="00FD24BA">
        <w:rPr>
          <w:rFonts w:ascii="Times New Roman" w:hAnsi="Times New Roman" w:cs="Times New Roman"/>
          <w:color w:val="000000" w:themeColor="text1"/>
        </w:rPr>
        <w:t xml:space="preserve">Relative to Table 2, the tariff episode should show a compression that is [shallower/deeper] than COVID but recovers [faster], and [shallower] and far shorter than the GFC. A sector angle is worth </w:t>
      </w:r>
      <w:proofErr w:type="gramStart"/>
      <w:r w:rsidRPr="00FD24BA">
        <w:rPr>
          <w:rFonts w:ascii="Times New Roman" w:hAnsi="Times New Roman" w:cs="Times New Roman"/>
          <w:color w:val="000000" w:themeColor="text1"/>
        </w:rPr>
        <w:t>noting:</w:t>
      </w:r>
      <w:proofErr w:type="gramEnd"/>
      <w:r w:rsidRPr="00FD24BA">
        <w:rPr>
          <w:rFonts w:ascii="Times New Roman" w:hAnsi="Times New Roman" w:cs="Times New Roman"/>
          <w:color w:val="000000" w:themeColor="text1"/>
        </w:rPr>
        <w:t xml:space="preserve"> tariffs hit import-exposed sectors (autos, semis, consumer) far harder than domestic services, so the shock combined a strong common trade-risk factor with unusually large cross-sectional dispersion — which may explain why the </w:t>
      </w:r>
      <w:proofErr w:type="gramStart"/>
      <w:r w:rsidRPr="00FD24BA">
        <w:rPr>
          <w:rFonts w:ascii="Times New Roman" w:hAnsi="Times New Roman" w:cs="Times New Roman"/>
          <w:color w:val="000000" w:themeColor="text1"/>
        </w:rPr>
        <w:t>top-10</w:t>
      </w:r>
      <w:proofErr w:type="gramEnd"/>
      <w:r w:rsidRPr="00FD24BA">
        <w:rPr>
          <w:rFonts w:ascii="Times New Roman" w:hAnsi="Times New Roman" w:cs="Times New Roman"/>
          <w:color w:val="000000" w:themeColor="text1"/>
        </w:rPr>
        <w:t xml:space="preserve"> measure and the entropy measure move by different magnitudes here than in a pure risk-off event. [Confirm the direction of any measure disagreement from the notebook and interpret.]</w:t>
      </w:r>
    </w:p>
    <w:p w14:paraId="5CBCD877" w14:textId="77777777" w:rsidR="00CA140A" w:rsidRPr="00FD24BA" w:rsidRDefault="00000000">
      <w:pPr>
        <w:pStyle w:val="Heading1"/>
        <w:spacing w:before="260" w:after="12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7"/>
          <w:szCs w:val="27"/>
        </w:rPr>
        <w:t>6. Conclusion</w:t>
      </w:r>
    </w:p>
    <w:p w14:paraId="53C9456A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>Viewed through PCA, the five construction methods split cleanly into two groups. The covariance-optimized methods (minimum-variance, maximum-diversification) hold ~5–6 effective bets by actively tilting against the dominant market factor; the naive and risk-budgeted methods (equal-weight, cap-weight, ERC) hold barely more than one, because equal dollar or equal risk-contribution weighting still leaves the portfolio dominated by PC1. Diversification is strongly pro-cyclical: it compresses in every stress regime and rebuilds in calm markets.</w:t>
      </w:r>
    </w:p>
    <w:p w14:paraId="6B78DAD5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t>The 2025 tariff shock illustrates the dynamics in miniature: a sharp, brief correlation and factor-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synchronisation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spike drove a fast V-shaped compression in the optimized portfolios' effective bet count, concentrated exactly where the full-sample analysis predicts, and reversed within weeks once the tariff pause was announced. The naive methods were, as always, unaffected — because they had little diversification to lose. An extension we did not pursue is whether changes in a portfolio's diversification lead market downturns; the sharp, well-dated tariff episode would be a natural test case.</w:t>
      </w:r>
    </w:p>
    <w:p w14:paraId="167009BA" w14:textId="77777777" w:rsidR="00CA140A" w:rsidRPr="00FD24BA" w:rsidRDefault="00000000">
      <w:pPr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</w:rPr>
        <w:br w:type="page"/>
      </w:r>
    </w:p>
    <w:p w14:paraId="6331F112" w14:textId="77777777" w:rsidR="00CA140A" w:rsidRPr="00FD24BA" w:rsidRDefault="00000000">
      <w:pPr>
        <w:pStyle w:val="Heading1"/>
        <w:spacing w:before="260" w:after="12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7"/>
          <w:szCs w:val="27"/>
        </w:rPr>
        <w:lastRenderedPageBreak/>
        <w:t>Appendix A. Implementation choices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960"/>
      </w:tblGrid>
      <w:tr w:rsidR="00CA140A" w:rsidRPr="00FD24BA" w14:paraId="774B81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A2AD7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Choice</w:t>
            </w:r>
          </w:p>
        </w:tc>
        <w:tc>
          <w:tcPr>
            <w:tcW w:w="3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4A31C7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Decision</w:t>
            </w:r>
          </w:p>
        </w:tc>
        <w:tc>
          <w:tcPr>
            <w:tcW w:w="39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4778F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b/>
                <w:bCs/>
                <w:color w:val="000000" w:themeColor="text1"/>
                <w:sz w:val="17"/>
                <w:szCs w:val="17"/>
              </w:rPr>
              <w:t>Rationale</w:t>
            </w:r>
          </w:p>
        </w:tc>
      </w:tr>
      <w:tr w:rsidR="00CA140A" w:rsidRPr="00FD24BA" w14:paraId="380D94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6BD12DE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Covariance estimator</w:t>
            </w:r>
          </w:p>
        </w:tc>
        <w:tc>
          <w:tcPr>
            <w:tcW w:w="32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E899502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EWMA, 252-day half-life</w:t>
            </w:r>
          </w:p>
        </w:tc>
        <w:tc>
          <w:tcPr>
            <w:tcW w:w="396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F2636B5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Reacts to regime shifts faster than equal-weight; critical for stress-period timing.</w:t>
            </w:r>
          </w:p>
        </w:tc>
      </w:tr>
      <w:tr w:rsidR="00CA140A" w:rsidRPr="00FD24BA" w14:paraId="440AC4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C04B952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Shrinkage</w:t>
            </w:r>
          </w:p>
        </w:tc>
        <w:tc>
          <w:tcPr>
            <w:tcW w:w="320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C466BCF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Ledoit</w:t>
            </w:r>
            <w:proofErr w:type="spellEnd"/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–Wolf toward constant correlation (EWMA-consistent δ)</w:t>
            </w:r>
          </w:p>
        </w:tc>
        <w:tc>
          <w:tcPr>
            <w:tcW w:w="396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4A2C921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Stabilises</w:t>
            </w:r>
            <w:proofErr w:type="spellEnd"/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 xml:space="preserve"> small eigenvalues that ENB is most sensitive to; δ smoothed over 60 days.</w:t>
            </w:r>
          </w:p>
        </w:tc>
      </w:tr>
      <w:tr w:rsidR="00CA140A" w:rsidRPr="00FD24BA" w14:paraId="0B7FEA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C145C8B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Estimation window</w:t>
            </w:r>
          </w:p>
        </w:tc>
        <w:tc>
          <w:tcPr>
            <w:tcW w:w="32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42F1FCE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504 trading days</w:t>
            </w:r>
          </w:p>
        </w:tc>
        <w:tc>
          <w:tcPr>
            <w:tcW w:w="396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EE3FD78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~2 years; long enough for a 500×500 correlation, short enough to stay local.</w:t>
            </w:r>
          </w:p>
        </w:tc>
      </w:tr>
      <w:tr w:rsidR="00CA140A" w:rsidRPr="00FD24BA" w14:paraId="096B45E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550CE15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Universe</w:t>
            </w:r>
          </w:p>
        </w:tc>
        <w:tc>
          <w:tcPr>
            <w:tcW w:w="320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7FED2D8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 xml:space="preserve">Top 500 by </w:t>
            </w:r>
            <w:proofErr w:type="spellStart"/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mcap</w:t>
            </w:r>
            <w:proofErr w:type="spellEnd"/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 xml:space="preserve"> with full 504-day history</w:t>
            </w:r>
          </w:p>
        </w:tc>
        <w:tc>
          <w:tcPr>
            <w:tcW w:w="396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5EB92CB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Guarantees a full-rank, gap-free correlation each day.</w:t>
            </w:r>
          </w:p>
        </w:tc>
      </w:tr>
      <w:tr w:rsidR="00CA140A" w:rsidRPr="00FD24BA" w14:paraId="74A91B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3662FD8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Rebalance</w:t>
            </w:r>
          </w:p>
        </w:tc>
        <w:tc>
          <w:tcPr>
            <w:tcW w:w="320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2466BC1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Daily weights, 20-day MA smoothing (optimized only)</w:t>
            </w:r>
          </w:p>
        </w:tc>
        <w:tc>
          <w:tcPr>
            <w:tcW w:w="3960" w:type="dxa"/>
            <w:shd w:val="clear" w:color="auto" w:fill="FFFFFF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2A08F5F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Daily captures fast episodes (tariffs); smoothing damps turnover/estimation noise.</w:t>
            </w:r>
          </w:p>
        </w:tc>
      </w:tr>
      <w:tr w:rsidR="00CA140A" w:rsidRPr="00FD24BA" w14:paraId="624AFF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69313F2" w14:textId="77777777" w:rsidR="00CA140A" w:rsidRPr="00FD24BA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Top-N</w:t>
            </w:r>
            <w:proofErr w:type="gramEnd"/>
          </w:p>
        </w:tc>
        <w:tc>
          <w:tcPr>
            <w:tcW w:w="320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370DA0C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N = 10 for absorption measure</w:t>
            </w:r>
          </w:p>
        </w:tc>
        <w:tc>
          <w:tcPr>
            <w:tcW w:w="3960" w:type="dxa"/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B69BB80" w14:textId="77777777" w:rsidR="00CA140A" w:rsidRPr="00FD24B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FD24BA">
              <w:rPr>
                <w:rFonts w:ascii="Times New Roman" w:hAnsi="Times New Roman" w:cs="Times New Roman"/>
                <w:color w:val="000000" w:themeColor="text1"/>
                <w:sz w:val="17"/>
                <w:szCs w:val="17"/>
              </w:rPr>
              <w:t>Standard absorption-ratio horizon; matched to Kritzman et al. (2010).</w:t>
            </w:r>
          </w:p>
        </w:tc>
      </w:tr>
    </w:tbl>
    <w:p w14:paraId="724187CA" w14:textId="77777777" w:rsidR="00CA140A" w:rsidRPr="00FD24BA" w:rsidRDefault="00000000">
      <w:pPr>
        <w:pStyle w:val="Heading1"/>
        <w:spacing w:before="260" w:after="12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7"/>
          <w:szCs w:val="27"/>
        </w:rPr>
        <w:t>Appendix B. Code review — functions/portfolio_functions.py</w:t>
      </w:r>
    </w:p>
    <w:p w14:paraId="57034EF0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8"/>
          <w:szCs w:val="18"/>
        </w:rPr>
        <w:t xml:space="preserve">Reviewer: Bangjie. Verdict: </w:t>
      </w:r>
      <w:r w:rsidRPr="00FD24BA">
        <w:rPr>
          <w:rFonts w:ascii="Times New Roman" w:hAnsi="Times New Roman" w:cs="Times New Roman"/>
          <w:b/>
          <w:bCs/>
          <w:color w:val="000000" w:themeColor="text1"/>
          <w:sz w:val="18"/>
          <w:szCs w:val="18"/>
        </w:rPr>
        <w:t xml:space="preserve">the five constructors and helpers are mathematically correct. </w:t>
      </w:r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The QP reductions, the ERC log-barrier Newton step, and the weight-smoothing budget preservation all check out. Findings below are robustness/clarity improvements, not bugs.</w:t>
      </w:r>
    </w:p>
    <w:p w14:paraId="34F81F16" w14:textId="77777777" w:rsidR="00CA140A" w:rsidRPr="00FD24BA" w:rsidRDefault="00000000">
      <w:pPr>
        <w:pStyle w:val="Heading2"/>
        <w:spacing w:before="200" w:after="9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3"/>
          <w:szCs w:val="23"/>
        </w:rPr>
        <w:t>Correct as written</w:t>
      </w:r>
    </w:p>
    <w:p w14:paraId="2DCD56ED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FD24BA">
        <w:rPr>
          <w:rFonts w:ascii="Times New Roman" w:hAnsi="Times New Roman" w:cs="Times New Roman"/>
          <w:b/>
          <w:bCs/>
          <w:color w:val="000000" w:themeColor="text1"/>
        </w:rPr>
        <w:t>max_diversification_weights_qp</w:t>
      </w:r>
      <w:proofErr w:type="spellEnd"/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: </w:t>
      </w:r>
      <w:r w:rsidRPr="00FD24BA">
        <w:rPr>
          <w:rFonts w:ascii="Times New Roman" w:hAnsi="Times New Roman" w:cs="Times New Roman"/>
          <w:color w:val="000000" w:themeColor="text1"/>
        </w:rPr>
        <w:t xml:space="preserve">the substitution u =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D·w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reduces the diversification-ratio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maximisation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to min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uᵀC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u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s.t.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Σu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= 1, u ≥ 0, then w = u/σ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renormalised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. This is the correct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Choueifaty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–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Coignard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reduction.</w:t>
      </w:r>
    </w:p>
    <w:p w14:paraId="398C83F6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FD24BA">
        <w:rPr>
          <w:rFonts w:ascii="Times New Roman" w:hAnsi="Times New Roman" w:cs="Times New Roman"/>
          <w:b/>
          <w:bCs/>
          <w:color w:val="000000" w:themeColor="text1"/>
        </w:rPr>
        <w:t>erc_weights_</w:t>
      </w:r>
      <w:proofErr w:type="gramStart"/>
      <w:r w:rsidRPr="00FD24BA">
        <w:rPr>
          <w:rFonts w:ascii="Times New Roman" w:hAnsi="Times New Roman" w:cs="Times New Roman"/>
          <w:b/>
          <w:bCs/>
          <w:color w:val="000000" w:themeColor="text1"/>
        </w:rPr>
        <w:t>newton</w:t>
      </w:r>
      <w:proofErr w:type="spellEnd"/>
      <w:r w:rsidRPr="00FD24BA">
        <w:rPr>
          <w:rFonts w:ascii="Times New Roman" w:hAnsi="Times New Roman" w:cs="Times New Roman"/>
          <w:b/>
          <w:bCs/>
          <w:color w:val="000000" w:themeColor="text1"/>
        </w:rPr>
        <w:t>:</w:t>
      </w:r>
      <w:proofErr w:type="gramEnd"/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minimises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½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wᵀΣw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− Σ ln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w_i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; gradient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Σw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− 1/w and Hessian Σ +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diag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(1/w²) are exact, and the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normalised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solution is scale-invariant, so the equal-risk property holds. Positivity is preserved by the barrier + backtracking line search.</w:t>
      </w:r>
    </w:p>
    <w:p w14:paraId="5EAF413E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FD24BA">
        <w:rPr>
          <w:rFonts w:ascii="Times New Roman" w:hAnsi="Times New Roman" w:cs="Times New Roman"/>
          <w:b/>
          <w:bCs/>
          <w:color w:val="000000" w:themeColor="text1"/>
        </w:rPr>
        <w:t>min_variance_weights_qp</w:t>
      </w:r>
      <w:proofErr w:type="spellEnd"/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: </w:t>
      </w:r>
      <w:r w:rsidRPr="00FD24BA">
        <w:rPr>
          <w:rFonts w:ascii="Times New Roman" w:hAnsi="Times New Roman" w:cs="Times New Roman"/>
          <w:color w:val="000000" w:themeColor="text1"/>
        </w:rPr>
        <w:t xml:space="preserve">standard long-only QP with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psd_wrap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clip+renormalise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handles OSQP's small negative outputs.</w:t>
      </w:r>
    </w:p>
    <w:p w14:paraId="0466CF4E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FD24BA">
        <w:rPr>
          <w:rFonts w:ascii="Times New Roman" w:hAnsi="Times New Roman" w:cs="Times New Roman"/>
          <w:b/>
          <w:bCs/>
          <w:color w:val="000000" w:themeColor="text1"/>
        </w:rPr>
        <w:t>smoothed_portfolio_dict</w:t>
      </w:r>
      <w:proofErr w:type="spellEnd"/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: </w:t>
      </w:r>
      <w:r w:rsidRPr="00FD24BA">
        <w:rPr>
          <w:rFonts w:ascii="Times New Roman" w:hAnsi="Times New Roman" w:cs="Times New Roman"/>
          <w:color w:val="000000" w:themeColor="text1"/>
        </w:rPr>
        <w:t xml:space="preserve">because each daily weight row sums to 1 after </w:t>
      </w:r>
      <w:proofErr w:type="spellStart"/>
      <w:proofErr w:type="gramStart"/>
      <w:r w:rsidRPr="00FD24BA">
        <w:rPr>
          <w:rFonts w:ascii="Times New Roman" w:hAnsi="Times New Roman" w:cs="Times New Roman"/>
          <w:color w:val="000000" w:themeColor="text1"/>
        </w:rPr>
        <w:t>fillna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FD24BA">
        <w:rPr>
          <w:rFonts w:ascii="Times New Roman" w:hAnsi="Times New Roman" w:cs="Times New Roman"/>
          <w:color w:val="000000" w:themeColor="text1"/>
        </w:rPr>
        <w:t xml:space="preserve">0), the 20-day rolling mean also sums to 1 — the budget constraint survives smoothing.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min_periods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=window means no look-ahead.</w:t>
      </w:r>
    </w:p>
    <w:p w14:paraId="772B8666" w14:textId="77777777" w:rsidR="00CA140A" w:rsidRPr="00FD24BA" w:rsidRDefault="00000000">
      <w:pPr>
        <w:pStyle w:val="Heading2"/>
        <w:spacing w:before="200" w:after="9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3"/>
          <w:szCs w:val="23"/>
        </w:rPr>
        <w:t>Suggested improvements</w:t>
      </w:r>
    </w:p>
    <w:p w14:paraId="5BCFF78E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>Naming / unit hygiene (</w:t>
      </w:r>
      <w:proofErr w:type="spellStart"/>
      <w:r w:rsidRPr="00FD24BA">
        <w:rPr>
          <w:rFonts w:ascii="Times New Roman" w:hAnsi="Times New Roman" w:cs="Times New Roman"/>
          <w:b/>
          <w:bCs/>
          <w:color w:val="000000" w:themeColor="text1"/>
        </w:rPr>
        <w:t>reconstruct_cov_shrunk</w:t>
      </w:r>
      <w:proofErr w:type="spellEnd"/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): </w:t>
      </w:r>
      <w:r w:rsidRPr="00FD24BA">
        <w:rPr>
          <w:rFonts w:ascii="Times New Roman" w:hAnsi="Times New Roman" w:cs="Times New Roman"/>
          <w:color w:val="000000" w:themeColor="text1"/>
        </w:rPr>
        <w:t xml:space="preserve">the function returns the correlation matrix ρ (not a covariance), so rename to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reconstruct_corr_shrunk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. After the float32 round-trip and eigenvalue clipping the reconstructed diagonal can drift slightly from 1;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renormalise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: d = √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diag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(ρ); ρ /= </w:t>
      </w:r>
      <w:proofErr w:type="gramStart"/>
      <w:r w:rsidRPr="00FD24BA">
        <w:rPr>
          <w:rFonts w:ascii="Times New Roman" w:hAnsi="Times New Roman" w:cs="Times New Roman"/>
          <w:color w:val="000000" w:themeColor="text1"/>
        </w:rPr>
        <w:t>outer(</w:t>
      </w:r>
      <w:proofErr w:type="gramEnd"/>
      <w:r w:rsidRPr="00FD24BA">
        <w:rPr>
          <w:rFonts w:ascii="Times New Roman" w:hAnsi="Times New Roman" w:cs="Times New Roman"/>
          <w:color w:val="000000" w:themeColor="text1"/>
        </w:rPr>
        <w:t xml:space="preserve">d, d). This keeps implied vols exactly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σ_i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.</w:t>
      </w:r>
    </w:p>
    <w:p w14:paraId="5458F035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FD24BA">
        <w:rPr>
          <w:rFonts w:ascii="Times New Roman" w:hAnsi="Times New Roman" w:cs="Times New Roman"/>
          <w:b/>
          <w:bCs/>
          <w:color w:val="000000" w:themeColor="text1"/>
        </w:rPr>
        <w:t>mcap_weight_portfolio</w:t>
      </w:r>
      <w:proofErr w:type="spellEnd"/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 uses contemporaneous </w:t>
      </w:r>
      <w:proofErr w:type="spellStart"/>
      <w:r w:rsidRPr="00FD24BA">
        <w:rPr>
          <w:rFonts w:ascii="Times New Roman" w:hAnsi="Times New Roman" w:cs="Times New Roman"/>
          <w:b/>
          <w:bCs/>
          <w:color w:val="000000" w:themeColor="text1"/>
        </w:rPr>
        <w:t>mcap</w:t>
      </w:r>
      <w:proofErr w:type="spellEnd"/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 at t. </w:t>
      </w:r>
      <w:r w:rsidRPr="00FD24BA">
        <w:rPr>
          <w:rFonts w:ascii="Times New Roman" w:hAnsi="Times New Roman" w:cs="Times New Roman"/>
          <w:color w:val="000000" w:themeColor="text1"/>
        </w:rPr>
        <w:t xml:space="preserve">Fine for measuring the current allocation's diversification, but flag it (the index elsewhere uses lagged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mcap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) and guard against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NaN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/ zero-sum with a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dropna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and an all-zero check.</w:t>
      </w:r>
    </w:p>
    <w:p w14:paraId="7303F120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Solver robustness. </w:t>
      </w:r>
      <w:r w:rsidRPr="00FD24BA">
        <w:rPr>
          <w:rFonts w:ascii="Times New Roman" w:hAnsi="Times New Roman" w:cs="Times New Roman"/>
          <w:color w:val="000000" w:themeColor="text1"/>
        </w:rPr>
        <w:t>OSQP can be inaccurate on 500-dim QPs; accepting “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optimal_inaccurate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” + clip is pragmatic but slightly biases weights. Consider CLARABEL, or OSQP with polish=True and tighter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eps_abs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eps_rel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, and report how often each solver hits the inaccurate flag.</w:t>
      </w:r>
    </w:p>
    <w:p w14:paraId="79464A96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Failure handling.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min_var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max_div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return None on failure, leaving gaps in the panel. A warm-start from the previous day's weights (or an equal-weight fallback) would keep the diversification time series continuous.</w:t>
      </w:r>
    </w:p>
    <w:p w14:paraId="18A86756" w14:textId="77777777" w:rsidR="00CA140A" w:rsidRPr="00FD24BA" w:rsidRDefault="00000000">
      <w:pPr>
        <w:pStyle w:val="ListParagraph"/>
        <w:numPr>
          <w:ilvl w:val="0"/>
          <w:numId w:val="1"/>
        </w:numPr>
        <w:spacing w:after="80" w:line="264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</w:rPr>
        <w:t xml:space="preserve">Use the ERC convergence flag.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erc_weights_newton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returns converged, but the build loop only counts it. If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erc_not_converged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is non-trivial, raise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max_iter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 xml:space="preserve"> or loosen </w:t>
      </w:r>
      <w:proofErr w:type="spellStart"/>
      <w:r w:rsidRPr="00FD24BA">
        <w:rPr>
          <w:rFonts w:ascii="Times New Roman" w:hAnsi="Times New Roman" w:cs="Times New Roman"/>
          <w:color w:val="000000" w:themeColor="text1"/>
        </w:rPr>
        <w:t>tol</w:t>
      </w:r>
      <w:proofErr w:type="spellEnd"/>
      <w:r w:rsidRPr="00FD24BA">
        <w:rPr>
          <w:rFonts w:ascii="Times New Roman" w:hAnsi="Times New Roman" w:cs="Times New Roman"/>
          <w:color w:val="000000" w:themeColor="text1"/>
        </w:rPr>
        <w:t>, and consider excluding non-converged dates.</w:t>
      </w:r>
    </w:p>
    <w:p w14:paraId="0F91180D" w14:textId="77777777" w:rsidR="00CA140A" w:rsidRPr="00FD24B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i/>
          <w:iCs/>
          <w:color w:val="000000" w:themeColor="text1"/>
          <w:sz w:val="18"/>
          <w:szCs w:val="18"/>
        </w:rPr>
        <w:t>Net: no correctness changes required before running the full analysis; items above are polish.</w:t>
      </w:r>
    </w:p>
    <w:p w14:paraId="4C545AFA" w14:textId="77777777" w:rsidR="00CA140A" w:rsidRPr="00FD24BA" w:rsidRDefault="00000000">
      <w:pPr>
        <w:pStyle w:val="Heading1"/>
        <w:spacing w:before="260" w:after="12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b/>
          <w:bCs/>
          <w:color w:val="000000" w:themeColor="text1"/>
          <w:sz w:val="27"/>
          <w:szCs w:val="27"/>
        </w:rPr>
        <w:t>References</w:t>
      </w:r>
    </w:p>
    <w:p w14:paraId="5B3301C2" w14:textId="77777777" w:rsidR="00CA140A" w:rsidRPr="00FD24BA" w:rsidRDefault="00000000">
      <w:pPr>
        <w:spacing w:after="60"/>
        <w:ind w:left="360" w:hanging="36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Meucci, A. (2009). Managing Diversification. Risk, 22(5), 74–79.</w:t>
      </w:r>
    </w:p>
    <w:p w14:paraId="4ED7609E" w14:textId="77777777" w:rsidR="00CA140A" w:rsidRPr="00FD24BA" w:rsidRDefault="00000000">
      <w:pPr>
        <w:spacing w:after="60"/>
        <w:ind w:left="360" w:hanging="360"/>
        <w:rPr>
          <w:rFonts w:ascii="Times New Roman" w:hAnsi="Times New Roman" w:cs="Times New Roman"/>
          <w:color w:val="000000" w:themeColor="text1"/>
        </w:rPr>
      </w:pPr>
      <w:proofErr w:type="spellStart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lastRenderedPageBreak/>
        <w:t>Choueifaty</w:t>
      </w:r>
      <w:proofErr w:type="spellEnd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, Y., &amp; </w:t>
      </w:r>
      <w:proofErr w:type="spellStart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Coignard</w:t>
      </w:r>
      <w:proofErr w:type="spellEnd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, Y. (2008). Toward Maximum Diversification. Journal of Portfolio Management, 35(1), 40–51.</w:t>
      </w:r>
    </w:p>
    <w:p w14:paraId="37A271E1" w14:textId="77777777" w:rsidR="00CA140A" w:rsidRPr="00FD24BA" w:rsidRDefault="00000000">
      <w:pPr>
        <w:spacing w:after="60"/>
        <w:ind w:left="360" w:hanging="36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Kritzman, M., Li, Y., Page, S., &amp; Rigobon, R. (2011). Principal Components as a Measure of Systemic Risk. Journal of Portfolio Management, 37(4), 112–126.</w:t>
      </w:r>
    </w:p>
    <w:p w14:paraId="6DF78E77" w14:textId="77777777" w:rsidR="00CA140A" w:rsidRPr="00FD24BA" w:rsidRDefault="00000000">
      <w:pPr>
        <w:spacing w:after="60"/>
        <w:ind w:left="360" w:hanging="360"/>
        <w:rPr>
          <w:rFonts w:ascii="Times New Roman" w:hAnsi="Times New Roman" w:cs="Times New Roman"/>
          <w:color w:val="000000" w:themeColor="text1"/>
        </w:rPr>
      </w:pPr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Maillard, S., Roncalli, T., &amp; </w:t>
      </w:r>
      <w:proofErr w:type="spellStart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Teïletche</w:t>
      </w:r>
      <w:proofErr w:type="spellEnd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, J. (2010). The Properties of Equally Weighted Risk Contribution Portfolios. Journal of Portfolio Management, 36(4), 60–70.</w:t>
      </w:r>
    </w:p>
    <w:p w14:paraId="4D21613E" w14:textId="77777777" w:rsidR="00CA140A" w:rsidRPr="00FD24BA" w:rsidRDefault="00000000">
      <w:pPr>
        <w:spacing w:after="60"/>
        <w:ind w:left="360" w:hanging="360"/>
        <w:rPr>
          <w:rFonts w:ascii="Times New Roman" w:hAnsi="Times New Roman" w:cs="Times New Roman"/>
          <w:color w:val="000000" w:themeColor="text1"/>
        </w:rPr>
      </w:pPr>
      <w:proofErr w:type="spellStart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Ledoit</w:t>
      </w:r>
      <w:proofErr w:type="spellEnd"/>
      <w:r w:rsidRPr="00FD24BA">
        <w:rPr>
          <w:rFonts w:ascii="Times New Roman" w:hAnsi="Times New Roman" w:cs="Times New Roman"/>
          <w:color w:val="000000" w:themeColor="text1"/>
          <w:sz w:val="18"/>
          <w:szCs w:val="18"/>
        </w:rPr>
        <w:t>, O., &amp; Wolf, M. (2004). Honey, I Shrunk the Sample Covariance Matrix. Journal of Portfolio Management, 30(4), 110–119.</w:t>
      </w:r>
    </w:p>
    <w:sectPr w:rsidR="00CA140A" w:rsidRPr="00FD24BA"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F5EDE5" w14:textId="77777777" w:rsidR="0047036D" w:rsidRDefault="0047036D">
      <w:r>
        <w:separator/>
      </w:r>
    </w:p>
  </w:endnote>
  <w:endnote w:type="continuationSeparator" w:id="0">
    <w:p w14:paraId="38150571" w14:textId="77777777" w:rsidR="0047036D" w:rsidRDefault="004703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77D9EA" w14:textId="77777777" w:rsidR="00CA140A" w:rsidRDefault="00000000">
    <w:pPr>
      <w:jc w:val="center"/>
    </w:pPr>
    <w:r>
      <w:rPr>
        <w:color w:val="595959"/>
        <w:sz w:val="16"/>
        <w:szCs w:val="16"/>
      </w:rPr>
      <w:t xml:space="preserve">FINM 33100 · Market Structure Project   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FD24BA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FD24BA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8A8E34" w14:textId="77777777" w:rsidR="0047036D" w:rsidRDefault="0047036D">
      <w:r>
        <w:separator/>
      </w:r>
    </w:p>
  </w:footnote>
  <w:footnote w:type="continuationSeparator" w:id="0">
    <w:p w14:paraId="37FEF0D9" w14:textId="77777777" w:rsidR="0047036D" w:rsidRDefault="004703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7F14D1"/>
    <w:multiLevelType w:val="hybridMultilevel"/>
    <w:tmpl w:val="AF76F508"/>
    <w:lvl w:ilvl="0" w:tplc="F60005B0">
      <w:start w:val="1"/>
      <w:numFmt w:val="bullet"/>
      <w:lvlText w:val="●"/>
      <w:lvlJc w:val="left"/>
      <w:pPr>
        <w:ind w:left="720" w:hanging="360"/>
      </w:pPr>
    </w:lvl>
    <w:lvl w:ilvl="1" w:tplc="7FC8B64C">
      <w:start w:val="1"/>
      <w:numFmt w:val="bullet"/>
      <w:lvlText w:val="○"/>
      <w:lvlJc w:val="left"/>
      <w:pPr>
        <w:ind w:left="1440" w:hanging="360"/>
      </w:pPr>
    </w:lvl>
    <w:lvl w:ilvl="2" w:tplc="0DF010D0">
      <w:start w:val="1"/>
      <w:numFmt w:val="bullet"/>
      <w:lvlText w:val="■"/>
      <w:lvlJc w:val="left"/>
      <w:pPr>
        <w:ind w:left="2160" w:hanging="360"/>
      </w:pPr>
    </w:lvl>
    <w:lvl w:ilvl="3" w:tplc="429CE828">
      <w:start w:val="1"/>
      <w:numFmt w:val="bullet"/>
      <w:lvlText w:val="●"/>
      <w:lvlJc w:val="left"/>
      <w:pPr>
        <w:ind w:left="2880" w:hanging="360"/>
      </w:pPr>
    </w:lvl>
    <w:lvl w:ilvl="4" w:tplc="D01C7CC8">
      <w:start w:val="1"/>
      <w:numFmt w:val="bullet"/>
      <w:lvlText w:val="○"/>
      <w:lvlJc w:val="left"/>
      <w:pPr>
        <w:ind w:left="3600" w:hanging="360"/>
      </w:pPr>
    </w:lvl>
    <w:lvl w:ilvl="5" w:tplc="9A6C98DE">
      <w:start w:val="1"/>
      <w:numFmt w:val="bullet"/>
      <w:lvlText w:val="■"/>
      <w:lvlJc w:val="left"/>
      <w:pPr>
        <w:ind w:left="4320" w:hanging="360"/>
      </w:pPr>
    </w:lvl>
    <w:lvl w:ilvl="6" w:tplc="FBB4B0CE">
      <w:start w:val="1"/>
      <w:numFmt w:val="bullet"/>
      <w:lvlText w:val="●"/>
      <w:lvlJc w:val="left"/>
      <w:pPr>
        <w:ind w:left="5040" w:hanging="360"/>
      </w:pPr>
    </w:lvl>
    <w:lvl w:ilvl="7" w:tplc="41B065A8">
      <w:start w:val="1"/>
      <w:numFmt w:val="bullet"/>
      <w:lvlText w:val="●"/>
      <w:lvlJc w:val="left"/>
      <w:pPr>
        <w:ind w:left="5760" w:hanging="360"/>
      </w:pPr>
    </w:lvl>
    <w:lvl w:ilvl="8" w:tplc="6B2CD7C0">
      <w:start w:val="1"/>
      <w:numFmt w:val="bullet"/>
      <w:lvlText w:val="●"/>
      <w:lvlJc w:val="left"/>
      <w:pPr>
        <w:ind w:left="6480" w:hanging="360"/>
      </w:pPr>
    </w:lvl>
  </w:abstractNum>
  <w:num w:numId="1" w16cid:durableId="2181348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40A"/>
    <w:rsid w:val="002C0475"/>
    <w:rsid w:val="0047036D"/>
    <w:rsid w:val="00CA140A"/>
    <w:rsid w:val="00FD2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28A576"/>
  <w15:docId w15:val="{C2406B3B-8286-2143-A663-9927F1E8B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2743</Words>
  <Characters>16129</Characters>
  <Application>Microsoft Office Word</Application>
  <DocSecurity>0</DocSecurity>
  <Lines>256</Lines>
  <Paragraphs>69</Paragraphs>
  <ScaleCrop>false</ScaleCrop>
  <Company/>
  <LinksUpToDate>false</LinksUpToDate>
  <CharactersWithSpaces>18803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Portfolio Construction Methods through a PCA Lens</dc:title>
  <dc:subject>FINM 33100 Market Structure Project</dc:subject>
  <dc:creator>Bangjie Xu</dc:creator>
  <cp:lastModifiedBy>Bangjie Xu</cp:lastModifiedBy>
  <cp:revision>8</cp:revision>
  <dcterms:created xsi:type="dcterms:W3CDTF">2026-08-12T15:42:00Z</dcterms:created>
  <dcterms:modified xsi:type="dcterms:W3CDTF">2026-08-19T05:00:00Z</dcterms:modified>
</cp:coreProperties>
</file>