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C61B5" w14:textId="77777777" w:rsidR="00F84077" w:rsidRDefault="00000000">
      <w:pPr>
        <w:pBdr>
          <w:bottom w:val="single" w:sz="12" w:space="4" w:color="1F3864"/>
        </w:pBdr>
        <w:spacing w:after="160"/>
      </w:pPr>
      <w:r>
        <w:rPr>
          <w:b/>
          <w:bCs/>
          <w:sz w:val="22"/>
          <w:szCs w:val="22"/>
        </w:rPr>
        <w:t>FINM 33100 Project · Track 1: Market Structure</w:t>
      </w:r>
    </w:p>
    <w:p w14:paraId="454D1A7F" w14:textId="77777777" w:rsidR="00F84077" w:rsidRDefault="00000000">
      <w:pPr>
        <w:spacing w:after="40"/>
      </w:pPr>
      <w:r>
        <w:rPr>
          <w:b/>
          <w:bCs/>
          <w:sz w:val="34"/>
          <w:szCs w:val="34"/>
        </w:rPr>
        <w:t>Comparing Portfolio Construction Methods through a PCA Lens</w:t>
      </w:r>
    </w:p>
    <w:p w14:paraId="39FE4763" w14:textId="77777777" w:rsidR="00F84077" w:rsidRDefault="00000000">
      <w:pPr>
        <w:spacing w:after="140"/>
      </w:pPr>
      <w:r>
        <w:rPr>
          <w:i/>
          <w:iCs/>
          <w:sz w:val="23"/>
          <w:szCs w:val="23"/>
        </w:rPr>
        <w:t>How diversified are traditional portfolio construction methods really, and how do they hold up when it matters?</w:t>
      </w:r>
    </w:p>
    <w:p w14:paraId="6B058537" w14:textId="77777777" w:rsidR="00F84077" w:rsidRDefault="00000000">
      <w:pPr>
        <w:spacing w:after="200"/>
      </w:pPr>
      <w:r>
        <w:t xml:space="preserve">Chirag Jha, Anthony Mazy, </w:t>
      </w:r>
      <w:proofErr w:type="spellStart"/>
      <w:r>
        <w:t>Bangjie</w:t>
      </w:r>
      <w:proofErr w:type="spellEnd"/>
      <w:r>
        <w:t xml:space="preserve"> Xu, Enrique Zambrano</w:t>
      </w:r>
    </w:p>
    <w:p w14:paraId="4DD49088" w14:textId="0EA232E6" w:rsidR="00F84077" w:rsidRDefault="00000000">
      <w:pPr>
        <w:pBdr>
          <w:top w:val="single" w:sz="4" w:space="0" w:color="BFBFBF"/>
          <w:left w:val="single" w:sz="18" w:space="0" w:color="1F3864"/>
          <w:bottom w:val="single" w:sz="4" w:space="0" w:color="BFBFBF"/>
          <w:right w:val="single" w:sz="4" w:space="0" w:color="BFBFBF"/>
        </w:pBdr>
        <w:shd w:val="clear" w:color="auto" w:fill="F2F2F2"/>
        <w:spacing w:before="100" w:after="220"/>
        <w:ind w:left="120" w:right="120"/>
        <w:jc w:val="both"/>
      </w:pPr>
      <w:r>
        <w:rPr>
          <w:b/>
          <w:bCs/>
          <w:sz w:val="18"/>
          <w:szCs w:val="18"/>
        </w:rPr>
        <w:t xml:space="preserve">Abstract.  </w:t>
      </w:r>
      <w:r>
        <w:rPr>
          <w:sz w:val="18"/>
          <w:szCs w:val="18"/>
        </w:rPr>
        <w:t xml:space="preserve">We compare five portfolio construction methods by how many independent sources of risk each </w:t>
      </w:r>
      <w:r w:rsidR="00D76FA9">
        <w:rPr>
          <w:sz w:val="18"/>
          <w:szCs w:val="18"/>
        </w:rPr>
        <w:t>holds</w:t>
      </w:r>
      <w:r>
        <w:rPr>
          <w:sz w:val="18"/>
          <w:szCs w:val="18"/>
        </w:rPr>
        <w:t xml:space="preserve">: equal-weight, capitalization-weighted, minimum variance, equal-risk-contribution (ERC), and maximum diversification. Using a rolling principal-components decomposition of the </w:t>
      </w:r>
      <w:proofErr w:type="gramStart"/>
      <w:r>
        <w:rPr>
          <w:sz w:val="18"/>
          <w:szCs w:val="18"/>
        </w:rPr>
        <w:t>top-500</w:t>
      </w:r>
      <w:proofErr w:type="gramEnd"/>
      <w:r>
        <w:rPr>
          <w:sz w:val="18"/>
          <w:szCs w:val="18"/>
        </w:rPr>
        <w:t xml:space="preserve"> U.S. stocks (2003–2025), we project each portfolio's weights onto the eigenspace and summarize the resulting variance shares with three diversification measures: an entropy-based effective number of bets (ENB), an HHI-based ENB, and the share of variance explained by the first 10 components. The intuitive expectation is that a portfolio holding many stocks, or one that explicitly manages risk contributions, should already be well diversified; the evidence disagrees for most of them. Across the full sample the optimized portfolios (minimum variance, maximum diversification) hold roughly 5–6 effective bets, while the naive and risk-budgeted schemes hold barely more than one, because they load almost entirely on a single market factor regardless of how many names they hold. We then test </w:t>
      </w:r>
      <w:r w:rsidR="00886494" w:rsidRPr="00886494">
        <w:rPr>
          <w:sz w:val="18"/>
          <w:szCs w:val="18"/>
        </w:rPr>
        <w:t xml:space="preserve">whether this is just true on average, or whether it </w:t>
      </w:r>
      <w:proofErr w:type="gramStart"/>
      <w:r w:rsidR="00886494" w:rsidRPr="00886494">
        <w:rPr>
          <w:sz w:val="18"/>
          <w:szCs w:val="18"/>
        </w:rPr>
        <w:t>actually holds</w:t>
      </w:r>
      <w:proofErr w:type="gramEnd"/>
      <w:r w:rsidR="00886494" w:rsidRPr="00886494">
        <w:rPr>
          <w:sz w:val="18"/>
          <w:szCs w:val="18"/>
        </w:rPr>
        <w:t xml:space="preserve"> during a real crisis</w:t>
      </w:r>
      <w:r w:rsidR="00886494">
        <w:t xml:space="preserve"> </w:t>
      </w:r>
      <w:r>
        <w:rPr>
          <w:sz w:val="18"/>
          <w:szCs w:val="18"/>
        </w:rPr>
        <w:t>by studying three crises with very different textures: the 2008 Global Financial Crisis, the 2020 COVID-19 crash, and the 2025 “Liberation Day” tariff shock. The same asymmetry shows up every time: only the optimized portfolios have diversification left to lose.</w:t>
      </w:r>
    </w:p>
    <w:p w14:paraId="6EB98D7E" w14:textId="77777777" w:rsidR="00F84077" w:rsidRDefault="00000000">
      <w:pPr>
        <w:pStyle w:val="Heading1"/>
        <w:spacing w:before="260" w:after="120"/>
      </w:pPr>
      <w:r>
        <w:rPr>
          <w:b/>
          <w:bCs/>
          <w:color w:val="000000"/>
          <w:sz w:val="27"/>
          <w:szCs w:val="27"/>
        </w:rPr>
        <w:t>1. Introduction and research question</w:t>
      </w:r>
    </w:p>
    <w:p w14:paraId="5F75FDAD" w14:textId="77777777" w:rsidR="00F84077" w:rsidRDefault="00000000">
      <w:pPr>
        <w:spacing w:after="160" w:line="276" w:lineRule="auto"/>
        <w:jc w:val="both"/>
      </w:pPr>
      <w:r>
        <w:t>Traditional portfolio construction methods are often assumed to be diversified simply because they hold many stocks. Equal-weight and capitalization-weighted portfolios spread capital across hundreds of names; equal-risk-contribution portfolios go further and size each position so that it contributes an equal share of total risk. The natural intuition is that a portfolio touching hundreds of businesses should not be exposed to any single source of risk.</w:t>
      </w:r>
    </w:p>
    <w:p w14:paraId="4C91CD0F" w14:textId="77777777" w:rsidR="00F84077" w:rsidRDefault="00000000">
      <w:pPr>
        <w:spacing w:after="160" w:line="276" w:lineRule="auto"/>
        <w:jc w:val="both"/>
      </w:pPr>
      <w:r>
        <w:t xml:space="preserve">That intuition rests on an assumption worth testing directly: that the stocks themselves move independently of one another. If many holdings are exposed to the same underlying factor (the broad market, in the simplest case), spreading capital across more of them does not reduce that shared exposure; it only spreads it more finely across more line items. A portfolio's true diversification should therefore be measured not by how many stocks it holds, but by how its risk is distributed across independent sources of risk. </w:t>
      </w:r>
      <w:proofErr w:type="gramStart"/>
      <w:r>
        <w:t>With this in mind, this</w:t>
      </w:r>
      <w:proofErr w:type="gramEnd"/>
      <w:r>
        <w:t xml:space="preserve"> project asks: </w:t>
      </w:r>
      <w:r>
        <w:rPr>
          <w:b/>
          <w:bCs/>
        </w:rPr>
        <w:t>how does exposure to independent sources of risk differ across common portfolio construction methods, and how does that exposure change between calm and stressed markets?</w:t>
      </w:r>
    </w:p>
    <w:p w14:paraId="107491EB" w14:textId="77777777" w:rsidR="00F84077" w:rsidRDefault="00000000">
      <w:pPr>
        <w:spacing w:after="160" w:line="276" w:lineRule="auto"/>
        <w:jc w:val="both"/>
      </w:pPr>
      <w:r>
        <w:t>We answer this question through the lens of principal component analysis (PCA). PCA decomposes the cross-section of stock returns into a set of uncorrelated factors: a portfolio is well diversified when its risk is spread across many of these factors, and poorly diversified when a small number of factors account for most of its risk. This gives us a measure of diversification that does not depend on the number of stocks held and that can track changes in the market's underlying structure over time. We compare five portfolio construction methods spanning three philosophies: naive methods (equal-weight, capitalization-weighted); a risk-budgeted method (equal-risk-contribution); and covariance-based methods (minimum variance, maximum diversification).</w:t>
      </w:r>
    </w:p>
    <w:p w14:paraId="630E9333" w14:textId="77777777" w:rsidR="00F84077" w:rsidRDefault="00000000">
      <w:pPr>
        <w:pStyle w:val="Heading1"/>
        <w:spacing w:before="260" w:after="120"/>
      </w:pPr>
      <w:r>
        <w:rPr>
          <w:b/>
          <w:bCs/>
          <w:color w:val="000000"/>
          <w:sz w:val="27"/>
          <w:szCs w:val="27"/>
        </w:rPr>
        <w:t>2. Data and methodology</w:t>
      </w:r>
    </w:p>
    <w:p w14:paraId="4131F986" w14:textId="77777777" w:rsidR="00F84077" w:rsidRDefault="00000000">
      <w:pPr>
        <w:pStyle w:val="Heading2"/>
        <w:spacing w:before="200" w:after="90"/>
      </w:pPr>
      <w:r>
        <w:rPr>
          <w:b/>
          <w:bCs/>
          <w:color w:val="000000"/>
          <w:sz w:val="23"/>
          <w:szCs w:val="23"/>
        </w:rPr>
        <w:t>2.1 Data</w:t>
      </w:r>
    </w:p>
    <w:p w14:paraId="353E5608" w14:textId="77777777" w:rsidR="00F84077" w:rsidRDefault="00000000">
      <w:pPr>
        <w:spacing w:after="160" w:line="276" w:lineRule="auto"/>
        <w:jc w:val="both"/>
      </w:pPr>
      <w:r>
        <w:t>The sample consists of a daily stock panel covering 3,256 U.S. securities from February 2001 to December 2025 (≈ 6.25 million security-day observations, median ≈ 999 securities per day). For each day, the estimation universe is the 500 largest securities by market capitalization among those with a complete, gap-free 504-day return history. This guarantees exactly 500 usable securities for the covariance matrix on every single date in the sample.</w:t>
      </w:r>
    </w:p>
    <w:p w14:paraId="00CDCF94" w14:textId="77777777" w:rsidR="00BE3C7A" w:rsidRDefault="00BE3C7A">
      <w:pPr>
        <w:pStyle w:val="Heading2"/>
        <w:spacing w:before="200" w:after="90"/>
        <w:rPr>
          <w:b/>
          <w:bCs/>
          <w:color w:val="000000"/>
          <w:sz w:val="23"/>
          <w:szCs w:val="23"/>
        </w:rPr>
      </w:pPr>
    </w:p>
    <w:p w14:paraId="77E096F4" w14:textId="77777777" w:rsidR="00BE3C7A" w:rsidRDefault="00BE3C7A">
      <w:pPr>
        <w:pStyle w:val="Heading2"/>
        <w:spacing w:before="200" w:after="90"/>
        <w:rPr>
          <w:b/>
          <w:bCs/>
          <w:color w:val="000000"/>
          <w:sz w:val="23"/>
          <w:szCs w:val="23"/>
        </w:rPr>
      </w:pPr>
    </w:p>
    <w:p w14:paraId="33774E45" w14:textId="7D63C745" w:rsidR="00F84077" w:rsidRDefault="00000000">
      <w:pPr>
        <w:pStyle w:val="Heading2"/>
        <w:spacing w:before="200" w:after="90"/>
      </w:pPr>
      <w:r>
        <w:rPr>
          <w:b/>
          <w:bCs/>
          <w:color w:val="000000"/>
          <w:sz w:val="23"/>
          <w:szCs w:val="23"/>
        </w:rPr>
        <w:lastRenderedPageBreak/>
        <w:t>2.2 Rolling PCA</w:t>
      </w:r>
    </w:p>
    <w:p w14:paraId="03026CFC" w14:textId="77777777" w:rsidR="00F84077" w:rsidRDefault="00000000">
      <w:pPr>
        <w:pStyle w:val="ListParagraph"/>
        <w:numPr>
          <w:ilvl w:val="0"/>
          <w:numId w:val="1"/>
        </w:numPr>
        <w:spacing w:after="100" w:line="276" w:lineRule="auto"/>
        <w:jc w:val="both"/>
      </w:pPr>
      <w:r>
        <w:rPr>
          <w:b/>
          <w:bCs/>
        </w:rPr>
        <w:t xml:space="preserve">Estimate the covariance matrix: </w:t>
      </w:r>
      <w:r>
        <w:t xml:space="preserve">each day, we construct an </w:t>
      </w:r>
      <w:proofErr w:type="gramStart"/>
      <w:r>
        <w:t>exponentially-weighted</w:t>
      </w:r>
      <w:proofErr w:type="gramEnd"/>
      <w:r>
        <w:t xml:space="preserve"> covariance matrix using a 504-day window and a 252-day half-life, so recent observations count more without discarding the older two years entirely. These choices follow Kritzman et al. (2011).</w:t>
      </w:r>
    </w:p>
    <w:p w14:paraId="0F1BB0B4" w14:textId="66EEFA47" w:rsidR="00F84077" w:rsidRDefault="00000000">
      <w:pPr>
        <w:pStyle w:val="ListParagraph"/>
        <w:numPr>
          <w:ilvl w:val="0"/>
          <w:numId w:val="1"/>
        </w:numPr>
        <w:spacing w:after="100" w:line="276" w:lineRule="auto"/>
        <w:jc w:val="both"/>
      </w:pPr>
      <w:r>
        <w:rPr>
          <w:b/>
          <w:bCs/>
        </w:rPr>
        <w:t xml:space="preserve">Shrink toward a constant-correlation target: </w:t>
      </w:r>
      <w:r>
        <w:t xml:space="preserve">with N = 500 stocks and an effective sample size well under that after EWMA down-weighting, this estimation sits close to the boundary where the number of dates T and the number of stocks p are comparable. That's exactly the regime in which a raw sample covariance matrix is least </w:t>
      </w:r>
      <w:r w:rsidR="00886494">
        <w:t>reliable and</w:t>
      </w:r>
      <w:r>
        <w:t xml:space="preserve"> can even fall short of full rank. We shrink toward a constant-correlation target using an EWMA-consistent </w:t>
      </w:r>
      <w:proofErr w:type="spellStart"/>
      <w:r>
        <w:t>Ledoit</w:t>
      </w:r>
      <w:proofErr w:type="spellEnd"/>
      <w:r>
        <w:t>–Wolf intensity (smoothed over 60 days), which both stabilizes the small eigenvalues our diversification measures are most sensitive to and guarantees the matrix stays invertible.</w:t>
      </w:r>
    </w:p>
    <w:p w14:paraId="3456A2DD" w14:textId="79045459" w:rsidR="00F84077" w:rsidRDefault="00000000">
      <w:pPr>
        <w:pStyle w:val="ListParagraph"/>
        <w:numPr>
          <w:ilvl w:val="0"/>
          <w:numId w:val="1"/>
        </w:numPr>
        <w:spacing w:after="160" w:line="276" w:lineRule="auto"/>
        <w:jc w:val="both"/>
      </w:pPr>
      <w:r>
        <w:rPr>
          <w:b/>
          <w:bCs/>
        </w:rPr>
        <w:t xml:space="preserve">Decompose: </w:t>
      </w:r>
      <w:r>
        <w:t>each day, we run PCA on the shrunk covariance matrix and keep the full eigen</w:t>
      </w:r>
      <w:r w:rsidR="00886494">
        <w:t>-</w:t>
      </w:r>
      <w:r>
        <w:t>basis for that date.</w:t>
      </w:r>
    </w:p>
    <w:p w14:paraId="34CA656D" w14:textId="08213C74" w:rsidR="00103326" w:rsidRDefault="00103326" w:rsidP="00103326">
      <w:pPr>
        <w:spacing w:after="160" w:line="276" w:lineRule="auto"/>
        <w:jc w:val="both"/>
      </w:pPr>
      <w:r>
        <w:t>(Appendix A lists the rationale for each implementation choice made)</w:t>
      </w:r>
    </w:p>
    <w:p w14:paraId="7AB2CEF9" w14:textId="77777777" w:rsidR="00F84077" w:rsidRDefault="00000000">
      <w:pPr>
        <w:pStyle w:val="Heading2"/>
        <w:spacing w:before="200" w:after="90"/>
      </w:pPr>
      <w:r>
        <w:rPr>
          <w:b/>
          <w:bCs/>
          <w:color w:val="000000"/>
          <w:sz w:val="23"/>
          <w:szCs w:val="23"/>
        </w:rPr>
        <w:t>2.3 Diversification measures</w:t>
      </w:r>
    </w:p>
    <w:p w14:paraId="38BB2CBB" w14:textId="77777777" w:rsidR="00F84077" w:rsidRDefault="00000000">
      <w:pPr>
        <w:spacing w:after="160" w:line="276" w:lineRule="auto"/>
        <w:jc w:val="both"/>
      </w:pPr>
      <w:r>
        <w:t>A diversified portfolio should have its variance spread evenly across components; a concentrated one should have most of its variance explained by a few. To measure this, we project each portfolio's weights (re-expressed in standardized-return units) onto that day's eigenvectors and compute the resulting share of portfolio variance carried by each component, pₖ (full derivation in Appendix B). Three measures follow from the shape of that distribution:</w:t>
      </w:r>
    </w:p>
    <w:p w14:paraId="7FAFC896" w14:textId="77777777" w:rsidR="00F84077" w:rsidRDefault="00000000">
      <w:pPr>
        <w:spacing w:after="20" w:line="276" w:lineRule="auto"/>
        <w:jc w:val="both"/>
      </w:pPr>
      <w:r>
        <w:rPr>
          <w:b/>
          <w:bCs/>
        </w:rPr>
        <w:t>Entropy-based ENB (Meucci, 2010):</w:t>
      </w:r>
    </w:p>
    <w:p w14:paraId="15AF2DB6" w14:textId="77777777" w:rsidR="00F84077" w:rsidRDefault="00000000">
      <w:pPr>
        <w:spacing w:before="120" w:after="120"/>
        <w:ind w:left="504"/>
        <w:jc w:val="center"/>
      </w:pPr>
      <w:r>
        <w:rPr>
          <w:noProof/>
        </w:rPr>
        <w:drawing>
          <wp:inline distT="0" distB="0" distL="0" distR="0" wp14:anchorId="61E84612" wp14:editId="26D4F85B">
            <wp:extent cx="1943100" cy="3619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1943100" cy="361950"/>
                    </a:xfrm>
                    <a:prstGeom prst="rect">
                      <a:avLst/>
                    </a:prstGeom>
                  </pic:spPr>
                </pic:pic>
              </a:graphicData>
            </a:graphic>
          </wp:inline>
        </w:drawing>
      </w:r>
    </w:p>
    <w:p w14:paraId="7C796552" w14:textId="77777777" w:rsidR="00F84077" w:rsidRDefault="00000000">
      <w:pPr>
        <w:spacing w:after="160" w:line="276" w:lineRule="auto"/>
        <w:jc w:val="both"/>
      </w:pPr>
      <w:r>
        <w:t xml:space="preserve">The effective number of uncorrelated risk sources. A fully concentrated portfolio scores </w:t>
      </w:r>
      <w:r>
        <w:rPr>
          <w:noProof/>
        </w:rPr>
        <w:drawing>
          <wp:inline distT="0" distB="0" distL="0" distR="0" wp14:anchorId="53489067" wp14:editId="21D894FD">
            <wp:extent cx="447675" cy="1428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447675" cy="142875"/>
                    </a:xfrm>
                    <a:prstGeom prst="rect">
                      <a:avLst/>
                    </a:prstGeom>
                  </pic:spPr>
                </pic:pic>
              </a:graphicData>
            </a:graphic>
          </wp:inline>
        </w:drawing>
      </w:r>
      <w:r>
        <w:t xml:space="preserve">; one spread evenly across K components scores </w:t>
      </w:r>
      <w:r>
        <w:rPr>
          <w:noProof/>
        </w:rPr>
        <w:drawing>
          <wp:inline distT="0" distB="0" distL="0" distR="0" wp14:anchorId="0CD87206" wp14:editId="669B07ED">
            <wp:extent cx="495300" cy="1428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tretch>
                      <a:fillRect/>
                    </a:stretch>
                  </pic:blipFill>
                  <pic:spPr>
                    <a:xfrm>
                      <a:off x="0" y="0"/>
                      <a:ext cx="495300" cy="142875"/>
                    </a:xfrm>
                    <a:prstGeom prst="rect">
                      <a:avLst/>
                    </a:prstGeom>
                  </pic:spPr>
                </pic:pic>
              </a:graphicData>
            </a:graphic>
          </wp:inline>
        </w:drawing>
      </w:r>
      <w:r>
        <w:t>.</w:t>
      </w:r>
    </w:p>
    <w:p w14:paraId="5831028F" w14:textId="77777777" w:rsidR="00F84077" w:rsidRDefault="00000000">
      <w:pPr>
        <w:spacing w:after="20" w:line="276" w:lineRule="auto"/>
        <w:jc w:val="both"/>
      </w:pPr>
      <w:r>
        <w:rPr>
          <w:b/>
          <w:bCs/>
        </w:rPr>
        <w:t>HHI-based ENB:</w:t>
      </w:r>
    </w:p>
    <w:p w14:paraId="6B3C06E2" w14:textId="77777777" w:rsidR="00F84077" w:rsidRDefault="00000000">
      <w:pPr>
        <w:spacing w:before="120" w:after="120"/>
        <w:ind w:left="504"/>
        <w:jc w:val="center"/>
      </w:pPr>
      <w:r>
        <w:rPr>
          <w:noProof/>
        </w:rPr>
        <w:drawing>
          <wp:inline distT="0" distB="0" distL="0" distR="0" wp14:anchorId="648BEE54" wp14:editId="6743078C">
            <wp:extent cx="1057275" cy="5715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1"/>
                    <a:stretch>
                      <a:fillRect/>
                    </a:stretch>
                  </pic:blipFill>
                  <pic:spPr>
                    <a:xfrm>
                      <a:off x="0" y="0"/>
                      <a:ext cx="1057275" cy="571500"/>
                    </a:xfrm>
                    <a:prstGeom prst="rect">
                      <a:avLst/>
                    </a:prstGeom>
                  </pic:spPr>
                </pic:pic>
              </a:graphicData>
            </a:graphic>
          </wp:inline>
        </w:drawing>
      </w:r>
    </w:p>
    <w:p w14:paraId="78E0EB42" w14:textId="77777777" w:rsidR="00F84077" w:rsidRDefault="00000000">
      <w:pPr>
        <w:spacing w:after="160" w:line="276" w:lineRule="auto"/>
        <w:jc w:val="both"/>
      </w:pPr>
      <w:r>
        <w:t xml:space="preserve">The inverse Herfindahl index of the same distribution; higher </w:t>
      </w:r>
      <w:r>
        <w:rPr>
          <w:noProof/>
        </w:rPr>
        <w:drawing>
          <wp:inline distT="0" distB="0" distL="0" distR="0" wp14:anchorId="11856971" wp14:editId="462AD6E3">
            <wp:extent cx="304800" cy="1428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2"/>
                    <a:stretch>
                      <a:fillRect/>
                    </a:stretch>
                  </pic:blipFill>
                  <pic:spPr>
                    <a:xfrm>
                      <a:off x="0" y="0"/>
                      <a:ext cx="304800" cy="142875"/>
                    </a:xfrm>
                    <a:prstGeom prst="rect">
                      <a:avLst/>
                    </a:prstGeom>
                  </pic:spPr>
                </pic:pic>
              </a:graphicData>
            </a:graphic>
          </wp:inline>
        </w:drawing>
      </w:r>
      <w:r>
        <w:t xml:space="preserve"> again means more diversified.</w:t>
      </w:r>
    </w:p>
    <w:p w14:paraId="67AE370A" w14:textId="2DFEEA18" w:rsidR="00F84077" w:rsidRDefault="00886494">
      <w:pPr>
        <w:spacing w:after="20" w:line="276" w:lineRule="auto"/>
        <w:jc w:val="both"/>
      </w:pPr>
      <w:proofErr w:type="gramStart"/>
      <w:r>
        <w:rPr>
          <w:b/>
          <w:bCs/>
        </w:rPr>
        <w:t>Top-10</w:t>
      </w:r>
      <w:proofErr w:type="gramEnd"/>
      <w:r w:rsidR="00000000">
        <w:rPr>
          <w:b/>
          <w:bCs/>
        </w:rPr>
        <w:t xml:space="preserve"> variance explained:</w:t>
      </w:r>
    </w:p>
    <w:p w14:paraId="21826269" w14:textId="77777777" w:rsidR="00F84077" w:rsidRDefault="00000000">
      <w:pPr>
        <w:spacing w:before="120" w:after="120"/>
        <w:ind w:left="504"/>
        <w:jc w:val="center"/>
      </w:pPr>
      <w:r>
        <w:rPr>
          <w:noProof/>
        </w:rPr>
        <w:drawing>
          <wp:inline distT="0" distB="0" distL="0" distR="0" wp14:anchorId="74829D33" wp14:editId="51D5AC75">
            <wp:extent cx="1371600" cy="4953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13"/>
                    <a:stretch>
                      <a:fillRect/>
                    </a:stretch>
                  </pic:blipFill>
                  <pic:spPr>
                    <a:xfrm>
                      <a:off x="0" y="0"/>
                      <a:ext cx="1371600" cy="495300"/>
                    </a:xfrm>
                    <a:prstGeom prst="rect">
                      <a:avLst/>
                    </a:prstGeom>
                  </pic:spPr>
                </pic:pic>
              </a:graphicData>
            </a:graphic>
          </wp:inline>
        </w:drawing>
      </w:r>
    </w:p>
    <w:p w14:paraId="22061F94" w14:textId="77777777" w:rsidR="00F84077" w:rsidRDefault="00000000">
      <w:pPr>
        <w:spacing w:after="160" w:line="276" w:lineRule="auto"/>
        <w:jc w:val="both"/>
      </w:pPr>
      <w:r>
        <w:t>The share of variance carried by the ten largest components, our analogue of the Absorption Ratio (Kritzman et al., 2011). Here lower means more diversified.</w:t>
      </w:r>
    </w:p>
    <w:p w14:paraId="5FF6248A" w14:textId="77777777" w:rsidR="00F84077" w:rsidRDefault="00000000">
      <w:pPr>
        <w:pStyle w:val="Heading2"/>
        <w:spacing w:before="200" w:after="90"/>
      </w:pPr>
      <w:r>
        <w:rPr>
          <w:b/>
          <w:bCs/>
          <w:color w:val="000000"/>
          <w:sz w:val="23"/>
          <w:szCs w:val="23"/>
        </w:rPr>
        <w:t>2.4 Portfolio construction</w:t>
      </w:r>
    </w:p>
    <w:p w14:paraId="00E4AFAF" w14:textId="77777777" w:rsidR="00F84077" w:rsidRDefault="00000000">
      <w:pPr>
        <w:spacing w:after="160" w:line="276" w:lineRule="auto"/>
        <w:jc w:val="both"/>
      </w:pPr>
      <w:r>
        <w:t>We form five portfolios each day, all constrained to be long-only: equal-weight, capitalization-weighted, equal-risk-contribution, minimum variance, and maximum diversification. The last three are computed from the shrunk covariance matrix and averaged over a trailing 20 days to control turnover; objective functions and solvers for each are summarized in Appendix C.</w:t>
      </w:r>
    </w:p>
    <w:p w14:paraId="2BF370A3" w14:textId="77777777" w:rsidR="00BE3C7A" w:rsidRDefault="00BE3C7A">
      <w:pPr>
        <w:pStyle w:val="Heading1"/>
        <w:spacing w:before="260" w:after="120"/>
        <w:rPr>
          <w:b/>
          <w:bCs/>
          <w:color w:val="000000"/>
          <w:sz w:val="27"/>
          <w:szCs w:val="27"/>
        </w:rPr>
      </w:pPr>
    </w:p>
    <w:p w14:paraId="0CC275FE" w14:textId="77777777" w:rsidR="00BE3C7A" w:rsidRDefault="00BE3C7A">
      <w:pPr>
        <w:pStyle w:val="Heading1"/>
        <w:spacing w:before="260" w:after="120"/>
        <w:rPr>
          <w:b/>
          <w:bCs/>
          <w:color w:val="000000"/>
          <w:sz w:val="27"/>
          <w:szCs w:val="27"/>
        </w:rPr>
      </w:pPr>
    </w:p>
    <w:p w14:paraId="60346F1D" w14:textId="3C5B11B1" w:rsidR="00F84077" w:rsidRDefault="00000000">
      <w:pPr>
        <w:pStyle w:val="Heading1"/>
        <w:spacing w:before="260" w:after="120"/>
      </w:pPr>
      <w:r>
        <w:rPr>
          <w:b/>
          <w:bCs/>
          <w:color w:val="000000"/>
          <w:sz w:val="27"/>
          <w:szCs w:val="27"/>
        </w:rPr>
        <w:t>3. Market structure over time</w:t>
      </w:r>
    </w:p>
    <w:p w14:paraId="5697A19F" w14:textId="0838F0B2" w:rsidR="00F84077" w:rsidRDefault="00000000">
      <w:pPr>
        <w:spacing w:after="160" w:line="276" w:lineRule="auto"/>
        <w:jc w:val="both"/>
      </w:pPr>
      <w:r>
        <w:t xml:space="preserve">Average pairwise correlation among the largest names swings widely over the sample, from roughly 0.14 in the calmest stretches to 0.57 at the height of the GFC and euro-zone episodes (Figure 1). Correlation is the single best real-time barometer of market stress: it </w:t>
      </w:r>
      <w:r w:rsidR="00F72354">
        <w:t>rises sharply</w:t>
      </w:r>
      <w:r>
        <w:t xml:space="preserve"> </w:t>
      </w:r>
      <w:r w:rsidR="00F72354">
        <w:t>around several crisis periods</w:t>
      </w:r>
      <w:r>
        <w:t xml:space="preserve"> and decays slowly afterwards.</w:t>
      </w:r>
    </w:p>
    <w:p w14:paraId="12204042" w14:textId="77777777" w:rsidR="00F84077" w:rsidRDefault="00000000">
      <w:pPr>
        <w:spacing w:after="60"/>
        <w:jc w:val="center"/>
      </w:pPr>
      <w:r>
        <w:rPr>
          <w:noProof/>
        </w:rPr>
        <w:drawing>
          <wp:inline distT="0" distB="0" distL="0" distR="0" wp14:anchorId="0D45D2CF" wp14:editId="4AB4FB8E">
            <wp:extent cx="6038850" cy="199072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14"/>
                    <a:stretch>
                      <a:fillRect/>
                    </a:stretch>
                  </pic:blipFill>
                  <pic:spPr>
                    <a:xfrm>
                      <a:off x="0" y="0"/>
                      <a:ext cx="6038850" cy="1990725"/>
                    </a:xfrm>
                    <a:prstGeom prst="rect">
                      <a:avLst/>
                    </a:prstGeom>
                  </pic:spPr>
                </pic:pic>
              </a:graphicData>
            </a:graphic>
          </wp:inline>
        </w:drawing>
      </w:r>
    </w:p>
    <w:p w14:paraId="7A4DE23D" w14:textId="77777777" w:rsidR="00F84077" w:rsidRDefault="00000000">
      <w:pPr>
        <w:spacing w:after="200"/>
        <w:jc w:val="center"/>
      </w:pPr>
      <w:r>
        <w:rPr>
          <w:i/>
          <w:iCs/>
          <w:sz w:val="18"/>
          <w:szCs w:val="18"/>
        </w:rPr>
        <w:t xml:space="preserve">Figure 1. Rolling 252-day average pairwise correlation, </w:t>
      </w:r>
      <w:proofErr w:type="gramStart"/>
      <w:r w:rsidRPr="00BE3C7A">
        <w:rPr>
          <w:i/>
          <w:iCs/>
          <w:sz w:val="18"/>
          <w:szCs w:val="18"/>
        </w:rPr>
        <w:t>top-250</w:t>
      </w:r>
      <w:proofErr w:type="gramEnd"/>
      <w:r>
        <w:rPr>
          <w:i/>
          <w:iCs/>
          <w:sz w:val="18"/>
          <w:szCs w:val="18"/>
        </w:rPr>
        <w:t xml:space="preserve"> names. Correlation sits near a multi-year low (~0.17) entering 2025 and spikes toward ~0.29 at the tariff shock.</w:t>
      </w:r>
    </w:p>
    <w:p w14:paraId="18ED3C31" w14:textId="77777777" w:rsidR="00F84077" w:rsidRDefault="00000000">
      <w:pPr>
        <w:spacing w:after="160" w:line="276" w:lineRule="auto"/>
        <w:jc w:val="both"/>
      </w:pPr>
      <w:r>
        <w:t>The PCA tells the same story in factor space (Figure 2). The share of variance explained by the first principal component (a market-synchronization gauge) ranges from ~20% in calm markets to ~55% in the GFC, and the number of components needed to explain 75% of variance collapses from ~150 to ~50 during crises.</w:t>
      </w:r>
    </w:p>
    <w:p w14:paraId="602AEB35" w14:textId="77777777" w:rsidR="00F84077" w:rsidRDefault="00000000">
      <w:pPr>
        <w:spacing w:after="60"/>
        <w:jc w:val="center"/>
      </w:pPr>
      <w:r>
        <w:rPr>
          <w:noProof/>
        </w:rPr>
        <w:drawing>
          <wp:inline distT="0" distB="0" distL="0" distR="0" wp14:anchorId="1C2364CF" wp14:editId="14DF1419">
            <wp:extent cx="5667375" cy="33718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5"/>
                    <a:stretch>
                      <a:fillRect/>
                    </a:stretch>
                  </pic:blipFill>
                  <pic:spPr>
                    <a:xfrm>
                      <a:off x="0" y="0"/>
                      <a:ext cx="5667375" cy="3371850"/>
                    </a:xfrm>
                    <a:prstGeom prst="rect">
                      <a:avLst/>
                    </a:prstGeom>
                  </pic:spPr>
                </pic:pic>
              </a:graphicData>
            </a:graphic>
          </wp:inline>
        </w:drawing>
      </w:r>
    </w:p>
    <w:p w14:paraId="698E2E10" w14:textId="77777777" w:rsidR="00F84077" w:rsidRDefault="00000000">
      <w:pPr>
        <w:spacing w:after="200"/>
        <w:jc w:val="center"/>
      </w:pPr>
      <w:r>
        <w:rPr>
          <w:i/>
          <w:iCs/>
          <w:sz w:val="18"/>
          <w:szCs w:val="18"/>
        </w:rPr>
        <w:t>Figure 2. Rolling PC1 variance share (top) and number of components explaining 75% of variance (bottom).</w:t>
      </w:r>
    </w:p>
    <w:p w14:paraId="0E8A058A" w14:textId="77777777" w:rsidR="00F84077" w:rsidRDefault="00000000">
      <w:pPr>
        <w:pStyle w:val="Heading1"/>
        <w:spacing w:before="260" w:after="120"/>
      </w:pPr>
      <w:r>
        <w:rPr>
          <w:b/>
          <w:bCs/>
          <w:color w:val="000000"/>
          <w:sz w:val="27"/>
          <w:szCs w:val="27"/>
        </w:rPr>
        <w:t>4. Diversification across the full sample</w:t>
      </w:r>
    </w:p>
    <w:p w14:paraId="60033DEC" w14:textId="77777777" w:rsidR="00F84077" w:rsidRDefault="00000000">
      <w:pPr>
        <w:spacing w:after="160" w:line="276" w:lineRule="auto"/>
        <w:jc w:val="both"/>
      </w:pPr>
      <w:r>
        <w:t xml:space="preserve">If holding more stocks is what makes a portfolio diversified, equal-weight and capitalization-weighted, which between them touch effectively the whole 500-stock universe every day, should be the most diversified methods in this study, and </w:t>
      </w:r>
      <w:r>
        <w:lastRenderedPageBreak/>
        <w:t>ERC, which explicitly equalizes risk contribution across names, should not be far behind. The evidence disagrees sharply (Table 1, Figure 3).</w:t>
      </w:r>
    </w:p>
    <w:p w14:paraId="776B68D0" w14:textId="77777777" w:rsidR="00F84077" w:rsidRDefault="00000000">
      <w:pPr>
        <w:spacing w:after="60"/>
        <w:jc w:val="center"/>
      </w:pPr>
      <w:r>
        <w:rPr>
          <w:noProof/>
        </w:rPr>
        <w:drawing>
          <wp:inline distT="0" distB="0" distL="0" distR="0" wp14:anchorId="4D12ADB7" wp14:editId="609F2CE1">
            <wp:extent cx="6038850" cy="14859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16"/>
                    <a:stretch>
                      <a:fillRect/>
                    </a:stretch>
                  </pic:blipFill>
                  <pic:spPr>
                    <a:xfrm>
                      <a:off x="0" y="0"/>
                      <a:ext cx="6038850" cy="1485900"/>
                    </a:xfrm>
                    <a:prstGeom prst="rect">
                      <a:avLst/>
                    </a:prstGeom>
                  </pic:spPr>
                </pic:pic>
              </a:graphicData>
            </a:graphic>
          </wp:inline>
        </w:drawing>
      </w:r>
    </w:p>
    <w:p w14:paraId="6EA0EAD9" w14:textId="77777777" w:rsidR="00F84077" w:rsidRDefault="00000000">
      <w:pPr>
        <w:spacing w:after="200"/>
        <w:jc w:val="center"/>
      </w:pPr>
      <w:r>
        <w:rPr>
          <w:i/>
          <w:iCs/>
          <w:sz w:val="18"/>
          <w:szCs w:val="18"/>
        </w:rPr>
        <w:t>Figure 3. Diversification measures through time, by portfolio.</w:t>
      </w:r>
    </w:p>
    <w:p w14:paraId="2E5E6744" w14:textId="77777777" w:rsidR="00F84077" w:rsidRDefault="00000000">
      <w:pPr>
        <w:spacing w:after="60"/>
        <w:jc w:val="center"/>
      </w:pPr>
      <w:r>
        <w:rPr>
          <w:noProof/>
        </w:rPr>
        <w:drawing>
          <wp:inline distT="0" distB="0" distL="0" distR="0" wp14:anchorId="5589A70D" wp14:editId="1CDA8C78">
            <wp:extent cx="5486400" cy="219075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17"/>
                    <a:stretch>
                      <a:fillRect/>
                    </a:stretch>
                  </pic:blipFill>
                  <pic:spPr>
                    <a:xfrm>
                      <a:off x="0" y="0"/>
                      <a:ext cx="5486400" cy="2190750"/>
                    </a:xfrm>
                    <a:prstGeom prst="rect">
                      <a:avLst/>
                    </a:prstGeom>
                  </pic:spPr>
                </pic:pic>
              </a:graphicData>
            </a:graphic>
          </wp:inline>
        </w:drawing>
      </w:r>
    </w:p>
    <w:p w14:paraId="76AC6CD9" w14:textId="77777777" w:rsidR="00F84077" w:rsidRDefault="00000000">
      <w:pPr>
        <w:spacing w:after="200"/>
        <w:jc w:val="center"/>
      </w:pPr>
      <w:r>
        <w:rPr>
          <w:i/>
          <w:iCs/>
          <w:sz w:val="18"/>
          <w:szCs w:val="18"/>
        </w:rPr>
        <w:t>Figure 4. Full-sample distribution of the diversification measures.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1900"/>
        <w:gridCol w:w="900"/>
      </w:tblGrid>
      <w:tr w:rsidR="00F84077" w14:paraId="71FB60E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FD8B62B" w14:textId="77777777" w:rsidR="00F84077" w:rsidRDefault="00000000">
            <w:pPr>
              <w:jc w:val="center"/>
            </w:pPr>
            <w:r>
              <w:rPr>
                <w:b/>
                <w:bCs/>
                <w:sz w:val="18"/>
                <w:szCs w:val="18"/>
              </w:rPr>
              <w:t>Portfolio</w:t>
            </w:r>
          </w:p>
        </w:tc>
        <w:tc>
          <w:tcPr>
            <w:tcW w:w="16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7D17AB2" w14:textId="77777777" w:rsidR="00F84077" w:rsidRDefault="00000000">
            <w:pPr>
              <w:jc w:val="center"/>
            </w:pPr>
            <w:r>
              <w:rPr>
                <w:b/>
                <w:bCs/>
                <w:sz w:val="18"/>
                <w:szCs w:val="18"/>
              </w:rPr>
              <w:t>ENB entropy</w:t>
            </w:r>
          </w:p>
        </w:tc>
        <w:tc>
          <w:tcPr>
            <w:tcW w:w="14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A5CC7CB" w14:textId="77777777" w:rsidR="00F84077" w:rsidRDefault="00000000">
            <w:pPr>
              <w:jc w:val="center"/>
            </w:pPr>
            <w:r>
              <w:rPr>
                <w:b/>
                <w:bCs/>
                <w:sz w:val="18"/>
                <w:szCs w:val="18"/>
              </w:rPr>
              <w:t>ENB HHI</w:t>
            </w:r>
          </w:p>
        </w:tc>
        <w:tc>
          <w:tcPr>
            <w:tcW w:w="19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64699B5F" w14:textId="77777777" w:rsidR="00F84077" w:rsidRDefault="00000000">
            <w:pPr>
              <w:jc w:val="center"/>
            </w:pPr>
            <w:proofErr w:type="gramStart"/>
            <w:r>
              <w:rPr>
                <w:b/>
                <w:bCs/>
                <w:sz w:val="18"/>
                <w:szCs w:val="18"/>
              </w:rPr>
              <w:t>Top-10</w:t>
            </w:r>
            <w:proofErr w:type="gramEnd"/>
            <w:r>
              <w:rPr>
                <w:b/>
                <w:bCs/>
                <w:sz w:val="18"/>
                <w:szCs w:val="18"/>
              </w:rPr>
              <w:t xml:space="preserve"> var. </w:t>
            </w:r>
            <w:proofErr w:type="spellStart"/>
            <w:r>
              <w:rPr>
                <w:b/>
                <w:bCs/>
                <w:sz w:val="18"/>
                <w:szCs w:val="18"/>
              </w:rPr>
              <w:t>expl</w:t>
            </w:r>
            <w:proofErr w:type="spellEnd"/>
            <w:r>
              <w:rPr>
                <w:b/>
                <w:bCs/>
                <w:sz w:val="18"/>
                <w:szCs w:val="18"/>
              </w:rPr>
              <w:t>.</w:t>
            </w:r>
          </w:p>
        </w:tc>
        <w:tc>
          <w:tcPr>
            <w:tcW w:w="9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27A898B" w14:textId="77777777" w:rsidR="00F84077" w:rsidRDefault="00000000">
            <w:pPr>
              <w:jc w:val="center"/>
            </w:pPr>
            <w:r>
              <w:rPr>
                <w:b/>
                <w:bCs/>
                <w:sz w:val="18"/>
                <w:szCs w:val="18"/>
              </w:rPr>
              <w:t>Rank</w:t>
            </w:r>
          </w:p>
        </w:tc>
      </w:tr>
      <w:tr w:rsidR="00F84077" w14:paraId="48D765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C15BBA" w14:textId="77777777" w:rsidR="00F84077" w:rsidRDefault="00000000">
            <w:r>
              <w:rPr>
                <w:b/>
                <w:bCs/>
                <w:sz w:val="18"/>
                <w:szCs w:val="18"/>
              </w:rPr>
              <w:t>Minimum variance</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E8D84B" w14:textId="77777777" w:rsidR="00F84077" w:rsidRDefault="00000000">
            <w:pPr>
              <w:jc w:val="center"/>
            </w:pPr>
            <w:r>
              <w:rPr>
                <w:sz w:val="18"/>
                <w:szCs w:val="18"/>
              </w:rPr>
              <w:t>5.35</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BE9A66" w14:textId="77777777" w:rsidR="00F84077" w:rsidRDefault="00000000">
            <w:pPr>
              <w:jc w:val="center"/>
            </w:pPr>
            <w:r>
              <w:rPr>
                <w:sz w:val="18"/>
                <w:szCs w:val="18"/>
              </w:rPr>
              <w:t>2.06</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361D23" w14:textId="77777777" w:rsidR="00F84077" w:rsidRDefault="00000000">
            <w:pPr>
              <w:jc w:val="center"/>
            </w:pPr>
            <w:r>
              <w:rPr>
                <w:sz w:val="18"/>
                <w:szCs w:val="18"/>
              </w:rPr>
              <w:t>0.881</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0898B7" w14:textId="77777777" w:rsidR="00F84077" w:rsidRDefault="00000000">
            <w:pPr>
              <w:jc w:val="center"/>
            </w:pPr>
            <w:r>
              <w:rPr>
                <w:sz w:val="18"/>
                <w:szCs w:val="18"/>
              </w:rPr>
              <w:t>1</w:t>
            </w:r>
          </w:p>
        </w:tc>
      </w:tr>
      <w:tr w:rsidR="00F84077" w14:paraId="34468B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A5E6C45" w14:textId="77777777" w:rsidR="00F84077" w:rsidRDefault="00000000">
            <w:r>
              <w:rPr>
                <w:b/>
                <w:bCs/>
                <w:sz w:val="18"/>
                <w:szCs w:val="18"/>
              </w:rPr>
              <w:t>Maximum diversification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36C5B72" w14:textId="77777777" w:rsidR="00F84077" w:rsidRDefault="00000000">
            <w:pPr>
              <w:jc w:val="center"/>
            </w:pPr>
            <w:r>
              <w:rPr>
                <w:sz w:val="18"/>
                <w:szCs w:val="18"/>
              </w:rPr>
              <w:t>5.20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EFD1016" w14:textId="77777777" w:rsidR="00F84077" w:rsidRDefault="00000000">
            <w:pPr>
              <w:jc w:val="center"/>
            </w:pPr>
            <w:r>
              <w:rPr>
                <w:sz w:val="18"/>
                <w:szCs w:val="18"/>
              </w:rPr>
              <w:t>1.88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D5EF681" w14:textId="77777777" w:rsidR="00F84077" w:rsidRDefault="00000000">
            <w:pPr>
              <w:jc w:val="center"/>
            </w:pPr>
            <w:r>
              <w:rPr>
                <w:sz w:val="18"/>
                <w:szCs w:val="18"/>
              </w:rPr>
              <w:t>0.854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F239CE4" w14:textId="77777777" w:rsidR="00F84077" w:rsidRDefault="00000000">
            <w:pPr>
              <w:jc w:val="center"/>
            </w:pPr>
            <w:r>
              <w:rPr>
                <w:sz w:val="18"/>
                <w:szCs w:val="18"/>
              </w:rPr>
              <w:t>2</w:t>
            </w:r>
          </w:p>
        </w:tc>
      </w:tr>
      <w:tr w:rsidR="00F84077" w14:paraId="63802B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544297" w14:textId="77777777" w:rsidR="00F84077" w:rsidRDefault="00000000">
            <w:r>
              <w:rPr>
                <w:b/>
                <w:bCs/>
                <w:sz w:val="18"/>
                <w:szCs w:val="18"/>
              </w:rPr>
              <w:t>Cap weight</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8B46E9" w14:textId="77777777" w:rsidR="00F84077" w:rsidRDefault="00000000">
            <w:pPr>
              <w:jc w:val="center"/>
            </w:pPr>
            <w:r>
              <w:rPr>
                <w:sz w:val="18"/>
                <w:szCs w:val="18"/>
              </w:rPr>
              <w:t>1.24</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2C515B" w14:textId="77777777" w:rsidR="00F84077" w:rsidRDefault="00000000">
            <w:pPr>
              <w:jc w:val="center"/>
            </w:pPr>
            <w:r>
              <w:rPr>
                <w:sz w:val="18"/>
                <w:szCs w:val="18"/>
              </w:rPr>
              <w:t>1.05</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39DB70" w14:textId="77777777" w:rsidR="00F84077" w:rsidRDefault="00000000">
            <w:pPr>
              <w:jc w:val="center"/>
            </w:pPr>
            <w:r>
              <w:rPr>
                <w:sz w:val="18"/>
                <w:szCs w:val="18"/>
              </w:rPr>
              <w:t>0.985</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A4272F" w14:textId="77777777" w:rsidR="00F84077" w:rsidRDefault="00000000">
            <w:pPr>
              <w:jc w:val="center"/>
            </w:pPr>
            <w:r>
              <w:rPr>
                <w:sz w:val="18"/>
                <w:szCs w:val="18"/>
              </w:rPr>
              <w:t>3</w:t>
            </w:r>
          </w:p>
        </w:tc>
      </w:tr>
      <w:tr w:rsidR="00F84077" w14:paraId="15BDAF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71405F5" w14:textId="77777777" w:rsidR="00F84077" w:rsidRDefault="00000000">
            <w:r>
              <w:rPr>
                <w:b/>
                <w:bCs/>
                <w:sz w:val="18"/>
                <w:szCs w:val="18"/>
              </w:rPr>
              <w:t>Equal-risk contribution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6356F41" w14:textId="77777777" w:rsidR="00F84077" w:rsidRDefault="00000000">
            <w:pPr>
              <w:jc w:val="center"/>
            </w:pPr>
            <w:r>
              <w:rPr>
                <w:sz w:val="18"/>
                <w:szCs w:val="18"/>
              </w:rPr>
              <w:t>1.05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AF9F5FE" w14:textId="77777777" w:rsidR="00F84077" w:rsidRDefault="00000000">
            <w:pPr>
              <w:jc w:val="center"/>
            </w:pPr>
            <w:r>
              <w:rPr>
                <w:sz w:val="18"/>
                <w:szCs w:val="18"/>
              </w:rPr>
              <w:t>1.01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25EE1E5" w14:textId="77777777" w:rsidR="00F84077" w:rsidRDefault="00000000">
            <w:pPr>
              <w:jc w:val="center"/>
            </w:pPr>
            <w:r>
              <w:rPr>
                <w:sz w:val="18"/>
                <w:szCs w:val="18"/>
              </w:rPr>
              <w:t>0.999</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D0CF91E" w14:textId="77777777" w:rsidR="00F84077" w:rsidRDefault="00000000">
            <w:pPr>
              <w:jc w:val="center"/>
            </w:pPr>
            <w:r>
              <w:rPr>
                <w:sz w:val="18"/>
                <w:szCs w:val="18"/>
              </w:rPr>
              <w:t>4</w:t>
            </w:r>
          </w:p>
        </w:tc>
      </w:tr>
      <w:tr w:rsidR="00F84077" w14:paraId="5D8FB09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F2F23A" w14:textId="77777777" w:rsidR="00F84077" w:rsidRDefault="00000000">
            <w:r>
              <w:rPr>
                <w:b/>
                <w:bCs/>
                <w:sz w:val="18"/>
                <w:szCs w:val="18"/>
              </w:rPr>
              <w:t>Equal weight</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4371FE" w14:textId="77777777" w:rsidR="00F84077" w:rsidRDefault="00000000">
            <w:pPr>
              <w:jc w:val="center"/>
            </w:pPr>
            <w:r>
              <w:rPr>
                <w:sz w:val="18"/>
                <w:szCs w:val="18"/>
              </w:rPr>
              <w:t>1.04</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78C55C" w14:textId="77777777" w:rsidR="00F84077" w:rsidRDefault="00000000">
            <w:pPr>
              <w:jc w:val="center"/>
            </w:pPr>
            <w:r>
              <w:rPr>
                <w:sz w:val="18"/>
                <w:szCs w:val="18"/>
              </w:rPr>
              <w:t>1.01</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5383B14" w14:textId="77777777" w:rsidR="00F84077" w:rsidRDefault="00000000">
            <w:pPr>
              <w:jc w:val="center"/>
            </w:pPr>
            <w:r>
              <w:rPr>
                <w:sz w:val="18"/>
                <w:szCs w:val="18"/>
              </w:rPr>
              <w:t>0.999</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3F543F" w14:textId="77777777" w:rsidR="00F84077" w:rsidRDefault="00000000">
            <w:pPr>
              <w:jc w:val="center"/>
            </w:pPr>
            <w:r>
              <w:rPr>
                <w:sz w:val="18"/>
                <w:szCs w:val="18"/>
              </w:rPr>
              <w:t>5</w:t>
            </w:r>
          </w:p>
        </w:tc>
      </w:tr>
    </w:tbl>
    <w:p w14:paraId="6C76FB3B" w14:textId="77777777" w:rsidR="00F84077" w:rsidRDefault="00000000">
      <w:pPr>
        <w:spacing w:after="200"/>
        <w:jc w:val="center"/>
      </w:pPr>
      <w:r>
        <w:rPr>
          <w:i/>
          <w:iCs/>
          <w:sz w:val="18"/>
          <w:szCs w:val="18"/>
        </w:rPr>
        <w:t xml:space="preserve">Table 1. Full-sample median diversification by portfolio. Higher ENB = more diversified; lower </w:t>
      </w:r>
      <w:proofErr w:type="gramStart"/>
      <w:r>
        <w:rPr>
          <w:i/>
          <w:iCs/>
          <w:sz w:val="18"/>
          <w:szCs w:val="18"/>
        </w:rPr>
        <w:t>top-10</w:t>
      </w:r>
      <w:proofErr w:type="gramEnd"/>
      <w:r>
        <w:rPr>
          <w:i/>
          <w:iCs/>
          <w:sz w:val="18"/>
          <w:szCs w:val="18"/>
        </w:rPr>
        <w:t xml:space="preserve"> = more diversified.</w:t>
      </w:r>
    </w:p>
    <w:p w14:paraId="2B90E6DE" w14:textId="77777777" w:rsidR="00F84077" w:rsidRDefault="00000000">
      <w:pPr>
        <w:spacing w:after="160" w:line="276" w:lineRule="auto"/>
        <w:jc w:val="both"/>
      </w:pPr>
      <w:r>
        <w:t>Equal-weight, capitalization-weighted, and ERC all sit at an effective number of independent risk factors close to 1 for essentially the whole sample: the top 10 components alone explain 98–99.9% of their variance. Minimum variance and maximum diversification are the clear outliers, holding 2–5 effective bets on a median basis with 85–88% of variance explained by the top 10. Holding many names, it turns out, protects against idiosyncratic risk, not against the market factor every stock shares. Only the two methods that explicitly optimize against the covariance structure manage to spread risk across genuinely independent sources.</w:t>
      </w:r>
    </w:p>
    <w:p w14:paraId="70F5A3CB" w14:textId="77777777" w:rsidR="00F84077" w:rsidRDefault="00000000">
      <w:pPr>
        <w:spacing w:after="160" w:line="276" w:lineRule="auto"/>
        <w:jc w:val="both"/>
      </w:pPr>
      <w:r>
        <w:t xml:space="preserve">The two groups also differ in how many stocks they </w:t>
      </w:r>
      <w:proofErr w:type="gramStart"/>
      <w:r>
        <w:t>actually hold</w:t>
      </w:r>
      <w:proofErr w:type="gramEnd"/>
      <w:r>
        <w:t>. Minimum variance and maximum diversification are free to concentrate, while the other three always hold (near enough) all 500 names by construction (Appendix D). Counterintuitively, more concentration goes with more diversification here: by not being forced to hold all 500 stocks, the optimizers can select a smaller set whose exposures are more balanced across independent risk factors than the larger, unfiltered universe achieves. Holding more stocks does not by itself buy more diversification; what matters is how the exposure of whichever stocks are held is distributed across independent sources of risk.</w:t>
      </w:r>
    </w:p>
    <w:p w14:paraId="1A999816" w14:textId="6464D1AB" w:rsidR="00F84077" w:rsidRDefault="00000000">
      <w:pPr>
        <w:spacing w:after="160" w:line="276" w:lineRule="auto"/>
        <w:jc w:val="both"/>
      </w:pPr>
      <w:r>
        <w:lastRenderedPageBreak/>
        <w:t xml:space="preserve">ERC is the sharpest disagreement between intuition and evidence in this section. Equalizing dollar risk contribution across 500 names sounds like it should diversify away any single factor's dominance. But ERC's ENB (1.05) is barely different from </w:t>
      </w:r>
      <w:proofErr w:type="gramStart"/>
      <w:r>
        <w:t>equal-weight's</w:t>
      </w:r>
      <w:proofErr w:type="gramEnd"/>
      <w:r>
        <w:t xml:space="preserve"> (1.04). Making every stock contribute the same amount of risk does not diversify a portfolio across independent risk factors if every stock's risk comes from the same factor to begin with. Capitalization-weighted is the opposite surprise: despite becoming more concentrated in its largest holdings over the past several years, its diversification has </w:t>
      </w:r>
      <w:proofErr w:type="gramStart"/>
      <w:r>
        <w:t>actually risen</w:t>
      </w:r>
      <w:proofErr w:type="gramEnd"/>
      <w:r>
        <w:t>. The likely explanation is compositional: the growing weight of AI-related and semiconductor names appears to have added a second, more specialized source of risk alongside the broad market factor, rather than simply doubling down on it</w:t>
      </w:r>
      <w:r w:rsidR="009D007F">
        <w:rPr>
          <w:rStyle w:val="FootnoteReference"/>
        </w:rPr>
        <w:footnoteReference w:id="1"/>
      </w:r>
      <w:r>
        <w:t>.</w:t>
      </w:r>
    </w:p>
    <w:p w14:paraId="116C48B4" w14:textId="7434D6B9" w:rsidR="00F84077" w:rsidRDefault="00000000">
      <w:pPr>
        <w:spacing w:after="160" w:line="276" w:lineRule="auto"/>
        <w:jc w:val="both"/>
      </w:pPr>
      <w:r>
        <w:t xml:space="preserve">Minimum variance and maximum diversification are broadly comparable to one another: minimum variance ranks slightly better on the ENB measures, maximum diversification on the </w:t>
      </w:r>
      <w:proofErr w:type="gramStart"/>
      <w:r>
        <w:t>top</w:t>
      </w:r>
      <w:r w:rsidR="00886494">
        <w:t>-</w:t>
      </w:r>
      <w:r>
        <w:t>10</w:t>
      </w:r>
      <w:proofErr w:type="gramEnd"/>
      <w:r>
        <w:t xml:space="preserve"> share, and the ranking flips depending on the period (Figure 4). Minimum variance shows the wider dispersion of the two, while maximum diversification's distribution is narrower, so minimum variance is the better performer on average, but maximum diversification is the more consistent one.</w:t>
      </w:r>
    </w:p>
    <w:p w14:paraId="022DEA86" w14:textId="4168C286" w:rsidR="00F84077" w:rsidRDefault="00000000">
      <w:pPr>
        <w:spacing w:after="160" w:line="276" w:lineRule="auto"/>
        <w:jc w:val="both"/>
      </w:pPr>
      <w:r>
        <w:t>One period deserves an explicit caveat. Around May 2020, minimum variance's ENB spikes sharply upward right after the COVID crash, coinciding with its holdings count jumping from a small, concentrated set to nearly the full 500-stock universe (Appendix D). This looks less like a genuine diversification improvement than an artifact of the optimizer behaving erratically during an extreme, fast-moving regime shift</w:t>
      </w:r>
      <w:r w:rsidR="00B47F70">
        <w:rPr>
          <w:rStyle w:val="FootnoteReference"/>
        </w:rPr>
        <w:footnoteReference w:id="2"/>
      </w:r>
      <w:r>
        <w:t>. We return to this pattern with more care in Section 5. Full-sample figures in this section are not materially affected, but any single-day reading near that date should be treated with caution.</w:t>
      </w:r>
    </w:p>
    <w:p w14:paraId="368AD4F2" w14:textId="77777777" w:rsidR="00F84077" w:rsidRDefault="00000000">
      <w:pPr>
        <w:pStyle w:val="Heading1"/>
        <w:spacing w:before="260" w:after="120"/>
      </w:pPr>
      <w:r>
        <w:rPr>
          <w:b/>
          <w:bCs/>
          <w:color w:val="000000"/>
          <w:sz w:val="27"/>
          <w:szCs w:val="27"/>
        </w:rPr>
        <w:t>5. Diversification through market regimes</w:t>
      </w:r>
    </w:p>
    <w:p w14:paraId="07181F96" w14:textId="2A1E65A7" w:rsidR="00F84077" w:rsidRDefault="00000000">
      <w:pPr>
        <w:spacing w:after="160" w:line="276" w:lineRule="auto"/>
        <w:jc w:val="both"/>
      </w:pPr>
      <w:r>
        <w:t>A crisis is often described as a period when “everything moves together.” If that is literally true, the natural expectation is that every portfolio should lose diversification when one hits: a co</w:t>
      </w:r>
      <w:r w:rsidR="00886494">
        <w:t>-</w:t>
      </w:r>
      <w:r>
        <w:t>movement shock affects the correlation structure itself, regardless of which weights happen to sit on top of it. The evidence disagrees sharply. Table 2 gives each portfolio's mean entropy-ENB within five stress windows. The ranking is stable throughout: minimum variance and maximum diversification are always the two most diversified methods, equal-weight and ERC always the least. That already hints crises hit the two groups very differently. To find out why, and to check that the full-sample pattern in Section 4 is not an artifact of any one episode, we study three crises chosen for how differently they are built: the 2008 Global Financial Crisis (a slow-building solvency crisis), the 2020 COVID-19 crash (a fast, exogenous health shock), and the 2025 tariff shock (a fast, exogenous policy shock).</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150"/>
        <w:gridCol w:w="1050"/>
        <w:gridCol w:w="1050"/>
        <w:gridCol w:w="1450"/>
      </w:tblGrid>
      <w:tr w:rsidR="00F84077" w14:paraId="43F159E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380758A" w14:textId="77777777" w:rsidR="00F84077" w:rsidRDefault="00000000">
            <w:pPr>
              <w:jc w:val="center"/>
            </w:pPr>
            <w:r>
              <w:rPr>
                <w:b/>
                <w:bCs/>
                <w:sz w:val="18"/>
                <w:szCs w:val="18"/>
              </w:rPr>
              <w:t>Portfolio</w:t>
            </w:r>
          </w:p>
        </w:tc>
        <w:tc>
          <w:tcPr>
            <w:tcW w:w="10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322A03E1" w14:textId="77777777" w:rsidR="00F84077" w:rsidRDefault="00000000">
            <w:pPr>
              <w:jc w:val="center"/>
            </w:pPr>
            <w:r>
              <w:rPr>
                <w:b/>
                <w:bCs/>
                <w:sz w:val="18"/>
                <w:szCs w:val="18"/>
              </w:rPr>
              <w:t>GFC</w:t>
            </w:r>
          </w:p>
        </w:tc>
        <w:tc>
          <w:tcPr>
            <w:tcW w:w="11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10E392ED" w14:textId="77777777" w:rsidR="00F84077" w:rsidRDefault="00000000">
            <w:pPr>
              <w:jc w:val="center"/>
            </w:pPr>
            <w:r>
              <w:rPr>
                <w:b/>
                <w:bCs/>
                <w:sz w:val="18"/>
                <w:szCs w:val="18"/>
              </w:rPr>
              <w:t>Euro-zone</w:t>
            </w:r>
          </w:p>
        </w:tc>
        <w:tc>
          <w:tcPr>
            <w:tcW w:w="10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05884CD1" w14:textId="77777777" w:rsidR="00F84077" w:rsidRDefault="00000000">
            <w:pPr>
              <w:jc w:val="center"/>
            </w:pPr>
            <w:r>
              <w:rPr>
                <w:b/>
                <w:bCs/>
                <w:sz w:val="18"/>
                <w:szCs w:val="18"/>
              </w:rPr>
              <w:t>2017–18</w:t>
            </w:r>
          </w:p>
        </w:tc>
        <w:tc>
          <w:tcPr>
            <w:tcW w:w="10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58F7A2AD" w14:textId="77777777" w:rsidR="00F84077" w:rsidRDefault="00000000">
            <w:pPr>
              <w:jc w:val="center"/>
            </w:pPr>
            <w:r>
              <w:rPr>
                <w:b/>
                <w:bCs/>
                <w:sz w:val="18"/>
                <w:szCs w:val="18"/>
              </w:rPr>
              <w:t>COVID</w:t>
            </w:r>
          </w:p>
        </w:tc>
        <w:tc>
          <w:tcPr>
            <w:tcW w:w="14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2F289BE5" w14:textId="77777777" w:rsidR="00F84077" w:rsidRDefault="00000000">
            <w:pPr>
              <w:jc w:val="center"/>
            </w:pPr>
            <w:r>
              <w:rPr>
                <w:b/>
                <w:bCs/>
                <w:sz w:val="18"/>
                <w:szCs w:val="18"/>
              </w:rPr>
              <w:t>Tariffs 2025</w:t>
            </w:r>
          </w:p>
        </w:tc>
      </w:tr>
      <w:tr w:rsidR="00F84077" w14:paraId="7422E0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122E10" w14:textId="77777777" w:rsidR="00F84077" w:rsidRDefault="00000000">
            <w:r>
              <w:rPr>
                <w:b/>
                <w:bCs/>
                <w:sz w:val="18"/>
                <w:szCs w:val="18"/>
              </w:rPr>
              <w:t>Minimum variance</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7DD20F" w14:textId="77777777" w:rsidR="00F84077" w:rsidRDefault="00000000">
            <w:pPr>
              <w:jc w:val="center"/>
            </w:pPr>
            <w:r>
              <w:rPr>
                <w:sz w:val="18"/>
                <w:szCs w:val="18"/>
              </w:rPr>
              <w:t>7.06</w:t>
            </w:r>
          </w:p>
        </w:tc>
        <w:tc>
          <w:tcPr>
            <w:tcW w:w="1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EF076C5" w14:textId="77777777" w:rsidR="00F84077" w:rsidRDefault="00000000">
            <w:pPr>
              <w:jc w:val="center"/>
            </w:pPr>
            <w:r>
              <w:rPr>
                <w:sz w:val="18"/>
                <w:szCs w:val="18"/>
              </w:rPr>
              <w:t>4.02</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093DEE" w14:textId="77777777" w:rsidR="00F84077" w:rsidRDefault="00000000">
            <w:pPr>
              <w:jc w:val="center"/>
            </w:pPr>
            <w:r>
              <w:rPr>
                <w:sz w:val="18"/>
                <w:szCs w:val="18"/>
              </w:rPr>
              <w:t>5.40</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F99AF8C" w14:textId="77777777" w:rsidR="00F84077" w:rsidRDefault="00000000">
            <w:pPr>
              <w:jc w:val="center"/>
            </w:pPr>
            <w:r>
              <w:rPr>
                <w:sz w:val="18"/>
                <w:szCs w:val="18"/>
              </w:rPr>
              <w:t>6.34</w:t>
            </w:r>
          </w:p>
        </w:tc>
        <w:tc>
          <w:tcPr>
            <w:tcW w:w="1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F070C5" w14:textId="77777777" w:rsidR="00F84077" w:rsidRDefault="00000000">
            <w:pPr>
              <w:jc w:val="center"/>
            </w:pPr>
            <w:r>
              <w:rPr>
                <w:sz w:val="18"/>
                <w:szCs w:val="18"/>
              </w:rPr>
              <w:t>10.62</w:t>
            </w:r>
          </w:p>
        </w:tc>
      </w:tr>
      <w:tr w:rsidR="00F84077" w14:paraId="467F78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8FA2C2F" w14:textId="77777777" w:rsidR="00F84077" w:rsidRDefault="00000000">
            <w:r>
              <w:rPr>
                <w:b/>
                <w:bCs/>
                <w:sz w:val="18"/>
                <w:szCs w:val="18"/>
              </w:rPr>
              <w:t>Maximum diversification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07E02A2" w14:textId="77777777" w:rsidR="00F84077" w:rsidRDefault="00000000">
            <w:pPr>
              <w:jc w:val="center"/>
            </w:pPr>
            <w:r>
              <w:rPr>
                <w:sz w:val="18"/>
                <w:szCs w:val="18"/>
              </w:rPr>
              <w:t>4.29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D37C88E" w14:textId="77777777" w:rsidR="00F84077" w:rsidRDefault="00000000">
            <w:pPr>
              <w:jc w:val="center"/>
            </w:pPr>
            <w:r>
              <w:rPr>
                <w:sz w:val="18"/>
                <w:szCs w:val="18"/>
              </w:rPr>
              <w:t>4.03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015E946" w14:textId="77777777" w:rsidR="00F84077" w:rsidRDefault="00000000">
            <w:pPr>
              <w:jc w:val="center"/>
            </w:pPr>
            <w:r>
              <w:rPr>
                <w:sz w:val="18"/>
                <w:szCs w:val="18"/>
              </w:rPr>
              <w:t>6.05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3A2D54F" w14:textId="77777777" w:rsidR="00F84077" w:rsidRDefault="00000000">
            <w:pPr>
              <w:jc w:val="center"/>
            </w:pPr>
            <w:r>
              <w:rPr>
                <w:sz w:val="18"/>
                <w:szCs w:val="18"/>
              </w:rPr>
              <w:t>4.37</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8DDF7FE" w14:textId="77777777" w:rsidR="00F84077" w:rsidRDefault="00000000">
            <w:pPr>
              <w:jc w:val="center"/>
            </w:pPr>
            <w:r>
              <w:rPr>
                <w:sz w:val="18"/>
                <w:szCs w:val="18"/>
              </w:rPr>
              <w:t>7.87</w:t>
            </w:r>
          </w:p>
        </w:tc>
      </w:tr>
      <w:tr w:rsidR="00F84077" w14:paraId="3BBC23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4E2783" w14:textId="77777777" w:rsidR="00F84077" w:rsidRDefault="00000000">
            <w:r>
              <w:rPr>
                <w:b/>
                <w:bCs/>
                <w:sz w:val="18"/>
                <w:szCs w:val="18"/>
              </w:rPr>
              <w:t>Cap weight</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4E8E28" w14:textId="77777777" w:rsidR="00F84077" w:rsidRDefault="00000000">
            <w:pPr>
              <w:jc w:val="center"/>
            </w:pPr>
            <w:r>
              <w:rPr>
                <w:sz w:val="18"/>
                <w:szCs w:val="18"/>
              </w:rPr>
              <w:t>1.15</w:t>
            </w:r>
          </w:p>
        </w:tc>
        <w:tc>
          <w:tcPr>
            <w:tcW w:w="1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8B04589" w14:textId="77777777" w:rsidR="00F84077" w:rsidRDefault="00000000">
            <w:pPr>
              <w:jc w:val="center"/>
            </w:pPr>
            <w:r>
              <w:rPr>
                <w:sz w:val="18"/>
                <w:szCs w:val="18"/>
              </w:rPr>
              <w:t>1.12</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686AAB" w14:textId="77777777" w:rsidR="00F84077" w:rsidRDefault="00000000">
            <w:pPr>
              <w:jc w:val="center"/>
            </w:pPr>
            <w:r>
              <w:rPr>
                <w:sz w:val="18"/>
                <w:szCs w:val="18"/>
              </w:rPr>
              <w:t>1.37</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D0EA0E" w14:textId="77777777" w:rsidR="00F84077" w:rsidRDefault="00000000">
            <w:pPr>
              <w:jc w:val="center"/>
            </w:pPr>
            <w:r>
              <w:rPr>
                <w:sz w:val="18"/>
                <w:szCs w:val="18"/>
              </w:rPr>
              <w:t>1.29</w:t>
            </w:r>
          </w:p>
        </w:tc>
        <w:tc>
          <w:tcPr>
            <w:tcW w:w="1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AFDCF2" w14:textId="77777777" w:rsidR="00F84077" w:rsidRDefault="00000000">
            <w:pPr>
              <w:jc w:val="center"/>
            </w:pPr>
            <w:r>
              <w:rPr>
                <w:sz w:val="18"/>
                <w:szCs w:val="18"/>
              </w:rPr>
              <w:t>3.05</w:t>
            </w:r>
          </w:p>
        </w:tc>
      </w:tr>
      <w:tr w:rsidR="00F84077" w14:paraId="76A1862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B9D76F2" w14:textId="77777777" w:rsidR="00F84077" w:rsidRDefault="00000000">
            <w:r>
              <w:rPr>
                <w:b/>
                <w:bCs/>
                <w:sz w:val="18"/>
                <w:szCs w:val="18"/>
              </w:rPr>
              <w:t>Equal-risk contribution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2E8EB59" w14:textId="77777777" w:rsidR="00F84077" w:rsidRDefault="00000000">
            <w:pPr>
              <w:jc w:val="center"/>
            </w:pPr>
            <w:r>
              <w:rPr>
                <w:sz w:val="18"/>
                <w:szCs w:val="18"/>
              </w:rPr>
              <w:t>1.03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C99691B" w14:textId="77777777" w:rsidR="00F84077" w:rsidRDefault="00000000">
            <w:pPr>
              <w:jc w:val="center"/>
            </w:pPr>
            <w:r>
              <w:rPr>
                <w:sz w:val="18"/>
                <w:szCs w:val="18"/>
              </w:rPr>
              <w:t>1.01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4621E5C" w14:textId="77777777" w:rsidR="00F84077" w:rsidRDefault="00000000">
            <w:pPr>
              <w:jc w:val="center"/>
            </w:pPr>
            <w:r>
              <w:rPr>
                <w:sz w:val="18"/>
                <w:szCs w:val="18"/>
              </w:rPr>
              <w:t>1.14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33351F7" w14:textId="77777777" w:rsidR="00F84077" w:rsidRDefault="00000000">
            <w:pPr>
              <w:jc w:val="center"/>
            </w:pPr>
            <w:r>
              <w:rPr>
                <w:sz w:val="18"/>
                <w:szCs w:val="18"/>
              </w:rPr>
              <w:t>1.04</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2DC4075" w14:textId="77777777" w:rsidR="00F84077" w:rsidRDefault="00000000">
            <w:pPr>
              <w:jc w:val="center"/>
            </w:pPr>
            <w:r>
              <w:rPr>
                <w:sz w:val="18"/>
                <w:szCs w:val="18"/>
              </w:rPr>
              <w:t>1.19</w:t>
            </w:r>
          </w:p>
        </w:tc>
      </w:tr>
      <w:tr w:rsidR="00F84077" w14:paraId="7B45AB8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A50C45" w14:textId="77777777" w:rsidR="00F84077" w:rsidRDefault="00000000">
            <w:r>
              <w:rPr>
                <w:b/>
                <w:bCs/>
                <w:sz w:val="18"/>
                <w:szCs w:val="18"/>
              </w:rPr>
              <w:t>Equal weight</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D47514" w14:textId="77777777" w:rsidR="00F84077" w:rsidRDefault="00000000">
            <w:pPr>
              <w:jc w:val="center"/>
            </w:pPr>
            <w:r>
              <w:rPr>
                <w:sz w:val="18"/>
                <w:szCs w:val="18"/>
              </w:rPr>
              <w:t>1.04</w:t>
            </w:r>
          </w:p>
        </w:tc>
        <w:tc>
          <w:tcPr>
            <w:tcW w:w="1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9C5B15" w14:textId="77777777" w:rsidR="00F84077" w:rsidRDefault="00000000">
            <w:pPr>
              <w:jc w:val="center"/>
            </w:pPr>
            <w:r>
              <w:rPr>
                <w:sz w:val="18"/>
                <w:szCs w:val="18"/>
              </w:rPr>
              <w:t>1.03</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5EEDCC" w14:textId="77777777" w:rsidR="00F84077" w:rsidRDefault="00000000">
            <w:pPr>
              <w:jc w:val="center"/>
            </w:pPr>
            <w:r>
              <w:rPr>
                <w:sz w:val="18"/>
                <w:szCs w:val="18"/>
              </w:rPr>
              <w:t>1.07</w:t>
            </w:r>
          </w:p>
        </w:tc>
        <w:tc>
          <w:tcPr>
            <w:tcW w:w="10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D59BA7" w14:textId="77777777" w:rsidR="00F84077" w:rsidRDefault="00000000">
            <w:pPr>
              <w:jc w:val="center"/>
            </w:pPr>
            <w:r>
              <w:rPr>
                <w:sz w:val="18"/>
                <w:szCs w:val="18"/>
              </w:rPr>
              <w:t>1.02</w:t>
            </w:r>
          </w:p>
        </w:tc>
        <w:tc>
          <w:tcPr>
            <w:tcW w:w="1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C128C3" w14:textId="77777777" w:rsidR="00F84077" w:rsidRDefault="00000000">
            <w:pPr>
              <w:jc w:val="center"/>
            </w:pPr>
            <w:r>
              <w:rPr>
                <w:sz w:val="18"/>
                <w:szCs w:val="18"/>
              </w:rPr>
              <w:t>1.08</w:t>
            </w:r>
          </w:p>
        </w:tc>
      </w:tr>
    </w:tbl>
    <w:p w14:paraId="3AD299C9" w14:textId="77777777" w:rsidR="00F84077" w:rsidRDefault="00000000">
      <w:pPr>
        <w:spacing w:after="200"/>
        <w:jc w:val="center"/>
      </w:pPr>
      <w:r>
        <w:rPr>
          <w:i/>
          <w:iCs/>
          <w:sz w:val="18"/>
          <w:szCs w:val="18"/>
        </w:rPr>
        <w:t>Table 2. Mean entropy-ENB by portfolio and regime, full study window per period.</w:t>
      </w:r>
    </w:p>
    <w:p w14:paraId="3C6286F7" w14:textId="77777777" w:rsidR="00F84077" w:rsidRDefault="00000000">
      <w:pPr>
        <w:spacing w:after="160" w:line="276" w:lineRule="auto"/>
        <w:jc w:val="both"/>
      </w:pPr>
      <w:r>
        <w:t>Every stress window here spans months; to see the acute break itself, and how quickly (or not) each portfolio recovers, we align each episode to its single most consequential trading day and track diversification in the surrounding weeks (Table 3, Figure 5).</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600"/>
        <w:gridCol w:w="1550"/>
      </w:tblGrid>
      <w:tr w:rsidR="00F84077" w14:paraId="678ECE4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2AE08E7E" w14:textId="77777777" w:rsidR="00F84077" w:rsidRDefault="00000000">
            <w:pPr>
              <w:jc w:val="center"/>
            </w:pPr>
            <w:r>
              <w:rPr>
                <w:b/>
                <w:bCs/>
                <w:sz w:val="18"/>
                <w:szCs w:val="18"/>
              </w:rPr>
              <w:lastRenderedPageBreak/>
              <w:t>Portfolio</w:t>
            </w:r>
          </w:p>
        </w:tc>
        <w:tc>
          <w:tcPr>
            <w:tcW w:w="15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03C74CAC" w14:textId="77777777" w:rsidR="00F84077" w:rsidRDefault="00000000">
            <w:pPr>
              <w:jc w:val="center"/>
            </w:pPr>
            <w:r>
              <w:rPr>
                <w:b/>
                <w:bCs/>
                <w:sz w:val="18"/>
                <w:szCs w:val="18"/>
              </w:rPr>
              <w:t>GFC (Sep–Oct '08)</w:t>
            </w:r>
          </w:p>
        </w:tc>
        <w:tc>
          <w:tcPr>
            <w:tcW w:w="16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0FD50E3F" w14:textId="77777777" w:rsidR="00F84077" w:rsidRDefault="00000000">
            <w:pPr>
              <w:jc w:val="center"/>
            </w:pPr>
            <w:r>
              <w:rPr>
                <w:b/>
                <w:bCs/>
                <w:sz w:val="18"/>
                <w:szCs w:val="18"/>
              </w:rPr>
              <w:t>COVID (Feb–Apr '20)</w:t>
            </w:r>
          </w:p>
        </w:tc>
        <w:tc>
          <w:tcPr>
            <w:tcW w:w="15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7B903D5B" w14:textId="77777777" w:rsidR="00F84077" w:rsidRDefault="00000000">
            <w:pPr>
              <w:jc w:val="center"/>
            </w:pPr>
            <w:r>
              <w:rPr>
                <w:b/>
                <w:bCs/>
                <w:sz w:val="18"/>
                <w:szCs w:val="18"/>
              </w:rPr>
              <w:t>Tariffs (Apr '25)</w:t>
            </w:r>
          </w:p>
        </w:tc>
      </w:tr>
      <w:tr w:rsidR="00F84077" w14:paraId="15E3518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8C9484" w14:textId="77777777" w:rsidR="00F84077" w:rsidRDefault="00000000">
            <w:r>
              <w:rPr>
                <w:b/>
                <w:bCs/>
                <w:sz w:val="18"/>
                <w:szCs w:val="18"/>
              </w:rPr>
              <w:t>Minimum variance</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2A8F86" w14:textId="77777777" w:rsidR="00F84077" w:rsidRDefault="00000000">
            <w:pPr>
              <w:jc w:val="center"/>
            </w:pPr>
            <w:r>
              <w:rPr>
                <w:sz w:val="18"/>
                <w:szCs w:val="18"/>
              </w:rPr>
              <w:t>−73.6%</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D10662" w14:textId="77777777" w:rsidR="00F84077" w:rsidRDefault="00000000">
            <w:pPr>
              <w:jc w:val="center"/>
            </w:pPr>
            <w:r>
              <w:rPr>
                <w:sz w:val="18"/>
                <w:szCs w:val="18"/>
              </w:rPr>
              <w:t>−69.6%</w:t>
            </w:r>
          </w:p>
        </w:tc>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EEBD5C" w14:textId="77777777" w:rsidR="00F84077" w:rsidRDefault="00000000">
            <w:pPr>
              <w:jc w:val="center"/>
            </w:pPr>
            <w:r>
              <w:rPr>
                <w:sz w:val="18"/>
                <w:szCs w:val="18"/>
              </w:rPr>
              <w:t>−45.2%</w:t>
            </w:r>
          </w:p>
        </w:tc>
      </w:tr>
      <w:tr w:rsidR="00F84077" w14:paraId="314B0E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CBAAEF5" w14:textId="77777777" w:rsidR="00F84077" w:rsidRDefault="00000000">
            <w:r>
              <w:rPr>
                <w:b/>
                <w:bCs/>
                <w:sz w:val="18"/>
                <w:szCs w:val="18"/>
              </w:rPr>
              <w:t>Maximum diversification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0D6D8D4" w14:textId="77777777" w:rsidR="00F84077" w:rsidRDefault="00000000">
            <w:pPr>
              <w:jc w:val="center"/>
            </w:pPr>
            <w:r>
              <w:rPr>
                <w:sz w:val="18"/>
                <w:szCs w:val="18"/>
              </w:rPr>
              <w:t>−55.0%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D48FF1A" w14:textId="77777777" w:rsidR="00F84077" w:rsidRDefault="00000000">
            <w:pPr>
              <w:jc w:val="center"/>
            </w:pPr>
            <w:r>
              <w:rPr>
                <w:sz w:val="18"/>
                <w:szCs w:val="18"/>
              </w:rPr>
              <w:t>−70.7%</w:t>
            </w:r>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46F6A3A" w14:textId="77777777" w:rsidR="00F84077" w:rsidRDefault="00000000">
            <w:pPr>
              <w:jc w:val="center"/>
            </w:pPr>
            <w:r>
              <w:rPr>
                <w:sz w:val="18"/>
                <w:szCs w:val="18"/>
              </w:rPr>
              <w:t>−45.5%</w:t>
            </w:r>
          </w:p>
        </w:tc>
      </w:tr>
      <w:tr w:rsidR="00F84077" w14:paraId="7D1381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77759A" w14:textId="77777777" w:rsidR="00F84077" w:rsidRDefault="00000000">
            <w:r>
              <w:rPr>
                <w:b/>
                <w:bCs/>
                <w:sz w:val="18"/>
                <w:szCs w:val="18"/>
              </w:rPr>
              <w:t>Cap weight</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E76485" w14:textId="77777777" w:rsidR="00F84077" w:rsidRDefault="00000000">
            <w:pPr>
              <w:jc w:val="center"/>
            </w:pPr>
            <w:r>
              <w:rPr>
                <w:sz w:val="18"/>
                <w:szCs w:val="18"/>
              </w:rPr>
              <w:t>−4.6%</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081869" w14:textId="77777777" w:rsidR="00F84077" w:rsidRDefault="00000000">
            <w:pPr>
              <w:jc w:val="center"/>
            </w:pPr>
            <w:r>
              <w:rPr>
                <w:sz w:val="18"/>
                <w:szCs w:val="18"/>
              </w:rPr>
              <w:t>−17.0%</w:t>
            </w:r>
          </w:p>
        </w:tc>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9D42AC" w14:textId="77777777" w:rsidR="00F84077" w:rsidRDefault="00000000">
            <w:pPr>
              <w:jc w:val="center"/>
            </w:pPr>
            <w:r>
              <w:rPr>
                <w:sz w:val="18"/>
                <w:szCs w:val="18"/>
              </w:rPr>
              <w:t>−40.2%</w:t>
            </w:r>
          </w:p>
        </w:tc>
      </w:tr>
      <w:tr w:rsidR="00F84077" w14:paraId="308458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0655E3E" w14:textId="77777777" w:rsidR="00F84077" w:rsidRDefault="00000000">
            <w:r>
              <w:rPr>
                <w:b/>
                <w:bCs/>
                <w:sz w:val="18"/>
                <w:szCs w:val="18"/>
              </w:rPr>
              <w:t>Equal-risk contribution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BDD52E7" w14:textId="77777777" w:rsidR="00F84077" w:rsidRDefault="00000000">
            <w:pPr>
              <w:jc w:val="center"/>
            </w:pPr>
            <w:r>
              <w:rPr>
                <w:sz w:val="18"/>
                <w:szCs w:val="18"/>
              </w:rPr>
              <w:t>−10.2%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4C254C9" w14:textId="77777777" w:rsidR="00F84077" w:rsidRDefault="00000000">
            <w:pPr>
              <w:jc w:val="center"/>
            </w:pPr>
            <w:r>
              <w:rPr>
                <w:sz w:val="18"/>
                <w:szCs w:val="18"/>
              </w:rPr>
              <w:t>−15.7%</w:t>
            </w:r>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E3BA060" w14:textId="77777777" w:rsidR="00F84077" w:rsidRDefault="00000000">
            <w:pPr>
              <w:jc w:val="center"/>
            </w:pPr>
            <w:r>
              <w:rPr>
                <w:sz w:val="18"/>
                <w:szCs w:val="18"/>
              </w:rPr>
              <w:t>−9.3%</w:t>
            </w:r>
          </w:p>
        </w:tc>
      </w:tr>
      <w:tr w:rsidR="00F84077" w14:paraId="103305E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3EF1A7" w14:textId="77777777" w:rsidR="00F84077" w:rsidRDefault="00000000">
            <w:r>
              <w:rPr>
                <w:b/>
                <w:bCs/>
                <w:sz w:val="18"/>
                <w:szCs w:val="18"/>
              </w:rPr>
              <w:t>Equal weight</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C975E6" w14:textId="77777777" w:rsidR="00F84077" w:rsidRDefault="00000000">
            <w:pPr>
              <w:jc w:val="center"/>
            </w:pPr>
            <w:r>
              <w:rPr>
                <w:sz w:val="18"/>
                <w:szCs w:val="18"/>
              </w:rPr>
              <w:t>−3.7%</w:t>
            </w:r>
          </w:p>
        </w:tc>
        <w:tc>
          <w:tcPr>
            <w:tcW w:w="1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BCD769" w14:textId="77777777" w:rsidR="00F84077" w:rsidRDefault="00000000">
            <w:pPr>
              <w:jc w:val="center"/>
            </w:pPr>
            <w:r>
              <w:rPr>
                <w:sz w:val="18"/>
                <w:szCs w:val="18"/>
              </w:rPr>
              <w:t>−3.4%</w:t>
            </w:r>
          </w:p>
        </w:tc>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A0D5B4" w14:textId="77777777" w:rsidR="00F84077" w:rsidRDefault="00000000">
            <w:pPr>
              <w:jc w:val="center"/>
            </w:pPr>
            <w:r>
              <w:rPr>
                <w:sz w:val="18"/>
                <w:szCs w:val="18"/>
              </w:rPr>
              <w:t>−5.8%</w:t>
            </w:r>
          </w:p>
        </w:tc>
      </w:tr>
    </w:tbl>
    <w:p w14:paraId="10771D08" w14:textId="77777777" w:rsidR="00F84077" w:rsidRDefault="00000000">
      <w:pPr>
        <w:spacing w:after="200"/>
        <w:jc w:val="center"/>
      </w:pPr>
      <w:r>
        <w:rPr>
          <w:i/>
          <w:iCs/>
          <w:sz w:val="18"/>
          <w:szCs w:val="18"/>
        </w:rPr>
        <w:t>Table 3. Peak-to-trough drop in entropy-ENB during each episode's acute window.</w:t>
      </w:r>
    </w:p>
    <w:p w14:paraId="44A17DC5" w14:textId="23E968FC" w:rsidR="00F84077" w:rsidRDefault="003A7CAB">
      <w:pPr>
        <w:spacing w:after="60"/>
        <w:jc w:val="center"/>
      </w:pPr>
      <w:r w:rsidRPr="003A7CAB">
        <w:rPr>
          <w:noProof/>
        </w:rPr>
        <w:drawing>
          <wp:inline distT="0" distB="0" distL="0" distR="0" wp14:anchorId="1CBC9A2C" wp14:editId="0A734C39">
            <wp:extent cx="6400800" cy="2525395"/>
            <wp:effectExtent l="0" t="0" r="0" b="1905"/>
            <wp:docPr id="168349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93067" name=""/>
                    <pic:cNvPicPr/>
                  </pic:nvPicPr>
                  <pic:blipFill>
                    <a:blip r:embed="rId18"/>
                    <a:stretch>
                      <a:fillRect/>
                    </a:stretch>
                  </pic:blipFill>
                  <pic:spPr>
                    <a:xfrm>
                      <a:off x="0" y="0"/>
                      <a:ext cx="6400800" cy="2525395"/>
                    </a:xfrm>
                    <a:prstGeom prst="rect">
                      <a:avLst/>
                    </a:prstGeom>
                  </pic:spPr>
                </pic:pic>
              </a:graphicData>
            </a:graphic>
          </wp:inline>
        </w:drawing>
      </w:r>
      <w:r w:rsidRPr="003A7CAB">
        <w:rPr>
          <w:noProof/>
        </w:rPr>
        <w:t xml:space="preserve"> </w:t>
      </w:r>
    </w:p>
    <w:p w14:paraId="0262BB72" w14:textId="77777777" w:rsidR="00F84077" w:rsidRDefault="00000000">
      <w:pPr>
        <w:spacing w:after="200"/>
        <w:jc w:val="center"/>
      </w:pPr>
      <w:r>
        <w:rPr>
          <w:i/>
          <w:iCs/>
          <w:sz w:val="18"/>
          <w:szCs w:val="18"/>
        </w:rPr>
        <w:t>Figure 5. Entropy-ENB indexed to 100 at each episode's key date, at matched trading-day checkpoints (−21, −5, 0, 5, 21, 63). Full continuous event studies for each episode are in Appendix E.</w:t>
      </w:r>
    </w:p>
    <w:p w14:paraId="20BDC5D4" w14:textId="364A4491" w:rsidR="00F84077" w:rsidRDefault="00000000">
      <w:pPr>
        <w:spacing w:after="160" w:line="276" w:lineRule="auto"/>
        <w:jc w:val="both"/>
      </w:pPr>
      <w:r>
        <w:rPr>
          <w:b/>
          <w:bCs/>
        </w:rPr>
        <w:t xml:space="preserve">Global Financial Crisis (2008). </w:t>
      </w:r>
      <w:r>
        <w:t xml:space="preserve">A slow-building solvency crisis should, intuitively, produce a gradual decay in diversification as correlations creep upward over many months, not a sudden break. The evidence disagrees: across the 14-month run-up from the first subprime cracks (July 2007) to the eve of Lehman's collapse, minimum variance's average ENB was </w:t>
      </w:r>
      <w:r>
        <w:rPr>
          <w:i/>
          <w:iCs/>
        </w:rPr>
        <w:t>higher</w:t>
      </w:r>
      <w:r>
        <w:t xml:space="preserve"> than in calm 2006 (9.1 vs. 7.9), because financials were cracking while energy and commodities kept rallying. Heterogeneous stress, not synchronized stress, leaves the optimizer plenty of room to diversify</w:t>
      </w:r>
      <w:r w:rsidR="00B47F70">
        <w:rPr>
          <w:rStyle w:val="FootnoteReference"/>
        </w:rPr>
        <w:footnoteReference w:id="3"/>
      </w:r>
      <w:r>
        <w:t xml:space="preserve">. The break, when it came, was sudden and severe: entropy-ENB for minimum variance and maximum diversification fell 74% and 55% respectively in the six weeks around Lehman's 15 September bankruptcy (Table 3), and unlike the other two episodes, neither portfolio had recovered even half its pre-crisis level three months later (Figure 5). The absorption ratio kept climbing for nearly three months after Lehman, and the minimum-variance optimizer's holdings followed the same delayed pattern, bottoming at just 13 names in </w:t>
      </w:r>
      <w:r w:rsidR="00A67196">
        <w:t>early</w:t>
      </w:r>
      <w:r>
        <w:t xml:space="preserve"> December. The GFC's damage was not only the deepest of the three episodes, but the only one that hadn't started healing by the end of its own acute window.</w:t>
      </w:r>
    </w:p>
    <w:p w14:paraId="2B5B1F73" w14:textId="355A5E29" w:rsidR="00F84077" w:rsidRDefault="00000000">
      <w:pPr>
        <w:spacing w:after="160" w:line="276" w:lineRule="auto"/>
        <w:jc w:val="both"/>
      </w:pPr>
      <w:r>
        <w:rPr>
          <w:b/>
          <w:bCs/>
        </w:rPr>
        <w:t xml:space="preserve">COVID-19 (2020). </w:t>
      </w:r>
      <w:r>
        <w:t xml:space="preserve">As a fast, exogenous shock, COVID should behave more like the tariff episode than the GFC, and the onset does: minimum variance's ENB reached its trough just three trading days after the WHO's 11 March pandemic declaration, and the absorption ratio's own peak landed </w:t>
      </w:r>
      <w:r w:rsidR="00A67196">
        <w:t>very close to</w:t>
      </w:r>
      <w:r>
        <w:t xml:space="preserve"> the market's 23 March bottom</w:t>
      </w:r>
      <w:r w:rsidR="00A67196">
        <w:t>, on March 26</w:t>
      </w:r>
      <w:r>
        <w:t xml:space="preserve">. The analogy breaks down on depth and recovery, however. The collapse was GFC-deep (entropy-ENB fell 70% and 71% for minimum variance and maximum diversification, Table 3) rather than tariff-shallow, and </w:t>
      </w:r>
      <w:r w:rsidR="003A7CAB">
        <w:t>m</w:t>
      </w:r>
      <w:r w:rsidR="003A7CAB">
        <w:t xml:space="preserve">inimum variance's rebound overshot dramatically, climbing to 5.7x </w:t>
      </w:r>
      <w:r w:rsidR="00A67196">
        <w:t xml:space="preserve">the declaration date </w:t>
      </w:r>
      <w:r w:rsidR="003A7CAB">
        <w:t>level by day 54 before dropping back to around 1.8x by the third month (Figure 5), as the optimizer resettled into a smaller, differently-composed set of holdings than it held before the crash</w:t>
      </w:r>
      <w:r>
        <w:t>. Cap-weight, largely inert in the tariff shock, fell a real 17% here. COVID combines the GFC's depth with the tariff shock's speed: a collapse as severe as the slowest episode studied, resolved as fast as the quickest.</w:t>
      </w:r>
    </w:p>
    <w:p w14:paraId="61D2498E" w14:textId="7BE663BD" w:rsidR="00F84077" w:rsidRDefault="00000000">
      <w:pPr>
        <w:spacing w:after="160" w:line="276" w:lineRule="auto"/>
        <w:jc w:val="both"/>
      </w:pPr>
      <w:r>
        <w:rPr>
          <w:b/>
          <w:bCs/>
        </w:rPr>
        <w:lastRenderedPageBreak/>
        <w:t xml:space="preserve">Tariff shock (2025). </w:t>
      </w:r>
      <w:r>
        <w:t>As a single-day, exogenous policy announcement with a dateable reversal catalyst (the 9 April pause), the tariff shock is the cleanest natural experiment of the three, and the evidence matches that expectation closely: entropy-ENB for minimum variance and maximum diversification fell about 45% within a week of the 2 April announcement (Table 3), and minimum variance had not just recovered but overshot its pre-shock level within three weeks, the fastest full recovery of any episode studied. The one break from the naive-methods-stay-flat pattern established elsewhere in this report shows up here: cap-weight, ordinarily indistinguishable from equal-weight, fell 40%, comparable in magnitude to the optimized portfolios.</w:t>
      </w:r>
    </w:p>
    <w:p w14:paraId="5B5CB110" w14:textId="246DC6AA" w:rsidR="00F84077" w:rsidRDefault="00000000">
      <w:pPr>
        <w:spacing w:after="160" w:line="276" w:lineRule="auto"/>
        <w:jc w:val="both"/>
      </w:pPr>
      <w:r>
        <w:t xml:space="preserve">Read together, the three episodes support the same conclusion from three different angles. Naive and risk-budgeted portfolios were never diversified to begin with, so no crisis, slow or fast, financial or exogenous, has much room to compress them further. The optimized portfolios' losses scale with how synchronized the underlying shock is, not with how long it lasts: COVID's few-week shock cut as deep as the GFC's year-long one. And cap-weight moved meaningfully only when a shock added genuine cross-sectional dispersion on top of a common factor (tariffs, and to a lesser extent COVID) rather than when it was purely a synchronized sell-everything event like the GFC. Diversification, measured this way, is not a fixed property of a portfolio; it is a claim that </w:t>
      </w:r>
      <w:r w:rsidR="004827B6">
        <w:t>must</w:t>
      </w:r>
      <w:r>
        <w:t xml:space="preserve"> be re-earned every time markets move together.</w:t>
      </w:r>
    </w:p>
    <w:p w14:paraId="0E01A2E9" w14:textId="77777777" w:rsidR="00F84077" w:rsidRDefault="00000000">
      <w:pPr>
        <w:pStyle w:val="Heading1"/>
        <w:spacing w:before="260" w:after="120"/>
      </w:pPr>
      <w:r>
        <w:rPr>
          <w:b/>
          <w:bCs/>
          <w:color w:val="000000"/>
          <w:sz w:val="27"/>
          <w:szCs w:val="27"/>
        </w:rPr>
        <w:t>6. Conclusion</w:t>
      </w:r>
    </w:p>
    <w:p w14:paraId="6FD36DED" w14:textId="06505EE0" w:rsidR="00F84077" w:rsidRDefault="00000000">
      <w:pPr>
        <w:spacing w:after="160" w:line="276" w:lineRule="auto"/>
        <w:jc w:val="both"/>
      </w:pPr>
      <w:r>
        <w:t xml:space="preserve">Viewed through PCA, the five construction methods split cleanly into two groups. The covariance-optimized methods (minimum variance, maximum diversification) hold roughly 5–6 effective bets across the full sample by actively tilting away from the dominant market factor; the naive and risk-budgeted methods (equal-weight, capitalization-weighted, ERC) hold barely more than one, because equal-dollar or equal-risk weighting still leaves the portfolio dominated by PC1 regardless of how many names it holds. Diversification, by this measure, is not a static property of a construction method: it is strongly pro-cyclical, compressing in </w:t>
      </w:r>
      <w:r w:rsidR="00F72354">
        <w:t xml:space="preserve">each of the three detailed crisis episodes studied </w:t>
      </w:r>
      <w:r>
        <w:t>and rebuilding in calm markets.</w:t>
      </w:r>
    </w:p>
    <w:p w14:paraId="1D2D2086" w14:textId="77777777" w:rsidR="00F84077" w:rsidRDefault="00000000">
      <w:pPr>
        <w:spacing w:after="160" w:line="276" w:lineRule="auto"/>
        <w:jc w:val="both"/>
      </w:pPr>
      <w:r>
        <w:t xml:space="preserve">The three case studies show this same mechanism operating identically across crises with very different textures: a slow-building solvency crisis, a fast exogenous pandemic shock, and a brief, dateable policy shock. In every case, the optimized portfolios did essentially </w:t>
      </w:r>
      <w:proofErr w:type="gramStart"/>
      <w:r>
        <w:t>all of</w:t>
      </w:r>
      <w:proofErr w:type="gramEnd"/>
      <w:r>
        <w:t xml:space="preserve"> the compressing while the naive methods stayed close to their already-low baseline. Cap-weight is the one partial exception: it moved meaningfully whenever a shock added real cross-sectional dispersion on top of a common factor. The GFC-versus-COVID comparison is itself informative: COVID's collapse was as deep as the GFC's despite unfolding and reversing in a fraction of the time, suggesting that the depth of a diversification collapse tracks how synchronized a shock is, not how long it lasts.</w:t>
      </w:r>
    </w:p>
    <w:p w14:paraId="67457F15" w14:textId="77777777" w:rsidR="00F84077" w:rsidRDefault="00000000">
      <w:pPr>
        <w:spacing w:after="160" w:line="276" w:lineRule="auto"/>
        <w:jc w:val="both"/>
      </w:pPr>
      <w:r>
        <w:t>An extension we did not pursue is whether a leading indicator built from these measures, a drop in the optimized portfolios' ENB or a spike in the absorption ratio, could signal market stress before it shows up in prices. All three episodes here show the structural break landing at, or within days of, the triggering event, which is suggestive but not sufficient to establish lead-lag; a dedicated event-study with tighter dating and genuine out-of-sample testing would be needed to make that case rigorously.</w:t>
      </w:r>
    </w:p>
    <w:p w14:paraId="7669D022" w14:textId="77777777" w:rsidR="00C16E74" w:rsidRDefault="00C16E74">
      <w:pPr>
        <w:pStyle w:val="Heading1"/>
        <w:spacing w:before="260" w:after="120"/>
        <w:rPr>
          <w:b/>
          <w:bCs/>
          <w:color w:val="000000"/>
          <w:sz w:val="27"/>
          <w:szCs w:val="27"/>
        </w:rPr>
      </w:pPr>
    </w:p>
    <w:p w14:paraId="6598FBF9" w14:textId="77777777" w:rsidR="00C16E74" w:rsidRDefault="00C16E74">
      <w:pPr>
        <w:pStyle w:val="Heading1"/>
        <w:spacing w:before="260" w:after="120"/>
        <w:rPr>
          <w:b/>
          <w:bCs/>
          <w:color w:val="000000"/>
          <w:sz w:val="27"/>
          <w:szCs w:val="27"/>
        </w:rPr>
      </w:pPr>
    </w:p>
    <w:p w14:paraId="6BB1567E" w14:textId="77777777" w:rsidR="00C16E74" w:rsidRDefault="00C16E74">
      <w:pPr>
        <w:pStyle w:val="Heading1"/>
        <w:spacing w:before="260" w:after="120"/>
        <w:rPr>
          <w:b/>
          <w:bCs/>
          <w:color w:val="000000"/>
          <w:sz w:val="27"/>
          <w:szCs w:val="27"/>
        </w:rPr>
      </w:pPr>
    </w:p>
    <w:p w14:paraId="5355491B" w14:textId="77777777" w:rsidR="00C16E74" w:rsidRDefault="00C16E74">
      <w:pPr>
        <w:pStyle w:val="Heading1"/>
        <w:spacing w:before="260" w:after="120"/>
        <w:rPr>
          <w:b/>
          <w:bCs/>
          <w:color w:val="000000"/>
          <w:sz w:val="27"/>
          <w:szCs w:val="27"/>
        </w:rPr>
      </w:pPr>
    </w:p>
    <w:p w14:paraId="51836D0C" w14:textId="77777777" w:rsidR="00C16E74" w:rsidRDefault="00C16E74">
      <w:pPr>
        <w:pStyle w:val="Heading1"/>
        <w:spacing w:before="260" w:after="120"/>
        <w:rPr>
          <w:b/>
          <w:bCs/>
          <w:color w:val="000000"/>
          <w:sz w:val="27"/>
          <w:szCs w:val="27"/>
        </w:rPr>
      </w:pPr>
    </w:p>
    <w:p w14:paraId="773B6ED2" w14:textId="09E28134" w:rsidR="00F84077" w:rsidRDefault="00000000">
      <w:pPr>
        <w:pStyle w:val="Heading1"/>
        <w:spacing w:before="260" w:after="120"/>
      </w:pPr>
      <w:r>
        <w:rPr>
          <w:b/>
          <w:bCs/>
          <w:color w:val="000000"/>
          <w:sz w:val="27"/>
          <w:szCs w:val="27"/>
        </w:rPr>
        <w:lastRenderedPageBreak/>
        <w:t>Appendix A. Implementation choices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700"/>
      </w:tblGrid>
      <w:tr w:rsidR="00F84077" w14:paraId="33631D8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3E176281" w14:textId="77777777" w:rsidR="00F84077" w:rsidRDefault="00000000">
            <w:pPr>
              <w:jc w:val="center"/>
            </w:pPr>
            <w:r>
              <w:rPr>
                <w:b/>
                <w:bCs/>
                <w:sz w:val="18"/>
                <w:szCs w:val="18"/>
              </w:rPr>
              <w:t>Choice</w:t>
            </w:r>
          </w:p>
        </w:tc>
        <w:tc>
          <w:tcPr>
            <w:tcW w:w="26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222ABE37" w14:textId="77777777" w:rsidR="00F84077" w:rsidRDefault="00000000">
            <w:pPr>
              <w:jc w:val="center"/>
            </w:pPr>
            <w:r>
              <w:rPr>
                <w:b/>
                <w:bCs/>
                <w:sz w:val="18"/>
                <w:szCs w:val="18"/>
              </w:rPr>
              <w:t>Decision</w:t>
            </w:r>
          </w:p>
        </w:tc>
        <w:tc>
          <w:tcPr>
            <w:tcW w:w="27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5CD0052B" w14:textId="77777777" w:rsidR="00F84077" w:rsidRDefault="00000000">
            <w:pPr>
              <w:jc w:val="center"/>
            </w:pPr>
            <w:r>
              <w:rPr>
                <w:b/>
                <w:bCs/>
                <w:sz w:val="18"/>
                <w:szCs w:val="18"/>
              </w:rPr>
              <w:t>Rationale</w:t>
            </w:r>
          </w:p>
        </w:tc>
      </w:tr>
      <w:tr w:rsidR="00F84077" w14:paraId="2B40AC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6FEABA" w14:textId="77777777" w:rsidR="00F84077" w:rsidRDefault="00000000">
            <w:r>
              <w:rPr>
                <w:b/>
                <w:bCs/>
                <w:sz w:val="18"/>
                <w:szCs w:val="18"/>
              </w:rPr>
              <w:t>Covariance estimator</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8CCDFD" w14:textId="77777777" w:rsidR="00F84077" w:rsidRDefault="00000000">
            <w:pPr>
              <w:jc w:val="center"/>
            </w:pPr>
            <w:r>
              <w:rPr>
                <w:sz w:val="18"/>
                <w:szCs w:val="18"/>
              </w:rPr>
              <w:t>EWMA, 252-day half-life</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C75CD1" w14:textId="77777777" w:rsidR="00F84077" w:rsidRDefault="00000000">
            <w:pPr>
              <w:jc w:val="center"/>
            </w:pPr>
            <w:r>
              <w:rPr>
                <w:sz w:val="18"/>
                <w:szCs w:val="18"/>
              </w:rPr>
              <w:t>Reacts to regime shifts faster than equal-weight; critical for stress-period timing.</w:t>
            </w:r>
          </w:p>
        </w:tc>
      </w:tr>
      <w:tr w:rsidR="00F84077" w14:paraId="35D136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B18E8C5" w14:textId="77777777" w:rsidR="00F84077" w:rsidRDefault="00000000">
            <w:r>
              <w:rPr>
                <w:b/>
                <w:bCs/>
                <w:sz w:val="18"/>
                <w:szCs w:val="18"/>
              </w:rPr>
              <w:t>Shrinkage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5A6CBE5" w14:textId="77777777" w:rsidR="00F84077" w:rsidRDefault="00000000">
            <w:pPr>
              <w:jc w:val="center"/>
            </w:pPr>
            <w:proofErr w:type="spellStart"/>
            <w:r>
              <w:rPr>
                <w:sz w:val="18"/>
                <w:szCs w:val="18"/>
              </w:rPr>
              <w:t>Ledoit</w:t>
            </w:r>
            <w:proofErr w:type="spellEnd"/>
            <w:r>
              <w:rPr>
                <w:sz w:val="18"/>
                <w:szCs w:val="18"/>
              </w:rPr>
              <w:t>–Wolf toward constant correlation (EWMA-consistent δ)</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AE8F378" w14:textId="77777777" w:rsidR="00F84077" w:rsidRDefault="00000000">
            <w:pPr>
              <w:jc w:val="center"/>
            </w:pPr>
            <w:r>
              <w:rPr>
                <w:sz w:val="18"/>
                <w:szCs w:val="18"/>
              </w:rPr>
              <w:t>Stabilizes small eigenvalues that ENB is most sensitive to; δ smoothed over 60 days.</w:t>
            </w:r>
          </w:p>
        </w:tc>
      </w:tr>
      <w:tr w:rsidR="00F84077" w14:paraId="4E9F6C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1C5361" w14:textId="77777777" w:rsidR="00F84077" w:rsidRDefault="00000000">
            <w:r>
              <w:rPr>
                <w:b/>
                <w:bCs/>
                <w:sz w:val="18"/>
                <w:szCs w:val="18"/>
              </w:rPr>
              <w:t>Estimation window</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B7874D" w14:textId="77777777" w:rsidR="00F84077" w:rsidRDefault="00000000">
            <w:pPr>
              <w:jc w:val="center"/>
            </w:pPr>
            <w:r>
              <w:rPr>
                <w:sz w:val="18"/>
                <w:szCs w:val="18"/>
              </w:rPr>
              <w:t>504 trading days</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CE97B9" w14:textId="77777777" w:rsidR="00F84077" w:rsidRDefault="00000000">
            <w:pPr>
              <w:jc w:val="center"/>
            </w:pPr>
            <w:r>
              <w:rPr>
                <w:sz w:val="18"/>
                <w:szCs w:val="18"/>
              </w:rPr>
              <w:t>~2 years; long enough for a 500×500 correlation, short enough to stay local.</w:t>
            </w:r>
          </w:p>
        </w:tc>
      </w:tr>
      <w:tr w:rsidR="00F84077" w14:paraId="65F4D5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519D65C" w14:textId="77777777" w:rsidR="00F84077" w:rsidRDefault="00000000">
            <w:r>
              <w:rPr>
                <w:b/>
                <w:bCs/>
                <w:sz w:val="18"/>
                <w:szCs w:val="18"/>
              </w:rPr>
              <w:t>Universe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B415E43" w14:textId="77777777" w:rsidR="00F84077" w:rsidRDefault="00000000">
            <w:pPr>
              <w:jc w:val="center"/>
            </w:pPr>
            <w:r>
              <w:rPr>
                <w:sz w:val="18"/>
                <w:szCs w:val="18"/>
              </w:rPr>
              <w:t xml:space="preserve">Top 500 by </w:t>
            </w:r>
            <w:proofErr w:type="spellStart"/>
            <w:r>
              <w:rPr>
                <w:sz w:val="18"/>
                <w:szCs w:val="18"/>
              </w:rPr>
              <w:t>mcap</w:t>
            </w:r>
            <w:proofErr w:type="spellEnd"/>
            <w:r>
              <w:rPr>
                <w:sz w:val="18"/>
                <w:szCs w:val="18"/>
              </w:rPr>
              <w:t xml:space="preserve"> with full 504-day history</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5CA1E2F" w14:textId="77777777" w:rsidR="00F84077" w:rsidRDefault="00000000">
            <w:pPr>
              <w:jc w:val="center"/>
            </w:pPr>
            <w:r>
              <w:rPr>
                <w:sz w:val="18"/>
                <w:szCs w:val="18"/>
              </w:rPr>
              <w:t xml:space="preserve">Guarantees a full-rank, gap-free correlation each day — the T-vs-p problem noted in the assignment is exactly why this and shrinkage both </w:t>
            </w:r>
            <w:proofErr w:type="gramStart"/>
            <w:r>
              <w:rPr>
                <w:sz w:val="18"/>
                <w:szCs w:val="18"/>
              </w:rPr>
              <w:t>matter</w:t>
            </w:r>
            <w:proofErr w:type="gramEnd"/>
            <w:r>
              <w:rPr>
                <w:sz w:val="18"/>
                <w:szCs w:val="18"/>
              </w:rPr>
              <w:t>.</w:t>
            </w:r>
          </w:p>
        </w:tc>
      </w:tr>
      <w:tr w:rsidR="00F84077" w14:paraId="681941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BCF1DF" w14:textId="77777777" w:rsidR="00F84077" w:rsidRDefault="00000000">
            <w:r>
              <w:rPr>
                <w:b/>
                <w:bCs/>
                <w:sz w:val="18"/>
                <w:szCs w:val="18"/>
              </w:rPr>
              <w:t>Rebalance</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97E481" w14:textId="77777777" w:rsidR="00F84077" w:rsidRDefault="00000000">
            <w:pPr>
              <w:jc w:val="center"/>
            </w:pPr>
            <w:r>
              <w:rPr>
                <w:sz w:val="18"/>
                <w:szCs w:val="18"/>
              </w:rPr>
              <w:t>Daily weights, 20-day MA smoothing (optimized only)</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2629AB" w14:textId="77777777" w:rsidR="00F84077" w:rsidRDefault="00000000">
            <w:pPr>
              <w:jc w:val="center"/>
            </w:pPr>
            <w:r>
              <w:rPr>
                <w:sz w:val="18"/>
                <w:szCs w:val="18"/>
              </w:rPr>
              <w:t>Daily captures fast episodes (tariffs, COVID); smoothing damps turnover/estimation noise.</w:t>
            </w:r>
          </w:p>
        </w:tc>
      </w:tr>
      <w:tr w:rsidR="00F84077" w14:paraId="3039645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C018738" w14:textId="77777777" w:rsidR="00F84077" w:rsidRDefault="00000000">
            <w:proofErr w:type="gramStart"/>
            <w:r>
              <w:rPr>
                <w:b/>
                <w:bCs/>
                <w:sz w:val="18"/>
                <w:szCs w:val="18"/>
              </w:rPr>
              <w:t>Top-N</w:t>
            </w:r>
            <w:proofErr w:type="gramEnd"/>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1AD3C72" w14:textId="77777777" w:rsidR="00F84077" w:rsidRDefault="00000000">
            <w:pPr>
              <w:jc w:val="center"/>
            </w:pPr>
            <w:r>
              <w:rPr>
                <w:sz w:val="18"/>
                <w:szCs w:val="18"/>
              </w:rPr>
              <w:t>N = 10 for absorption measure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DF4B7BA" w14:textId="77777777" w:rsidR="00F84077" w:rsidRDefault="00000000">
            <w:pPr>
              <w:jc w:val="center"/>
            </w:pPr>
            <w:r>
              <w:rPr>
                <w:sz w:val="18"/>
                <w:szCs w:val="18"/>
              </w:rPr>
              <w:t>Standard absorption-ratio horizon; matched to Kritzman et al. (2011).</w:t>
            </w:r>
          </w:p>
        </w:tc>
      </w:tr>
    </w:tbl>
    <w:p w14:paraId="24CC1F20" w14:textId="77777777" w:rsidR="00F84077" w:rsidRDefault="00000000">
      <w:pPr>
        <w:pStyle w:val="Heading1"/>
        <w:spacing w:before="260" w:after="120"/>
      </w:pPr>
      <w:r>
        <w:rPr>
          <w:b/>
          <w:bCs/>
          <w:color w:val="000000"/>
          <w:sz w:val="27"/>
          <w:szCs w:val="27"/>
        </w:rPr>
        <w:t>Appendix B. Deriving the portfolio's variance decomposition</w:t>
      </w:r>
    </w:p>
    <w:p w14:paraId="45D2D236" w14:textId="77777777" w:rsidR="00F84077" w:rsidRDefault="00000000">
      <w:pPr>
        <w:spacing w:after="160" w:line="276" w:lineRule="auto"/>
        <w:jc w:val="both"/>
      </w:pPr>
      <w:r>
        <w:t>We project each portfolio's weights onto the eigenspace and compute the portfolio's score on each principal component; the resulting distribution is the input to every diversification measure in Section 2.3.</w:t>
      </w:r>
    </w:p>
    <w:p w14:paraId="43D73550" w14:textId="77777777" w:rsidR="00F84077" w:rsidRDefault="00000000">
      <w:pPr>
        <w:spacing w:after="160" w:line="276" w:lineRule="auto"/>
        <w:jc w:val="both"/>
      </w:pPr>
      <w:r>
        <w:t>PCA was run on standardized returns (the correlation matrix), but portfolio weights live in raw-return space, where assets have different volatilities. Before projecting a portfolio onto the eigenvectors, we first need to re-express its weights in the same standardized-return units, so that the resulting variance decomposition is measured in a consistent space.</w:t>
      </w:r>
    </w:p>
    <w:p w14:paraId="322513C8" w14:textId="77777777" w:rsidR="00F84077" w:rsidRDefault="00000000">
      <w:pPr>
        <w:spacing w:after="160" w:line="276" w:lineRule="auto"/>
        <w:jc w:val="both"/>
      </w:pPr>
      <w:r>
        <w:t>Start from the portfolio's variance in terms of the raw covariance matrix:</w:t>
      </w:r>
    </w:p>
    <w:p w14:paraId="5374B1B4" w14:textId="77777777" w:rsidR="00F84077" w:rsidRDefault="00000000">
      <w:pPr>
        <w:spacing w:before="120" w:after="120"/>
        <w:ind w:left="504"/>
        <w:jc w:val="center"/>
      </w:pPr>
      <w:r>
        <w:rPr>
          <w:noProof/>
        </w:rPr>
        <w:drawing>
          <wp:inline distT="0" distB="0" distL="0" distR="0" wp14:anchorId="77B579FB" wp14:editId="0815934A">
            <wp:extent cx="1085850" cy="2667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19"/>
                    <a:stretch>
                      <a:fillRect/>
                    </a:stretch>
                  </pic:blipFill>
                  <pic:spPr>
                    <a:xfrm>
                      <a:off x="0" y="0"/>
                      <a:ext cx="1085850" cy="266700"/>
                    </a:xfrm>
                    <a:prstGeom prst="rect">
                      <a:avLst/>
                    </a:prstGeom>
                  </pic:spPr>
                </pic:pic>
              </a:graphicData>
            </a:graphic>
          </wp:inline>
        </w:drawing>
      </w:r>
    </w:p>
    <w:p w14:paraId="3ED21C42" w14:textId="77777777" w:rsidR="00F84077" w:rsidRDefault="00000000">
      <w:pPr>
        <w:spacing w:after="140" w:line="276" w:lineRule="auto"/>
        <w:jc w:val="both"/>
      </w:pPr>
      <w:r>
        <w:t xml:space="preserve">where </w:t>
      </w:r>
      <w:r>
        <w:rPr>
          <w:noProof/>
        </w:rPr>
        <w:drawing>
          <wp:inline distT="0" distB="0" distL="0" distR="0" wp14:anchorId="3EC03029" wp14:editId="6E046A29">
            <wp:extent cx="142875" cy="200025"/>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20"/>
                    <a:stretch>
                      <a:fillRect/>
                    </a:stretch>
                  </pic:blipFill>
                  <pic:spPr>
                    <a:xfrm>
                      <a:off x="0" y="0"/>
                      <a:ext cx="142875" cy="200025"/>
                    </a:xfrm>
                    <a:prstGeom prst="rect">
                      <a:avLst/>
                    </a:prstGeom>
                  </pic:spPr>
                </pic:pic>
              </a:graphicData>
            </a:graphic>
          </wp:inline>
        </w:drawing>
      </w:r>
      <w:r>
        <w:t xml:space="preserve"> is the portfolio's variance, </w:t>
      </w:r>
      <w:r>
        <w:rPr>
          <w:noProof/>
        </w:rPr>
        <w:drawing>
          <wp:inline distT="0" distB="0" distL="0" distR="0" wp14:anchorId="3A699BDC" wp14:editId="008D0F3B">
            <wp:extent cx="104775" cy="14287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21"/>
                    <a:stretch>
                      <a:fillRect/>
                    </a:stretch>
                  </pic:blipFill>
                  <pic:spPr>
                    <a:xfrm>
                      <a:off x="0" y="0"/>
                      <a:ext cx="104775" cy="142875"/>
                    </a:xfrm>
                    <a:prstGeom prst="rect">
                      <a:avLst/>
                    </a:prstGeom>
                  </pic:spPr>
                </pic:pic>
              </a:graphicData>
            </a:graphic>
          </wp:inline>
        </w:drawing>
      </w:r>
      <w:r>
        <w:t xml:space="preserve"> is the vector of weights, and </w:t>
      </w:r>
      <w:r>
        <w:rPr>
          <w:noProof/>
        </w:rPr>
        <w:drawing>
          <wp:inline distT="0" distB="0" distL="0" distR="0" wp14:anchorId="3E8E08C6" wp14:editId="69F37290">
            <wp:extent cx="104775" cy="142875"/>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22"/>
                    <a:stretch>
                      <a:fillRect/>
                    </a:stretch>
                  </pic:blipFill>
                  <pic:spPr>
                    <a:xfrm>
                      <a:off x="0" y="0"/>
                      <a:ext cx="104775" cy="142875"/>
                    </a:xfrm>
                    <a:prstGeom prst="rect">
                      <a:avLst/>
                    </a:prstGeom>
                  </pic:spPr>
                </pic:pic>
              </a:graphicData>
            </a:graphic>
          </wp:inline>
        </w:drawing>
      </w:r>
      <w:r>
        <w:t xml:space="preserve"> is the raw covariance matrix.</w:t>
      </w:r>
    </w:p>
    <w:p w14:paraId="1D92EFF6" w14:textId="77777777" w:rsidR="00F84077" w:rsidRDefault="00000000">
      <w:pPr>
        <w:spacing w:after="160" w:line="276" w:lineRule="auto"/>
        <w:jc w:val="both"/>
      </w:pPr>
      <w:r>
        <w:t>The covariance matrix can be expressed in terms of the correlation matrix:</w:t>
      </w:r>
    </w:p>
    <w:p w14:paraId="290C7DFF" w14:textId="77777777" w:rsidR="00F84077" w:rsidRDefault="00000000">
      <w:pPr>
        <w:spacing w:before="120" w:after="120"/>
        <w:ind w:left="504"/>
        <w:jc w:val="center"/>
      </w:pPr>
      <w:r>
        <w:rPr>
          <w:noProof/>
        </w:rPr>
        <w:drawing>
          <wp:inline distT="0" distB="0" distL="0" distR="0" wp14:anchorId="3B7EF36D" wp14:editId="104D72C5">
            <wp:extent cx="895350" cy="20002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23"/>
                    <a:stretch>
                      <a:fillRect/>
                    </a:stretch>
                  </pic:blipFill>
                  <pic:spPr>
                    <a:xfrm>
                      <a:off x="0" y="0"/>
                      <a:ext cx="895350" cy="200025"/>
                    </a:xfrm>
                    <a:prstGeom prst="rect">
                      <a:avLst/>
                    </a:prstGeom>
                  </pic:spPr>
                </pic:pic>
              </a:graphicData>
            </a:graphic>
          </wp:inline>
        </w:drawing>
      </w:r>
    </w:p>
    <w:p w14:paraId="5F4A5A01" w14:textId="77777777" w:rsidR="00F84077" w:rsidRDefault="00000000">
      <w:pPr>
        <w:spacing w:after="140" w:line="276" w:lineRule="auto"/>
        <w:jc w:val="both"/>
      </w:pPr>
      <w:r>
        <w:t xml:space="preserve">where </w:t>
      </w:r>
      <w:r>
        <w:rPr>
          <w:noProof/>
        </w:rPr>
        <w:drawing>
          <wp:inline distT="0" distB="0" distL="0" distR="0" wp14:anchorId="06389EB3" wp14:editId="452CF62B">
            <wp:extent cx="114300" cy="142875"/>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pic:cNvPicPr/>
                  </pic:nvPicPr>
                  <pic:blipFill>
                    <a:blip r:embed="rId24"/>
                    <a:stretch>
                      <a:fillRect/>
                    </a:stretch>
                  </pic:blipFill>
                  <pic:spPr>
                    <a:xfrm>
                      <a:off x="0" y="0"/>
                      <a:ext cx="114300" cy="142875"/>
                    </a:xfrm>
                    <a:prstGeom prst="rect">
                      <a:avLst/>
                    </a:prstGeom>
                  </pic:spPr>
                </pic:pic>
              </a:graphicData>
            </a:graphic>
          </wp:inline>
        </w:drawing>
      </w:r>
      <w:r>
        <w:t xml:space="preserve"> is the correlation matrix and </w:t>
      </w:r>
      <w:r>
        <w:rPr>
          <w:noProof/>
        </w:rPr>
        <w:drawing>
          <wp:inline distT="0" distB="0" distL="0" distR="0" wp14:anchorId="68ECB1DA" wp14:editId="5B6FD70E">
            <wp:extent cx="1143000" cy="142875"/>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25"/>
                    <a:stretch>
                      <a:fillRect/>
                    </a:stretch>
                  </pic:blipFill>
                  <pic:spPr>
                    <a:xfrm>
                      <a:off x="0" y="0"/>
                      <a:ext cx="1143000" cy="142875"/>
                    </a:xfrm>
                    <a:prstGeom prst="rect">
                      <a:avLst/>
                    </a:prstGeom>
                  </pic:spPr>
                </pic:pic>
              </a:graphicData>
            </a:graphic>
          </wp:inline>
        </w:drawing>
      </w:r>
      <w:r>
        <w:t>.</w:t>
      </w:r>
    </w:p>
    <w:p w14:paraId="426BC54F" w14:textId="77777777" w:rsidR="00F84077" w:rsidRDefault="00000000">
      <w:pPr>
        <w:spacing w:after="160" w:line="276" w:lineRule="auto"/>
        <w:jc w:val="both"/>
      </w:pPr>
      <w:r>
        <w:t>Substituting:</w:t>
      </w:r>
    </w:p>
    <w:p w14:paraId="3B7D4596" w14:textId="77777777" w:rsidR="00F84077" w:rsidRDefault="00000000">
      <w:pPr>
        <w:spacing w:before="120" w:after="120"/>
        <w:ind w:left="504"/>
        <w:jc w:val="center"/>
      </w:pPr>
      <w:r>
        <w:rPr>
          <w:noProof/>
        </w:rPr>
        <w:drawing>
          <wp:inline distT="0" distB="0" distL="0" distR="0" wp14:anchorId="6C9A0C46" wp14:editId="6CD5D19D">
            <wp:extent cx="4848225" cy="266700"/>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a:blip r:embed="rId26"/>
                    <a:stretch>
                      <a:fillRect/>
                    </a:stretch>
                  </pic:blipFill>
                  <pic:spPr>
                    <a:xfrm>
                      <a:off x="0" y="0"/>
                      <a:ext cx="4848225" cy="266700"/>
                    </a:xfrm>
                    <a:prstGeom prst="rect">
                      <a:avLst/>
                    </a:prstGeom>
                  </pic:spPr>
                </pic:pic>
              </a:graphicData>
            </a:graphic>
          </wp:inline>
        </w:drawing>
      </w:r>
    </w:p>
    <w:p w14:paraId="4FE355D2" w14:textId="77777777" w:rsidR="00F84077" w:rsidRDefault="00000000">
      <w:pPr>
        <w:spacing w:after="140" w:line="276" w:lineRule="auto"/>
        <w:jc w:val="both"/>
      </w:pPr>
      <w:r>
        <w:t xml:space="preserve">The last step follows since </w:t>
      </w:r>
      <w:r>
        <w:rPr>
          <w:noProof/>
        </w:rPr>
        <w:drawing>
          <wp:inline distT="0" distB="0" distL="0" distR="0" wp14:anchorId="61D75B5C" wp14:editId="1DD8C4D8">
            <wp:extent cx="114300" cy="142875"/>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pic:cNvPicPr/>
                  </pic:nvPicPr>
                  <pic:blipFill>
                    <a:blip r:embed="rId27"/>
                    <a:stretch>
                      <a:fillRect/>
                    </a:stretch>
                  </pic:blipFill>
                  <pic:spPr>
                    <a:xfrm>
                      <a:off x="0" y="0"/>
                      <a:ext cx="114300" cy="142875"/>
                    </a:xfrm>
                    <a:prstGeom prst="rect">
                      <a:avLst/>
                    </a:prstGeom>
                  </pic:spPr>
                </pic:pic>
              </a:graphicData>
            </a:graphic>
          </wp:inline>
        </w:drawing>
      </w:r>
      <w:r>
        <w:t xml:space="preserve"> is diagonal (and thus symmetric), so </w:t>
      </w:r>
      <w:r>
        <w:rPr>
          <w:noProof/>
        </w:rPr>
        <w:drawing>
          <wp:inline distT="0" distB="0" distL="0" distR="0" wp14:anchorId="200465F1" wp14:editId="63C78F5D">
            <wp:extent cx="1524000" cy="161925"/>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pic:cNvPicPr/>
                  </pic:nvPicPr>
                  <pic:blipFill>
                    <a:blip r:embed="rId28"/>
                    <a:stretch>
                      <a:fillRect/>
                    </a:stretch>
                  </pic:blipFill>
                  <pic:spPr>
                    <a:xfrm>
                      <a:off x="0" y="0"/>
                      <a:ext cx="1524000" cy="161925"/>
                    </a:xfrm>
                    <a:prstGeom prst="rect">
                      <a:avLst/>
                    </a:prstGeom>
                  </pic:spPr>
                </pic:pic>
              </a:graphicData>
            </a:graphic>
          </wp:inline>
        </w:drawing>
      </w:r>
      <w:r>
        <w:t>.</w:t>
      </w:r>
    </w:p>
    <w:p w14:paraId="5F603A52" w14:textId="77777777" w:rsidR="00F84077" w:rsidRDefault="00000000">
      <w:pPr>
        <w:spacing w:after="140" w:line="276" w:lineRule="auto"/>
        <w:jc w:val="both"/>
      </w:pPr>
      <w:r>
        <w:t xml:space="preserve">The term </w:t>
      </w:r>
      <w:r>
        <w:rPr>
          <w:noProof/>
        </w:rPr>
        <w:drawing>
          <wp:inline distT="0" distB="0" distL="0" distR="0" wp14:anchorId="79D3C131" wp14:editId="4BA76FE8">
            <wp:extent cx="219075" cy="142875"/>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pic:cNvPicPr/>
                  </pic:nvPicPr>
                  <pic:blipFill>
                    <a:blip r:embed="rId29"/>
                    <a:stretch>
                      <a:fillRect/>
                    </a:stretch>
                  </pic:blipFill>
                  <pic:spPr>
                    <a:xfrm>
                      <a:off x="0" y="0"/>
                      <a:ext cx="219075" cy="142875"/>
                    </a:xfrm>
                    <a:prstGeom prst="rect">
                      <a:avLst/>
                    </a:prstGeom>
                  </pic:spPr>
                </pic:pic>
              </a:graphicData>
            </a:graphic>
          </wp:inline>
        </w:drawing>
      </w:r>
      <w:r>
        <w:t xml:space="preserve"> scales each weight by that asset's own volatility (</w:t>
      </w:r>
      <w:r>
        <w:rPr>
          <w:noProof/>
        </w:rPr>
        <w:drawing>
          <wp:inline distT="0" distB="0" distL="0" distR="0" wp14:anchorId="717D01E7" wp14:editId="63BEE6F6">
            <wp:extent cx="247650" cy="142875"/>
            <wp:effectExtent l="0" t="0" r="0" b="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pic:cNvPicPr/>
                  </pic:nvPicPr>
                  <pic:blipFill>
                    <a:blip r:embed="rId30"/>
                    <a:stretch>
                      <a:fillRect/>
                    </a:stretch>
                  </pic:blipFill>
                  <pic:spPr>
                    <a:xfrm>
                      <a:off x="0" y="0"/>
                      <a:ext cx="247650" cy="142875"/>
                    </a:xfrm>
                    <a:prstGeom prst="rect">
                      <a:avLst/>
                    </a:prstGeom>
                  </pic:spPr>
                </pic:pic>
              </a:graphicData>
            </a:graphic>
          </wp:inline>
        </w:drawing>
      </w:r>
      <w:r>
        <w:t xml:space="preserve">). We define </w:t>
      </w:r>
      <w:r>
        <w:rPr>
          <w:noProof/>
        </w:rPr>
        <w:drawing>
          <wp:inline distT="0" distB="0" distL="0" distR="0" wp14:anchorId="2DAF68B9" wp14:editId="3D5156A0">
            <wp:extent cx="514350" cy="14287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pic:cNvPicPr/>
                  </pic:nvPicPr>
                  <pic:blipFill>
                    <a:blip r:embed="rId31"/>
                    <a:stretch>
                      <a:fillRect/>
                    </a:stretch>
                  </pic:blipFill>
                  <pic:spPr>
                    <a:xfrm>
                      <a:off x="0" y="0"/>
                      <a:ext cx="514350" cy="142875"/>
                    </a:xfrm>
                    <a:prstGeom prst="rect">
                      <a:avLst/>
                    </a:prstGeom>
                  </pic:spPr>
                </pic:pic>
              </a:graphicData>
            </a:graphic>
          </wp:inline>
        </w:drawing>
      </w:r>
      <w:r>
        <w:t xml:space="preserve">, so </w:t>
      </w:r>
      <w:r>
        <w:rPr>
          <w:noProof/>
        </w:rPr>
        <w:drawing>
          <wp:inline distT="0" distB="0" distL="0" distR="0" wp14:anchorId="747514A9" wp14:editId="4AA67DBF">
            <wp:extent cx="495300" cy="142875"/>
            <wp:effectExtent l="0" t="0" r="0"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pic:cNvPicPr/>
                  </pic:nvPicPr>
                  <pic:blipFill>
                    <a:blip r:embed="rId32"/>
                    <a:stretch>
                      <a:fillRect/>
                    </a:stretch>
                  </pic:blipFill>
                  <pic:spPr>
                    <a:xfrm>
                      <a:off x="0" y="0"/>
                      <a:ext cx="495300" cy="142875"/>
                    </a:xfrm>
                    <a:prstGeom prst="rect">
                      <a:avLst/>
                    </a:prstGeom>
                  </pic:spPr>
                </pic:pic>
              </a:graphicData>
            </a:graphic>
          </wp:inline>
        </w:drawing>
      </w:r>
      <w:r>
        <w:t>.</w:t>
      </w:r>
    </w:p>
    <w:p w14:paraId="09AA3E40" w14:textId="77777777" w:rsidR="00F84077" w:rsidRDefault="00000000">
      <w:pPr>
        <w:spacing w:after="160" w:line="276" w:lineRule="auto"/>
        <w:jc w:val="both"/>
      </w:pPr>
      <w:r>
        <w:t>Now decompose the variance using the principal components. We showed above that:</w:t>
      </w:r>
    </w:p>
    <w:p w14:paraId="6322C449" w14:textId="77777777" w:rsidR="00F84077" w:rsidRDefault="00000000">
      <w:pPr>
        <w:spacing w:before="120" w:after="120"/>
        <w:ind w:left="504"/>
        <w:jc w:val="center"/>
      </w:pPr>
      <w:r>
        <w:rPr>
          <w:noProof/>
        </w:rPr>
        <w:drawing>
          <wp:inline distT="0" distB="0" distL="0" distR="0" wp14:anchorId="7032E6DE" wp14:editId="6BCFD4B9">
            <wp:extent cx="895350" cy="26670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pic:cNvPicPr/>
                  </pic:nvPicPr>
                  <pic:blipFill>
                    <a:blip r:embed="rId33"/>
                    <a:stretch>
                      <a:fillRect/>
                    </a:stretch>
                  </pic:blipFill>
                  <pic:spPr>
                    <a:xfrm>
                      <a:off x="0" y="0"/>
                      <a:ext cx="895350" cy="266700"/>
                    </a:xfrm>
                    <a:prstGeom prst="rect">
                      <a:avLst/>
                    </a:prstGeom>
                  </pic:spPr>
                </pic:pic>
              </a:graphicData>
            </a:graphic>
          </wp:inline>
        </w:drawing>
      </w:r>
    </w:p>
    <w:p w14:paraId="47D116B6" w14:textId="19744B62" w:rsidR="00F84077" w:rsidRDefault="00000000">
      <w:pPr>
        <w:spacing w:after="160" w:line="276" w:lineRule="auto"/>
        <w:jc w:val="both"/>
      </w:pPr>
      <w:r>
        <w:t>Substituting the eigen</w:t>
      </w:r>
      <w:r w:rsidR="001C1CF2">
        <w:t>-</w:t>
      </w:r>
      <w:r>
        <w:t>decomposition of the correlation matrix:</w:t>
      </w:r>
    </w:p>
    <w:p w14:paraId="3B611710" w14:textId="77777777" w:rsidR="00F84077" w:rsidRDefault="00000000">
      <w:pPr>
        <w:spacing w:before="120" w:after="120"/>
        <w:ind w:left="504"/>
        <w:jc w:val="center"/>
      </w:pPr>
      <w:r>
        <w:rPr>
          <w:noProof/>
        </w:rPr>
        <w:lastRenderedPageBreak/>
        <w:drawing>
          <wp:inline distT="0" distB="0" distL="0" distR="0" wp14:anchorId="1F20A3A3" wp14:editId="42326361">
            <wp:extent cx="1457325" cy="266700"/>
            <wp:effectExtent l="0" t="0" r="0" b="0"/>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pic:cNvPicPr/>
                  </pic:nvPicPr>
                  <pic:blipFill>
                    <a:blip r:embed="rId34"/>
                    <a:stretch>
                      <a:fillRect/>
                    </a:stretch>
                  </pic:blipFill>
                  <pic:spPr>
                    <a:xfrm>
                      <a:off x="0" y="0"/>
                      <a:ext cx="1457325" cy="266700"/>
                    </a:xfrm>
                    <a:prstGeom prst="rect">
                      <a:avLst/>
                    </a:prstGeom>
                  </pic:spPr>
                </pic:pic>
              </a:graphicData>
            </a:graphic>
          </wp:inline>
        </w:drawing>
      </w:r>
    </w:p>
    <w:p w14:paraId="16BE9D94" w14:textId="77777777" w:rsidR="00F84077" w:rsidRDefault="00000000">
      <w:pPr>
        <w:spacing w:after="140" w:line="276" w:lineRule="auto"/>
        <w:jc w:val="both"/>
      </w:pPr>
      <w:r>
        <w:t xml:space="preserve">where </w:t>
      </w:r>
      <w:r>
        <w:rPr>
          <w:noProof/>
        </w:rPr>
        <w:drawing>
          <wp:inline distT="0" distB="0" distL="0" distR="0" wp14:anchorId="221B5ECD" wp14:editId="0F109ACB">
            <wp:extent cx="114300" cy="142875"/>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pic:cNvPicPr/>
                  </pic:nvPicPr>
                  <pic:blipFill>
                    <a:blip r:embed="rId35"/>
                    <a:stretch>
                      <a:fillRect/>
                    </a:stretch>
                  </pic:blipFill>
                  <pic:spPr>
                    <a:xfrm>
                      <a:off x="0" y="0"/>
                      <a:ext cx="114300" cy="142875"/>
                    </a:xfrm>
                    <a:prstGeom prst="rect">
                      <a:avLst/>
                    </a:prstGeom>
                  </pic:spPr>
                </pic:pic>
              </a:graphicData>
            </a:graphic>
          </wp:inline>
        </w:drawing>
      </w:r>
      <w:r>
        <w:t xml:space="preserve"> is the matrix of eigenvectors and </w:t>
      </w:r>
      <w:r>
        <w:rPr>
          <w:noProof/>
        </w:rPr>
        <w:drawing>
          <wp:inline distT="0" distB="0" distL="0" distR="0" wp14:anchorId="0B0F19B1" wp14:editId="5D595AC3">
            <wp:extent cx="1123950" cy="142875"/>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pic:cNvPicPr/>
                  </pic:nvPicPr>
                  <pic:blipFill>
                    <a:blip r:embed="rId36"/>
                    <a:stretch>
                      <a:fillRect/>
                    </a:stretch>
                  </pic:blipFill>
                  <pic:spPr>
                    <a:xfrm>
                      <a:off x="0" y="0"/>
                      <a:ext cx="1123950" cy="142875"/>
                    </a:xfrm>
                    <a:prstGeom prst="rect">
                      <a:avLst/>
                    </a:prstGeom>
                  </pic:spPr>
                </pic:pic>
              </a:graphicData>
            </a:graphic>
          </wp:inline>
        </w:drawing>
      </w:r>
      <w:r>
        <w:t>.</w:t>
      </w:r>
    </w:p>
    <w:p w14:paraId="29AFE54C" w14:textId="77777777" w:rsidR="00F84077" w:rsidRDefault="00000000">
      <w:pPr>
        <w:spacing w:after="160" w:line="276" w:lineRule="auto"/>
        <w:jc w:val="both"/>
      </w:pPr>
      <w:r>
        <w:t>Rearranging:</w:t>
      </w:r>
    </w:p>
    <w:p w14:paraId="5BFC66BB" w14:textId="77777777" w:rsidR="00F84077" w:rsidRDefault="00000000">
      <w:pPr>
        <w:spacing w:before="120" w:after="120"/>
        <w:ind w:left="504"/>
        <w:jc w:val="center"/>
      </w:pPr>
      <w:r>
        <w:rPr>
          <w:noProof/>
        </w:rPr>
        <w:drawing>
          <wp:inline distT="0" distB="0" distL="0" distR="0" wp14:anchorId="47FBE546" wp14:editId="259780A1">
            <wp:extent cx="4448175" cy="266700"/>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pic:cNvPicPr/>
                  </pic:nvPicPr>
                  <pic:blipFill>
                    <a:blip r:embed="rId37"/>
                    <a:stretch>
                      <a:fillRect/>
                    </a:stretch>
                  </pic:blipFill>
                  <pic:spPr>
                    <a:xfrm>
                      <a:off x="0" y="0"/>
                      <a:ext cx="4448175" cy="266700"/>
                    </a:xfrm>
                    <a:prstGeom prst="rect">
                      <a:avLst/>
                    </a:prstGeom>
                  </pic:spPr>
                </pic:pic>
              </a:graphicData>
            </a:graphic>
          </wp:inline>
        </w:drawing>
      </w:r>
    </w:p>
    <w:p w14:paraId="7CFDF0C4" w14:textId="77777777" w:rsidR="00F84077" w:rsidRDefault="00000000">
      <w:pPr>
        <w:spacing w:after="140" w:line="276" w:lineRule="auto"/>
        <w:jc w:val="both"/>
      </w:pPr>
      <w:r>
        <w:t xml:space="preserve">The term </w:t>
      </w:r>
      <w:r>
        <w:rPr>
          <w:noProof/>
        </w:rPr>
        <w:drawing>
          <wp:inline distT="0" distB="0" distL="0" distR="0" wp14:anchorId="402E5DEE" wp14:editId="4DD64B34">
            <wp:extent cx="295275" cy="142875"/>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pic:cNvPicPr/>
                  </pic:nvPicPr>
                  <pic:blipFill>
                    <a:blip r:embed="rId38"/>
                    <a:stretch>
                      <a:fillRect/>
                    </a:stretch>
                  </pic:blipFill>
                  <pic:spPr>
                    <a:xfrm>
                      <a:off x="0" y="0"/>
                      <a:ext cx="295275" cy="142875"/>
                    </a:xfrm>
                    <a:prstGeom prst="rect">
                      <a:avLst/>
                    </a:prstGeom>
                  </pic:spPr>
                </pic:pic>
              </a:graphicData>
            </a:graphic>
          </wp:inline>
        </w:drawing>
      </w:r>
      <w:r>
        <w:t xml:space="preserve"> is the projection of the portfolio's weights onto the eigenvectors — its score on each component. Defining </w:t>
      </w:r>
      <w:r>
        <w:rPr>
          <w:noProof/>
        </w:rPr>
        <w:drawing>
          <wp:inline distT="0" distB="0" distL="0" distR="0" wp14:anchorId="310FD844" wp14:editId="47E88264">
            <wp:extent cx="495300" cy="142875"/>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pic:cNvPicPr/>
                  </pic:nvPicPr>
                  <pic:blipFill>
                    <a:blip r:embed="rId39"/>
                    <a:stretch>
                      <a:fillRect/>
                    </a:stretch>
                  </pic:blipFill>
                  <pic:spPr>
                    <a:xfrm>
                      <a:off x="0" y="0"/>
                      <a:ext cx="495300" cy="142875"/>
                    </a:xfrm>
                    <a:prstGeom prst="rect">
                      <a:avLst/>
                    </a:prstGeom>
                  </pic:spPr>
                </pic:pic>
              </a:graphicData>
            </a:graphic>
          </wp:inline>
        </w:drawing>
      </w:r>
      <w:r>
        <w:t>, the portfolio variance becomes:</w:t>
      </w:r>
    </w:p>
    <w:p w14:paraId="350A916E" w14:textId="77777777" w:rsidR="00F84077" w:rsidRDefault="00000000">
      <w:pPr>
        <w:spacing w:before="120" w:after="120"/>
        <w:ind w:left="504"/>
        <w:jc w:val="center"/>
      </w:pPr>
      <w:r>
        <w:rPr>
          <w:noProof/>
        </w:rPr>
        <w:drawing>
          <wp:inline distT="0" distB="0" distL="0" distR="0" wp14:anchorId="3DDF206D" wp14:editId="33EBD73B">
            <wp:extent cx="1657350" cy="495300"/>
            <wp:effectExtent l="0" t="0" r="0" b="0"/>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pic:cNvPicPr/>
                  </pic:nvPicPr>
                  <pic:blipFill>
                    <a:blip r:embed="rId40"/>
                    <a:stretch>
                      <a:fillRect/>
                    </a:stretch>
                  </pic:blipFill>
                  <pic:spPr>
                    <a:xfrm>
                      <a:off x="0" y="0"/>
                      <a:ext cx="1657350" cy="495300"/>
                    </a:xfrm>
                    <a:prstGeom prst="rect">
                      <a:avLst/>
                    </a:prstGeom>
                  </pic:spPr>
                </pic:pic>
              </a:graphicData>
            </a:graphic>
          </wp:inline>
        </w:drawing>
      </w:r>
    </w:p>
    <w:p w14:paraId="7179F6F5" w14:textId="77777777" w:rsidR="00F84077" w:rsidRDefault="00000000">
      <w:pPr>
        <w:spacing w:after="140" w:line="276" w:lineRule="auto"/>
        <w:jc w:val="both"/>
      </w:pPr>
      <w:r>
        <w:t xml:space="preserve">using the fact that </w:t>
      </w:r>
      <w:r>
        <w:rPr>
          <w:noProof/>
        </w:rPr>
        <w:drawing>
          <wp:inline distT="0" distB="0" distL="0" distR="0" wp14:anchorId="79ACBFE8" wp14:editId="734B2070">
            <wp:extent cx="114300" cy="142875"/>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image100033"/>
                    <pic:cNvPicPr/>
                  </pic:nvPicPr>
                  <pic:blipFill>
                    <a:blip r:embed="rId41"/>
                    <a:stretch>
                      <a:fillRect/>
                    </a:stretch>
                  </pic:blipFill>
                  <pic:spPr>
                    <a:xfrm>
                      <a:off x="0" y="0"/>
                      <a:ext cx="114300" cy="142875"/>
                    </a:xfrm>
                    <a:prstGeom prst="rect">
                      <a:avLst/>
                    </a:prstGeom>
                  </pic:spPr>
                </pic:pic>
              </a:graphicData>
            </a:graphic>
          </wp:inline>
        </w:drawing>
      </w:r>
      <w:r>
        <w:t xml:space="preserve"> is diagonal. In words: portfolio variance is the sum, over components, of each eigenvalue times the squared score on that component. Each term </w:t>
      </w:r>
      <w:r>
        <w:rPr>
          <w:noProof/>
        </w:rPr>
        <w:drawing>
          <wp:inline distT="0" distB="0" distL="0" distR="0" wp14:anchorId="24285DF4" wp14:editId="3BA91775">
            <wp:extent cx="247650" cy="171450"/>
            <wp:effectExtent l="0" t="0" r="0" b="0"/>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image100034"/>
                    <pic:cNvPicPr/>
                  </pic:nvPicPr>
                  <pic:blipFill>
                    <a:blip r:embed="rId42"/>
                    <a:stretch>
                      <a:fillRect/>
                    </a:stretch>
                  </pic:blipFill>
                  <pic:spPr>
                    <a:xfrm>
                      <a:off x="0" y="0"/>
                      <a:ext cx="247650" cy="171450"/>
                    </a:xfrm>
                    <a:prstGeom prst="rect">
                      <a:avLst/>
                    </a:prstGeom>
                  </pic:spPr>
                </pic:pic>
              </a:graphicData>
            </a:graphic>
          </wp:inline>
        </w:drawing>
      </w:r>
      <w:r>
        <w:t xml:space="preserve"> is the variance attributable to component </w:t>
      </w:r>
      <w:r>
        <w:rPr>
          <w:noProof/>
        </w:rPr>
        <w:drawing>
          <wp:inline distT="0" distB="0" distL="0" distR="0" wp14:anchorId="60F5B7B9" wp14:editId="4D961457">
            <wp:extent cx="76200" cy="142875"/>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image100035"/>
                    <pic:cNvPicPr/>
                  </pic:nvPicPr>
                  <pic:blipFill>
                    <a:blip r:embed="rId43"/>
                    <a:stretch>
                      <a:fillRect/>
                    </a:stretch>
                  </pic:blipFill>
                  <pic:spPr>
                    <a:xfrm>
                      <a:off x="0" y="0"/>
                      <a:ext cx="76200" cy="142875"/>
                    </a:xfrm>
                    <a:prstGeom prst="rect">
                      <a:avLst/>
                    </a:prstGeom>
                  </pic:spPr>
                </pic:pic>
              </a:graphicData>
            </a:graphic>
          </wp:inline>
        </w:drawing>
      </w:r>
      <w:r>
        <w:t>.</w:t>
      </w:r>
    </w:p>
    <w:p w14:paraId="6F041893" w14:textId="77777777" w:rsidR="00F84077" w:rsidRDefault="00000000">
      <w:pPr>
        <w:spacing w:after="160" w:line="276" w:lineRule="auto"/>
        <w:jc w:val="both"/>
      </w:pPr>
      <w:r>
        <w:t>The fraction of portfolio variance explained by each component — the input to every diversification measure in Section 2.3 — follows directly:</w:t>
      </w:r>
    </w:p>
    <w:p w14:paraId="0B2FBE1C" w14:textId="77777777" w:rsidR="00F84077" w:rsidRDefault="00000000">
      <w:pPr>
        <w:spacing w:before="120" w:after="120"/>
        <w:ind w:left="504"/>
        <w:jc w:val="center"/>
      </w:pPr>
      <w:r>
        <w:rPr>
          <w:noProof/>
        </w:rPr>
        <w:drawing>
          <wp:inline distT="0" distB="0" distL="0" distR="0" wp14:anchorId="1197292C" wp14:editId="6F132F1C">
            <wp:extent cx="1047750" cy="809625"/>
            <wp:effectExtent l="0" t="0" r="0" b="0"/>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pic:cNvPicPr/>
                  </pic:nvPicPr>
                  <pic:blipFill>
                    <a:blip r:embed="rId44"/>
                    <a:stretch>
                      <a:fillRect/>
                    </a:stretch>
                  </pic:blipFill>
                  <pic:spPr>
                    <a:xfrm>
                      <a:off x="0" y="0"/>
                      <a:ext cx="1047750" cy="809625"/>
                    </a:xfrm>
                    <a:prstGeom prst="rect">
                      <a:avLst/>
                    </a:prstGeom>
                  </pic:spPr>
                </pic:pic>
              </a:graphicData>
            </a:graphic>
          </wp:inline>
        </w:drawing>
      </w:r>
    </w:p>
    <w:p w14:paraId="419CF1A4" w14:textId="77777777" w:rsidR="00F84077" w:rsidRDefault="00000000">
      <w:pPr>
        <w:spacing w:after="140" w:line="276" w:lineRule="auto"/>
        <w:jc w:val="both"/>
      </w:pPr>
      <w:r>
        <w:t xml:space="preserve">The distribution of </w:t>
      </w:r>
      <w:r>
        <w:rPr>
          <w:noProof/>
        </w:rPr>
        <w:drawing>
          <wp:inline distT="0" distB="0" distL="0" distR="0" wp14:anchorId="4E0332DE" wp14:editId="6BC3457D">
            <wp:extent cx="142875" cy="142875"/>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pic:cNvPicPr/>
                  </pic:nvPicPr>
                  <pic:blipFill>
                    <a:blip r:embed="rId45"/>
                    <a:stretch>
                      <a:fillRect/>
                    </a:stretch>
                  </pic:blipFill>
                  <pic:spPr>
                    <a:xfrm>
                      <a:off x="0" y="0"/>
                      <a:ext cx="142875" cy="142875"/>
                    </a:xfrm>
                    <a:prstGeom prst="rect">
                      <a:avLst/>
                    </a:prstGeom>
                  </pic:spPr>
                </pic:pic>
              </a:graphicData>
            </a:graphic>
          </wp:inline>
        </w:drawing>
      </w:r>
      <w:r>
        <w:t xml:space="preserve"> across components is what Section 2.3's three measures each summarize in a different way.</w:t>
      </w:r>
    </w:p>
    <w:p w14:paraId="3CEF06A2" w14:textId="77777777" w:rsidR="00F84077" w:rsidRDefault="00F84077">
      <w:pPr>
        <w:pageBreakBefore/>
      </w:pPr>
    </w:p>
    <w:p w14:paraId="38DE3777" w14:textId="77777777" w:rsidR="00F84077" w:rsidRDefault="00000000">
      <w:pPr>
        <w:pStyle w:val="Heading1"/>
        <w:spacing w:before="260" w:after="120"/>
      </w:pPr>
      <w:r>
        <w:rPr>
          <w:b/>
          <w:bCs/>
          <w:color w:val="000000"/>
          <w:sz w:val="27"/>
          <w:szCs w:val="27"/>
        </w:rPr>
        <w:t>Appendix C. Portfolio construction methods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00"/>
        <w:gridCol w:w="2250"/>
        <w:gridCol w:w="1300"/>
        <w:gridCol w:w="1500"/>
      </w:tblGrid>
      <w:tr w:rsidR="00F84077" w14:paraId="3C4CD7A6" w14:textId="77777777">
        <w:tblPrEx>
          <w:tblCellMar>
            <w:top w:w="0" w:type="dxa"/>
            <w:bottom w:w="0" w:type="dxa"/>
          </w:tblCellMar>
        </w:tblPrEx>
        <w:trPr>
          <w:tblHeader/>
        </w:trPr>
        <w:tc>
          <w:tcPr>
            <w:tcW w:w="15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0029610" w14:textId="77777777" w:rsidR="00F84077" w:rsidRDefault="00000000">
            <w:pPr>
              <w:jc w:val="center"/>
            </w:pPr>
            <w:r>
              <w:rPr>
                <w:b/>
                <w:bCs/>
                <w:sz w:val="18"/>
                <w:szCs w:val="18"/>
              </w:rPr>
              <w:t>Portfolio</w:t>
            </w:r>
          </w:p>
        </w:tc>
        <w:tc>
          <w:tcPr>
            <w:tcW w:w="15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3E43C8BE" w14:textId="77777777" w:rsidR="00F84077" w:rsidRDefault="00000000">
            <w:pPr>
              <w:jc w:val="center"/>
            </w:pPr>
            <w:r>
              <w:rPr>
                <w:b/>
                <w:bCs/>
                <w:sz w:val="18"/>
                <w:szCs w:val="18"/>
              </w:rPr>
              <w:t>Objective function</w:t>
            </w:r>
          </w:p>
        </w:tc>
        <w:tc>
          <w:tcPr>
            <w:tcW w:w="225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4978EE33" w14:textId="77777777" w:rsidR="00F84077" w:rsidRDefault="00000000">
            <w:pPr>
              <w:jc w:val="center"/>
            </w:pPr>
            <w:r>
              <w:rPr>
                <w:b/>
                <w:bCs/>
                <w:sz w:val="18"/>
                <w:szCs w:val="18"/>
              </w:rPr>
              <w:t>Intuition</w:t>
            </w:r>
          </w:p>
        </w:tc>
        <w:tc>
          <w:tcPr>
            <w:tcW w:w="13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3F56F7D0" w14:textId="77777777" w:rsidR="00F84077" w:rsidRDefault="00000000">
            <w:pPr>
              <w:jc w:val="center"/>
            </w:pPr>
            <w:r>
              <w:rPr>
                <w:b/>
                <w:bCs/>
                <w:sz w:val="18"/>
                <w:szCs w:val="18"/>
              </w:rPr>
              <w:t>Solver</w:t>
            </w:r>
          </w:p>
        </w:tc>
        <w:tc>
          <w:tcPr>
            <w:tcW w:w="1500" w:type="dxa"/>
            <w:tcBorders>
              <w:top w:val="single" w:sz="4" w:space="0" w:color="BFBFBF"/>
              <w:left w:val="single" w:sz="4" w:space="0" w:color="BFBFBF"/>
              <w:bottom w:val="single" w:sz="4" w:space="0" w:color="BFBFBF"/>
              <w:right w:val="single" w:sz="4" w:space="0" w:color="BFBFBF"/>
            </w:tcBorders>
            <w:shd w:val="clear" w:color="auto" w:fill="CAEDFB"/>
            <w:tcMar>
              <w:top w:w="40" w:type="dxa"/>
              <w:left w:w="80" w:type="dxa"/>
              <w:bottom w:w="40" w:type="dxa"/>
              <w:right w:w="80" w:type="dxa"/>
            </w:tcMar>
            <w:vAlign w:val="center"/>
          </w:tcPr>
          <w:p w14:paraId="066DC5E0" w14:textId="77777777" w:rsidR="00F84077" w:rsidRDefault="00000000">
            <w:pPr>
              <w:jc w:val="center"/>
            </w:pPr>
            <w:r>
              <w:rPr>
                <w:b/>
                <w:bCs/>
                <w:sz w:val="18"/>
                <w:szCs w:val="18"/>
              </w:rPr>
              <w:t>Constraints</w:t>
            </w:r>
          </w:p>
        </w:tc>
      </w:tr>
      <w:tr w:rsidR="00F84077" w14:paraId="5C955E85"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F9DAC3" w14:textId="77777777" w:rsidR="00F84077" w:rsidRDefault="00000000">
            <w:r>
              <w:rPr>
                <w:b/>
                <w:bCs/>
                <w:sz w:val="18"/>
                <w:szCs w:val="18"/>
              </w:rPr>
              <w:t>Equal weight</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4A546B" w14:textId="77777777" w:rsidR="00F84077" w:rsidRDefault="00000000">
            <w:pPr>
              <w:jc w:val="center"/>
            </w:pPr>
            <w:r>
              <w:rPr>
                <w:sz w:val="18"/>
                <w:szCs w:val="18"/>
              </w:rPr>
              <w:t>wᵢ = 1/N</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4953DCC" w14:textId="77777777" w:rsidR="00F84077" w:rsidRDefault="00000000">
            <w:pPr>
              <w:jc w:val="center"/>
            </w:pPr>
            <w:r>
              <w:rPr>
                <w:sz w:val="18"/>
                <w:szCs w:val="18"/>
              </w:rPr>
              <w:t>Naive diversification benchmark; no optimization.</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70AC66" w14:textId="77777777" w:rsidR="00F84077" w:rsidRDefault="00000000">
            <w:pPr>
              <w:jc w:val="center"/>
            </w:pPr>
            <w:r>
              <w:rPr>
                <w:sz w:val="18"/>
                <w:szCs w:val="18"/>
              </w:rPr>
              <w:t>Closed form</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92B779" w14:textId="77777777" w:rsidR="00F84077" w:rsidRDefault="00000000">
            <w:pPr>
              <w:jc w:val="center"/>
            </w:pPr>
            <w:proofErr w:type="spellStart"/>
            <w:r>
              <w:rPr>
                <w:sz w:val="18"/>
                <w:szCs w:val="18"/>
              </w:rPr>
              <w:t>Σw</w:t>
            </w:r>
            <w:proofErr w:type="spellEnd"/>
            <w:r>
              <w:rPr>
                <w:sz w:val="18"/>
                <w:szCs w:val="18"/>
              </w:rPr>
              <w:t>=1, w≥0</w:t>
            </w:r>
          </w:p>
        </w:tc>
      </w:tr>
      <w:tr w:rsidR="00F84077" w14:paraId="28AA3020"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957EBAE" w14:textId="77777777" w:rsidR="00F84077" w:rsidRDefault="00000000">
            <w:r>
              <w:rPr>
                <w:b/>
                <w:bCs/>
                <w:sz w:val="18"/>
                <w:szCs w:val="18"/>
              </w:rPr>
              <w:t>Cap weighted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CF96A78" w14:textId="77777777" w:rsidR="00F84077" w:rsidRDefault="00000000">
            <w:pPr>
              <w:jc w:val="center"/>
            </w:pPr>
            <w:r>
              <w:rPr>
                <w:sz w:val="18"/>
                <w:szCs w:val="18"/>
              </w:rPr>
              <w:t>wᵢ ∝ market cap</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7766BE4" w14:textId="77777777" w:rsidR="00F84077" w:rsidRDefault="00000000">
            <w:pPr>
              <w:jc w:val="center"/>
            </w:pPr>
            <w:r>
              <w:rPr>
                <w:sz w:val="18"/>
                <w:szCs w:val="18"/>
              </w:rPr>
              <w:t>Passive, investable market benchmark.</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515CBB0" w14:textId="77777777" w:rsidR="00F84077" w:rsidRDefault="00000000">
            <w:pPr>
              <w:jc w:val="center"/>
            </w:pPr>
            <w:r>
              <w:rPr>
                <w:sz w:val="18"/>
                <w:szCs w:val="18"/>
              </w:rPr>
              <w:t>Closed form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034122D" w14:textId="77777777" w:rsidR="00F84077" w:rsidRDefault="00000000">
            <w:pPr>
              <w:jc w:val="center"/>
            </w:pPr>
            <w:proofErr w:type="spellStart"/>
            <w:r>
              <w:rPr>
                <w:sz w:val="18"/>
                <w:szCs w:val="18"/>
              </w:rPr>
              <w:t>Σw</w:t>
            </w:r>
            <w:proofErr w:type="spellEnd"/>
            <w:r>
              <w:rPr>
                <w:sz w:val="18"/>
                <w:szCs w:val="18"/>
              </w:rPr>
              <w:t>=1, w≥0</w:t>
            </w:r>
          </w:p>
        </w:tc>
      </w:tr>
      <w:tr w:rsidR="00F84077" w14:paraId="503AFBA9"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05050F" w14:textId="77777777" w:rsidR="00F84077" w:rsidRDefault="00000000">
            <w:r>
              <w:rPr>
                <w:b/>
                <w:bCs/>
                <w:sz w:val="18"/>
                <w:szCs w:val="18"/>
              </w:rPr>
              <w:t>Minimum variance</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9FC439" w14:textId="77777777" w:rsidR="00F84077" w:rsidRDefault="00000000">
            <w:pPr>
              <w:jc w:val="center"/>
            </w:pPr>
            <w:r>
              <w:rPr>
                <w:sz w:val="18"/>
                <w:szCs w:val="18"/>
              </w:rPr>
              <w:t xml:space="preserve">min </w:t>
            </w:r>
            <w:proofErr w:type="spellStart"/>
            <w:r>
              <w:rPr>
                <w:sz w:val="18"/>
                <w:szCs w:val="18"/>
              </w:rPr>
              <w:t>wᵀΣw</w:t>
            </w:r>
            <w:proofErr w:type="spellEnd"/>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37AC40" w14:textId="77777777" w:rsidR="00F84077" w:rsidRDefault="00000000">
            <w:pPr>
              <w:jc w:val="center"/>
            </w:pPr>
            <w:r>
              <w:rPr>
                <w:sz w:val="18"/>
                <w:szCs w:val="18"/>
              </w:rPr>
              <w:t>Lowest variance given the estimated covariance; tends to concentrate on low-vol, low-correlation names.</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5D80284" w14:textId="77777777" w:rsidR="00F84077" w:rsidRDefault="00000000">
            <w:pPr>
              <w:jc w:val="center"/>
            </w:pPr>
            <w:r>
              <w:rPr>
                <w:sz w:val="18"/>
                <w:szCs w:val="18"/>
              </w:rPr>
              <w:t>Convex QP (OSQP)</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E57809" w14:textId="77777777" w:rsidR="00F84077" w:rsidRDefault="00000000">
            <w:pPr>
              <w:jc w:val="center"/>
            </w:pPr>
            <w:proofErr w:type="spellStart"/>
            <w:r>
              <w:rPr>
                <w:sz w:val="18"/>
                <w:szCs w:val="18"/>
              </w:rPr>
              <w:t>Σw</w:t>
            </w:r>
            <w:proofErr w:type="spellEnd"/>
            <w:r>
              <w:rPr>
                <w:sz w:val="18"/>
                <w:szCs w:val="18"/>
              </w:rPr>
              <w:t>=1, w≥0</w:t>
            </w:r>
          </w:p>
        </w:tc>
      </w:tr>
      <w:tr w:rsidR="00F84077" w14:paraId="2F814169"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1D56F1F" w14:textId="77777777" w:rsidR="00F84077" w:rsidRDefault="00000000">
            <w:r>
              <w:rPr>
                <w:b/>
                <w:bCs/>
                <w:sz w:val="18"/>
                <w:szCs w:val="18"/>
              </w:rPr>
              <w:t>Equal risk contribution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4149AE0" w14:textId="77777777" w:rsidR="00F84077" w:rsidRDefault="00000000">
            <w:pPr>
              <w:jc w:val="center"/>
            </w:pPr>
            <w:r>
              <w:rPr>
                <w:sz w:val="18"/>
                <w:szCs w:val="18"/>
              </w:rPr>
              <w:t xml:space="preserve">min ½wᵀΣw − </w:t>
            </w:r>
            <w:proofErr w:type="spellStart"/>
            <w:r>
              <w:rPr>
                <w:sz w:val="18"/>
                <w:szCs w:val="18"/>
              </w:rPr>
              <w:t>Σᵢlog</w:t>
            </w:r>
            <w:proofErr w:type="spellEnd"/>
            <w:r>
              <w:rPr>
                <w:sz w:val="18"/>
                <w:szCs w:val="18"/>
              </w:rPr>
              <w:t>(wᵢ)</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586806F" w14:textId="77777777" w:rsidR="00F84077" w:rsidRDefault="00000000">
            <w:pPr>
              <w:jc w:val="center"/>
            </w:pPr>
            <w:r>
              <w:rPr>
                <w:sz w:val="18"/>
                <w:szCs w:val="18"/>
              </w:rPr>
              <w:t>Every asset contributes equally to total variance.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3F9F2E0" w14:textId="77777777" w:rsidR="00F84077" w:rsidRDefault="00000000">
            <w:pPr>
              <w:jc w:val="center"/>
            </w:pPr>
            <w:r>
              <w:rPr>
                <w:sz w:val="18"/>
                <w:szCs w:val="18"/>
              </w:rPr>
              <w:t>Damped Newton (Spinu, 2013)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6E738F7" w14:textId="77777777" w:rsidR="00F84077" w:rsidRDefault="00000000">
            <w:pPr>
              <w:jc w:val="center"/>
            </w:pPr>
            <w:proofErr w:type="spellStart"/>
            <w:r>
              <w:rPr>
                <w:sz w:val="18"/>
                <w:szCs w:val="18"/>
              </w:rPr>
              <w:t>Σw</w:t>
            </w:r>
            <w:proofErr w:type="spellEnd"/>
            <w:r>
              <w:rPr>
                <w:sz w:val="18"/>
                <w:szCs w:val="18"/>
              </w:rPr>
              <w:t>=1, w&gt;0</w:t>
            </w:r>
          </w:p>
        </w:tc>
      </w:tr>
      <w:tr w:rsidR="00F84077" w14:paraId="6EA07BE8" w14:textId="77777777">
        <w:tblPrEx>
          <w:tblCellMar>
            <w:top w:w="0" w:type="dxa"/>
            <w:bottom w:w="0" w:type="dxa"/>
          </w:tblCellMar>
        </w:tblPrEx>
        <w:tc>
          <w:tcPr>
            <w:tcW w:w="15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CB71F48" w14:textId="77777777" w:rsidR="00F84077" w:rsidRDefault="00000000">
            <w:r>
              <w:rPr>
                <w:b/>
                <w:bCs/>
                <w:sz w:val="18"/>
                <w:szCs w:val="18"/>
              </w:rPr>
              <w:t>Maximum diversification</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37C13B" w14:textId="77777777" w:rsidR="00F84077" w:rsidRDefault="00000000">
            <w:pPr>
              <w:jc w:val="center"/>
            </w:pPr>
            <w:r>
              <w:rPr>
                <w:sz w:val="18"/>
                <w:szCs w:val="18"/>
              </w:rPr>
              <w:t>max (</w:t>
            </w:r>
            <w:proofErr w:type="spellStart"/>
            <w:r>
              <w:rPr>
                <w:sz w:val="18"/>
                <w:szCs w:val="18"/>
              </w:rPr>
              <w:t>wᵀσ</w:t>
            </w:r>
            <w:proofErr w:type="spellEnd"/>
            <w:r>
              <w:rPr>
                <w:sz w:val="18"/>
                <w:szCs w:val="18"/>
              </w:rPr>
              <w:t>)/√(</w:t>
            </w:r>
            <w:proofErr w:type="spellStart"/>
            <w:r>
              <w:rPr>
                <w:sz w:val="18"/>
                <w:szCs w:val="18"/>
              </w:rPr>
              <w:t>wᵀΣw</w:t>
            </w:r>
            <w:proofErr w:type="spellEnd"/>
            <w:r>
              <w:rPr>
                <w:sz w:val="18"/>
                <w:szCs w:val="18"/>
              </w:rPr>
              <w:t>)</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FCD77D" w14:textId="77777777" w:rsidR="00F84077" w:rsidRDefault="00000000">
            <w:pPr>
              <w:jc w:val="center"/>
            </w:pPr>
            <w:r>
              <w:rPr>
                <w:sz w:val="18"/>
                <w:szCs w:val="18"/>
              </w:rPr>
              <w:t>Maximizes weighted-avg volatility over portfolio volatility; rewards low average correlation.</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E3B532" w14:textId="77777777" w:rsidR="00F84077" w:rsidRDefault="00000000">
            <w:pPr>
              <w:jc w:val="center"/>
            </w:pPr>
            <w:r>
              <w:rPr>
                <w:sz w:val="18"/>
                <w:szCs w:val="18"/>
              </w:rPr>
              <w:t>Convex QP on correlation matrix</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AB1062" w14:textId="77777777" w:rsidR="00F84077" w:rsidRDefault="00000000">
            <w:pPr>
              <w:jc w:val="center"/>
            </w:pPr>
            <w:proofErr w:type="spellStart"/>
            <w:r>
              <w:rPr>
                <w:sz w:val="18"/>
                <w:szCs w:val="18"/>
              </w:rPr>
              <w:t>Σu</w:t>
            </w:r>
            <w:proofErr w:type="spellEnd"/>
            <w:r>
              <w:rPr>
                <w:sz w:val="18"/>
                <w:szCs w:val="18"/>
              </w:rPr>
              <w:t>=1, u≥0</w:t>
            </w:r>
          </w:p>
        </w:tc>
      </w:tr>
    </w:tbl>
    <w:p w14:paraId="1DBE5A3C" w14:textId="77777777" w:rsidR="00F84077" w:rsidRDefault="00000000">
      <w:pPr>
        <w:spacing w:after="160" w:line="276" w:lineRule="auto"/>
        <w:jc w:val="both"/>
      </w:pPr>
      <w:r>
        <w:t>Final weights for the three optimized methods are the trailing 20-day average of the daily solution, to reduce turnover and smooth the portfolio weights.</w:t>
      </w:r>
    </w:p>
    <w:p w14:paraId="2A98794E" w14:textId="77777777" w:rsidR="00F84077" w:rsidRDefault="00000000">
      <w:pPr>
        <w:pStyle w:val="Heading1"/>
        <w:spacing w:before="260" w:after="120"/>
      </w:pPr>
      <w:r>
        <w:rPr>
          <w:b/>
          <w:bCs/>
          <w:color w:val="000000"/>
          <w:sz w:val="27"/>
          <w:szCs w:val="27"/>
        </w:rPr>
        <w:t>Appendix D. Portfolio holdings through the full sample</w:t>
      </w:r>
    </w:p>
    <w:p w14:paraId="36726015" w14:textId="77777777" w:rsidR="00F84077" w:rsidRDefault="00000000">
      <w:pPr>
        <w:spacing w:after="160" w:line="276" w:lineRule="auto"/>
        <w:jc w:val="both"/>
      </w:pPr>
      <w:r>
        <w:t>Equal-weight, cap-weight, and ERC hold (near enough) all 500 names in the estimation universe every day, by construction. Minimum variance and maximum diversification are unconstrained in how many names they hold beyond long-only and full-investment, and in practice concentrate heavily: across the full sample, the minimum-variance portfolio's holdings count (non-trivial weight &gt; 1e-6) ranges from as few as 12 names (14–20 October 2011) to as many as 494 (March–April 2012 and May 2020).</w:t>
      </w:r>
    </w:p>
    <w:p w14:paraId="5CDCC8B0" w14:textId="77777777" w:rsidR="00F84077" w:rsidRDefault="00000000">
      <w:pPr>
        <w:spacing w:after="160" w:line="276" w:lineRule="auto"/>
        <w:jc w:val="both"/>
      </w:pPr>
      <w:r>
        <w:t xml:space="preserve">Holdings count and market-wide concentration are only weakly related: the correlation between the number of names held and PC1's share of total variance is just 0.10 across the full sample. Both the most spread-out dates (494 names) and the most concentrated dates (12 names) coincide with a similarly elevated PC1 share (~0.52–0.53). The optimizer's holdings count on a given day is driven by the detailed shape of the correlation structure, not simply by how dominant the market factor is that day. This is also why, as the case studies in Section 5 and Appendix E show, a </w:t>
      </w:r>
      <w:proofErr w:type="gramStart"/>
      <w:r>
        <w:t>shrinking holdings</w:t>
      </w:r>
      <w:proofErr w:type="gramEnd"/>
      <w:r>
        <w:t xml:space="preserve"> count and a falling ENB move together only around the initial shock: during recovery the two decouple, and a smaller, better-chosen set of names can register as more diversified than a larger, noisier one.</w:t>
      </w:r>
    </w:p>
    <w:p w14:paraId="1D0BF795" w14:textId="77777777" w:rsidR="00F84077" w:rsidRDefault="00F84077">
      <w:pPr>
        <w:pageBreakBefore/>
      </w:pPr>
    </w:p>
    <w:p w14:paraId="6F25DB54" w14:textId="77777777" w:rsidR="00F84077" w:rsidRDefault="00000000">
      <w:pPr>
        <w:pStyle w:val="Heading1"/>
        <w:spacing w:before="260" w:after="120"/>
      </w:pPr>
      <w:r>
        <w:rPr>
          <w:b/>
          <w:bCs/>
          <w:color w:val="000000"/>
          <w:sz w:val="27"/>
          <w:szCs w:val="27"/>
        </w:rPr>
        <w:t>Appendix E. Supplementary period-analysis charts</w:t>
      </w:r>
    </w:p>
    <w:p w14:paraId="1A5C1B4E" w14:textId="77777777" w:rsidR="00F84077" w:rsidRDefault="00000000">
      <w:pPr>
        <w:spacing w:after="160" w:line="276" w:lineRule="auto"/>
        <w:jc w:val="both"/>
      </w:pPr>
      <w:r>
        <w:t>Full-resolution charts supporting the three case studies in Section 5: diversification measures through the episode, the universe-level absorption ratio against the optimized portfolios' ENB, and the minimum-variance portfolio's holdings count: the same three-chart battery for each episode.</w:t>
      </w:r>
    </w:p>
    <w:p w14:paraId="5A90477E" w14:textId="77777777" w:rsidR="00F84077" w:rsidRDefault="00000000">
      <w:pPr>
        <w:pStyle w:val="Heading2"/>
        <w:spacing w:before="200" w:after="90"/>
      </w:pPr>
      <w:r>
        <w:rPr>
          <w:b/>
          <w:bCs/>
          <w:color w:val="000000"/>
          <w:sz w:val="23"/>
          <w:szCs w:val="23"/>
        </w:rPr>
        <w:t>E.1 Global Financial Crisis</w:t>
      </w:r>
    </w:p>
    <w:p w14:paraId="6C13838A" w14:textId="77777777" w:rsidR="00F84077" w:rsidRDefault="00000000">
      <w:pPr>
        <w:spacing w:after="60"/>
        <w:jc w:val="center"/>
      </w:pPr>
      <w:r>
        <w:rPr>
          <w:noProof/>
        </w:rPr>
        <w:drawing>
          <wp:inline distT="0" distB="0" distL="0" distR="0" wp14:anchorId="3D4DBA41" wp14:editId="69EF3464">
            <wp:extent cx="5762625" cy="5238750"/>
            <wp:effectExtent l="0" t="0" r="0" b="0"/>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pic:cNvPicPr/>
                  </pic:nvPicPr>
                  <pic:blipFill>
                    <a:blip r:embed="rId46"/>
                    <a:stretch>
                      <a:fillRect/>
                    </a:stretch>
                  </pic:blipFill>
                  <pic:spPr>
                    <a:xfrm>
                      <a:off x="0" y="0"/>
                      <a:ext cx="5762625" cy="5238750"/>
                    </a:xfrm>
                    <a:prstGeom prst="rect">
                      <a:avLst/>
                    </a:prstGeom>
                  </pic:spPr>
                </pic:pic>
              </a:graphicData>
            </a:graphic>
          </wp:inline>
        </w:drawing>
      </w:r>
    </w:p>
    <w:p w14:paraId="43AA2C02" w14:textId="77777777" w:rsidR="00F84077" w:rsidRDefault="00000000">
      <w:pPr>
        <w:spacing w:after="200"/>
        <w:jc w:val="center"/>
      </w:pPr>
      <w:r>
        <w:rPr>
          <w:i/>
          <w:iCs/>
          <w:sz w:val="18"/>
          <w:szCs w:val="18"/>
        </w:rPr>
        <w:t>Figure E1. Diversification measures around the 2008 GFC (dashed line: Lehman collapse, 15 Sep 2008).</w:t>
      </w:r>
    </w:p>
    <w:p w14:paraId="726731B3" w14:textId="77777777" w:rsidR="00F84077" w:rsidRDefault="00000000">
      <w:pPr>
        <w:spacing w:after="60"/>
        <w:jc w:val="center"/>
      </w:pPr>
      <w:r>
        <w:rPr>
          <w:noProof/>
        </w:rPr>
        <w:lastRenderedPageBreak/>
        <w:drawing>
          <wp:inline distT="0" distB="0" distL="0" distR="0" wp14:anchorId="18B9C5EF" wp14:editId="29EB20FE">
            <wp:extent cx="5762625" cy="2371725"/>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image100039"/>
                    <pic:cNvPicPr/>
                  </pic:nvPicPr>
                  <pic:blipFill>
                    <a:blip r:embed="rId47"/>
                    <a:stretch>
                      <a:fillRect/>
                    </a:stretch>
                  </pic:blipFill>
                  <pic:spPr>
                    <a:xfrm>
                      <a:off x="0" y="0"/>
                      <a:ext cx="5762625" cy="2371725"/>
                    </a:xfrm>
                    <a:prstGeom prst="rect">
                      <a:avLst/>
                    </a:prstGeom>
                  </pic:spPr>
                </pic:pic>
              </a:graphicData>
            </a:graphic>
          </wp:inline>
        </w:drawing>
      </w:r>
    </w:p>
    <w:p w14:paraId="7BEA8C38" w14:textId="77777777" w:rsidR="00F84077" w:rsidRDefault="00000000">
      <w:pPr>
        <w:spacing w:after="200"/>
        <w:jc w:val="center"/>
      </w:pPr>
      <w:r>
        <w:rPr>
          <w:i/>
          <w:iCs/>
          <w:sz w:val="18"/>
          <w:szCs w:val="18"/>
        </w:rPr>
        <w:t>Figure E2. Minimum-variance / maximum-diversification ENB vs. absorption ratio, GFC.</w:t>
      </w:r>
    </w:p>
    <w:p w14:paraId="70124BA2" w14:textId="77777777" w:rsidR="00F84077" w:rsidRDefault="00000000">
      <w:pPr>
        <w:spacing w:after="60"/>
        <w:jc w:val="center"/>
      </w:pPr>
      <w:r>
        <w:rPr>
          <w:noProof/>
        </w:rPr>
        <w:drawing>
          <wp:inline distT="0" distB="0" distL="0" distR="0" wp14:anchorId="3C5D6878" wp14:editId="667DA646">
            <wp:extent cx="5762625" cy="1885950"/>
            <wp:effectExtent l="0" t="0" r="0" b="0"/>
            <wp:docPr id="100040" name="Picture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image100040"/>
                    <pic:cNvPicPr/>
                  </pic:nvPicPr>
                  <pic:blipFill>
                    <a:blip r:embed="rId48"/>
                    <a:stretch>
                      <a:fillRect/>
                    </a:stretch>
                  </pic:blipFill>
                  <pic:spPr>
                    <a:xfrm>
                      <a:off x="0" y="0"/>
                      <a:ext cx="5762625" cy="1885950"/>
                    </a:xfrm>
                    <a:prstGeom prst="rect">
                      <a:avLst/>
                    </a:prstGeom>
                  </pic:spPr>
                </pic:pic>
              </a:graphicData>
            </a:graphic>
          </wp:inline>
        </w:drawing>
      </w:r>
    </w:p>
    <w:p w14:paraId="08EC7978" w14:textId="77777777" w:rsidR="00F84077" w:rsidRDefault="00000000">
      <w:pPr>
        <w:spacing w:after="200"/>
        <w:jc w:val="center"/>
      </w:pPr>
      <w:r>
        <w:rPr>
          <w:i/>
          <w:iCs/>
          <w:sz w:val="18"/>
          <w:szCs w:val="18"/>
        </w:rPr>
        <w:t>Figure E3. Minimum-variance portfolio: number of names held around the GFC.</w:t>
      </w:r>
    </w:p>
    <w:p w14:paraId="72FCAE8F" w14:textId="77777777" w:rsidR="00F84077" w:rsidRDefault="00000000">
      <w:pPr>
        <w:spacing w:after="60"/>
        <w:jc w:val="center"/>
      </w:pPr>
      <w:r>
        <w:rPr>
          <w:noProof/>
        </w:rPr>
        <w:drawing>
          <wp:inline distT="0" distB="0" distL="0" distR="0" wp14:anchorId="7D60ADBB" wp14:editId="00F5EB21">
            <wp:extent cx="5762625" cy="2590800"/>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image100041"/>
                    <pic:cNvPicPr/>
                  </pic:nvPicPr>
                  <pic:blipFill>
                    <a:blip r:embed="rId49"/>
                    <a:stretch>
                      <a:fillRect/>
                    </a:stretch>
                  </pic:blipFill>
                  <pic:spPr>
                    <a:xfrm>
                      <a:off x="0" y="0"/>
                      <a:ext cx="5762625" cy="2590800"/>
                    </a:xfrm>
                    <a:prstGeom prst="rect">
                      <a:avLst/>
                    </a:prstGeom>
                  </pic:spPr>
                </pic:pic>
              </a:graphicData>
            </a:graphic>
          </wp:inline>
        </w:drawing>
      </w:r>
    </w:p>
    <w:p w14:paraId="62C1861A" w14:textId="77777777" w:rsidR="00F84077" w:rsidRDefault="00000000">
      <w:pPr>
        <w:spacing w:after="200"/>
        <w:jc w:val="center"/>
      </w:pPr>
      <w:r>
        <w:rPr>
          <w:i/>
          <w:iCs/>
          <w:sz w:val="18"/>
          <w:szCs w:val="18"/>
        </w:rPr>
        <w:t>Figure E4. Event study: entropy-based ENB around the Lehman collapse (t = 0 → 100).</w:t>
      </w:r>
    </w:p>
    <w:p w14:paraId="354291B3" w14:textId="77777777" w:rsidR="00F84077" w:rsidRDefault="00F84077">
      <w:pPr>
        <w:pageBreakBefore/>
      </w:pPr>
    </w:p>
    <w:p w14:paraId="55DC5C57" w14:textId="77777777" w:rsidR="00F84077" w:rsidRDefault="00000000">
      <w:pPr>
        <w:pStyle w:val="Heading2"/>
        <w:spacing w:before="200" w:after="90"/>
      </w:pPr>
      <w:r>
        <w:rPr>
          <w:b/>
          <w:bCs/>
          <w:color w:val="000000"/>
          <w:sz w:val="23"/>
          <w:szCs w:val="23"/>
        </w:rPr>
        <w:t>E.2 COVID-19 crash</w:t>
      </w:r>
    </w:p>
    <w:p w14:paraId="01CF470F" w14:textId="77777777" w:rsidR="00F84077" w:rsidRDefault="00000000">
      <w:pPr>
        <w:spacing w:after="60"/>
        <w:jc w:val="center"/>
      </w:pPr>
      <w:r>
        <w:rPr>
          <w:noProof/>
        </w:rPr>
        <w:drawing>
          <wp:inline distT="0" distB="0" distL="0" distR="0" wp14:anchorId="7549FEC4" wp14:editId="32BFA4BC">
            <wp:extent cx="5762625" cy="5238750"/>
            <wp:effectExtent l="0" t="0" r="0" b="0"/>
            <wp:docPr id="100042" name="Picture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image100042"/>
                    <pic:cNvPicPr/>
                  </pic:nvPicPr>
                  <pic:blipFill>
                    <a:blip r:embed="rId50"/>
                    <a:stretch>
                      <a:fillRect/>
                    </a:stretch>
                  </pic:blipFill>
                  <pic:spPr>
                    <a:xfrm>
                      <a:off x="0" y="0"/>
                      <a:ext cx="5762625" cy="5238750"/>
                    </a:xfrm>
                    <a:prstGeom prst="rect">
                      <a:avLst/>
                    </a:prstGeom>
                  </pic:spPr>
                </pic:pic>
              </a:graphicData>
            </a:graphic>
          </wp:inline>
        </w:drawing>
      </w:r>
    </w:p>
    <w:p w14:paraId="07E5A893" w14:textId="77777777" w:rsidR="00F84077" w:rsidRDefault="00000000">
      <w:pPr>
        <w:spacing w:after="200"/>
        <w:jc w:val="center"/>
      </w:pPr>
      <w:r>
        <w:rPr>
          <w:i/>
          <w:iCs/>
          <w:sz w:val="18"/>
          <w:szCs w:val="18"/>
        </w:rPr>
        <w:t>Figure E5. Diversification measures around the COVID-19 crash (dashed line: WHO pandemic declaration, 11 Mar 2020).</w:t>
      </w:r>
    </w:p>
    <w:p w14:paraId="1080C3A2" w14:textId="77777777" w:rsidR="00F84077" w:rsidRDefault="00000000">
      <w:pPr>
        <w:spacing w:after="60"/>
        <w:jc w:val="center"/>
      </w:pPr>
      <w:r>
        <w:rPr>
          <w:noProof/>
        </w:rPr>
        <w:drawing>
          <wp:inline distT="0" distB="0" distL="0" distR="0" wp14:anchorId="7D1F8527" wp14:editId="3D442699">
            <wp:extent cx="5762625" cy="2371725"/>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image100043"/>
                    <pic:cNvPicPr/>
                  </pic:nvPicPr>
                  <pic:blipFill>
                    <a:blip r:embed="rId51"/>
                    <a:stretch>
                      <a:fillRect/>
                    </a:stretch>
                  </pic:blipFill>
                  <pic:spPr>
                    <a:xfrm>
                      <a:off x="0" y="0"/>
                      <a:ext cx="5762625" cy="2371725"/>
                    </a:xfrm>
                    <a:prstGeom prst="rect">
                      <a:avLst/>
                    </a:prstGeom>
                  </pic:spPr>
                </pic:pic>
              </a:graphicData>
            </a:graphic>
          </wp:inline>
        </w:drawing>
      </w:r>
    </w:p>
    <w:p w14:paraId="36DDD91D" w14:textId="77777777" w:rsidR="00F84077" w:rsidRDefault="00000000">
      <w:pPr>
        <w:spacing w:after="200"/>
        <w:jc w:val="center"/>
      </w:pPr>
      <w:r>
        <w:rPr>
          <w:i/>
          <w:iCs/>
          <w:sz w:val="18"/>
          <w:szCs w:val="18"/>
        </w:rPr>
        <w:t>Figure E6. Minimum-variance / maximum-diversification ENB vs. absorption ratio, COVID-19.</w:t>
      </w:r>
    </w:p>
    <w:p w14:paraId="77DEEBC3" w14:textId="77777777" w:rsidR="00F84077" w:rsidRDefault="00000000">
      <w:pPr>
        <w:spacing w:after="60"/>
        <w:jc w:val="center"/>
      </w:pPr>
      <w:r>
        <w:rPr>
          <w:noProof/>
        </w:rPr>
        <w:lastRenderedPageBreak/>
        <w:drawing>
          <wp:inline distT="0" distB="0" distL="0" distR="0" wp14:anchorId="7A8997F7" wp14:editId="0B97DD83">
            <wp:extent cx="5762625" cy="1885950"/>
            <wp:effectExtent l="0" t="0" r="0" b="0"/>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image100044"/>
                    <pic:cNvPicPr/>
                  </pic:nvPicPr>
                  <pic:blipFill>
                    <a:blip r:embed="rId52"/>
                    <a:stretch>
                      <a:fillRect/>
                    </a:stretch>
                  </pic:blipFill>
                  <pic:spPr>
                    <a:xfrm>
                      <a:off x="0" y="0"/>
                      <a:ext cx="5762625" cy="1885950"/>
                    </a:xfrm>
                    <a:prstGeom prst="rect">
                      <a:avLst/>
                    </a:prstGeom>
                  </pic:spPr>
                </pic:pic>
              </a:graphicData>
            </a:graphic>
          </wp:inline>
        </w:drawing>
      </w:r>
    </w:p>
    <w:p w14:paraId="3E077F3E" w14:textId="77777777" w:rsidR="00F84077" w:rsidRDefault="00000000">
      <w:pPr>
        <w:spacing w:after="200"/>
        <w:jc w:val="center"/>
      </w:pPr>
      <w:r>
        <w:rPr>
          <w:i/>
          <w:iCs/>
          <w:sz w:val="18"/>
          <w:szCs w:val="18"/>
        </w:rPr>
        <w:t>Figure E7. Minimum-variance portfolio: number of names held around the COVID-19 crash.</w:t>
      </w:r>
    </w:p>
    <w:p w14:paraId="40A93A7A" w14:textId="77777777" w:rsidR="00F84077" w:rsidRDefault="00000000">
      <w:pPr>
        <w:spacing w:after="60"/>
        <w:jc w:val="center"/>
      </w:pPr>
      <w:r>
        <w:rPr>
          <w:noProof/>
        </w:rPr>
        <w:drawing>
          <wp:inline distT="0" distB="0" distL="0" distR="0" wp14:anchorId="5C19AAF4" wp14:editId="5FC02D9A">
            <wp:extent cx="5762625" cy="2590800"/>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image100045"/>
                    <pic:cNvPicPr/>
                  </pic:nvPicPr>
                  <pic:blipFill>
                    <a:blip r:embed="rId53"/>
                    <a:stretch>
                      <a:fillRect/>
                    </a:stretch>
                  </pic:blipFill>
                  <pic:spPr>
                    <a:xfrm>
                      <a:off x="0" y="0"/>
                      <a:ext cx="5762625" cy="2590800"/>
                    </a:xfrm>
                    <a:prstGeom prst="rect">
                      <a:avLst/>
                    </a:prstGeom>
                  </pic:spPr>
                </pic:pic>
              </a:graphicData>
            </a:graphic>
          </wp:inline>
        </w:drawing>
      </w:r>
    </w:p>
    <w:p w14:paraId="373522B4" w14:textId="77777777" w:rsidR="00F84077" w:rsidRDefault="00000000">
      <w:pPr>
        <w:spacing w:after="200"/>
        <w:jc w:val="center"/>
      </w:pPr>
      <w:r>
        <w:rPr>
          <w:i/>
          <w:iCs/>
          <w:sz w:val="18"/>
          <w:szCs w:val="18"/>
        </w:rPr>
        <w:t>Figure E8. Event study: entropy-based ENB around the WHO pandemic declaration (t = 0 → 100).</w:t>
      </w:r>
    </w:p>
    <w:p w14:paraId="0C8118B4" w14:textId="77777777" w:rsidR="00F84077" w:rsidRDefault="00F84077">
      <w:pPr>
        <w:pageBreakBefore/>
      </w:pPr>
    </w:p>
    <w:p w14:paraId="4F9D658A" w14:textId="77777777" w:rsidR="00F84077" w:rsidRDefault="00000000">
      <w:pPr>
        <w:pStyle w:val="Heading2"/>
        <w:spacing w:before="200" w:after="90"/>
      </w:pPr>
      <w:r>
        <w:rPr>
          <w:b/>
          <w:bCs/>
          <w:color w:val="000000"/>
          <w:sz w:val="23"/>
          <w:szCs w:val="23"/>
        </w:rPr>
        <w:t>E.3 Tariff shock</w:t>
      </w:r>
    </w:p>
    <w:p w14:paraId="644D4928" w14:textId="77777777" w:rsidR="00F84077" w:rsidRDefault="00000000">
      <w:pPr>
        <w:spacing w:after="60"/>
        <w:jc w:val="center"/>
      </w:pPr>
      <w:r>
        <w:rPr>
          <w:noProof/>
        </w:rPr>
        <w:drawing>
          <wp:inline distT="0" distB="0" distL="0" distR="0" wp14:anchorId="6AA25A6A" wp14:editId="71737CCE">
            <wp:extent cx="5762625" cy="5238750"/>
            <wp:effectExtent l="0" t="0" r="0" b="0"/>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image100046"/>
                    <pic:cNvPicPr/>
                  </pic:nvPicPr>
                  <pic:blipFill>
                    <a:blip r:embed="rId54"/>
                    <a:stretch>
                      <a:fillRect/>
                    </a:stretch>
                  </pic:blipFill>
                  <pic:spPr>
                    <a:xfrm>
                      <a:off x="0" y="0"/>
                      <a:ext cx="5762625" cy="5238750"/>
                    </a:xfrm>
                    <a:prstGeom prst="rect">
                      <a:avLst/>
                    </a:prstGeom>
                  </pic:spPr>
                </pic:pic>
              </a:graphicData>
            </a:graphic>
          </wp:inline>
        </w:drawing>
      </w:r>
    </w:p>
    <w:p w14:paraId="03FC5E33" w14:textId="77777777" w:rsidR="00F84077" w:rsidRDefault="00000000">
      <w:pPr>
        <w:spacing w:after="200"/>
        <w:jc w:val="center"/>
      </w:pPr>
      <w:r>
        <w:rPr>
          <w:i/>
          <w:iCs/>
          <w:sz w:val="18"/>
          <w:szCs w:val="18"/>
        </w:rPr>
        <w:t>Figure E9. Diversification measures around the 2025 tariff shock (dashed line: Liberation Day, 2 Apr 2025).</w:t>
      </w:r>
    </w:p>
    <w:p w14:paraId="03B675C4" w14:textId="77777777" w:rsidR="00F84077" w:rsidRDefault="00000000">
      <w:pPr>
        <w:spacing w:after="60"/>
        <w:jc w:val="center"/>
      </w:pPr>
      <w:r>
        <w:rPr>
          <w:noProof/>
        </w:rPr>
        <w:drawing>
          <wp:inline distT="0" distB="0" distL="0" distR="0" wp14:anchorId="7687E50A" wp14:editId="566ABABA">
            <wp:extent cx="5762625" cy="2371725"/>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image100047"/>
                    <pic:cNvPicPr/>
                  </pic:nvPicPr>
                  <pic:blipFill>
                    <a:blip r:embed="rId55"/>
                    <a:stretch>
                      <a:fillRect/>
                    </a:stretch>
                  </pic:blipFill>
                  <pic:spPr>
                    <a:xfrm>
                      <a:off x="0" y="0"/>
                      <a:ext cx="5762625" cy="2371725"/>
                    </a:xfrm>
                    <a:prstGeom prst="rect">
                      <a:avLst/>
                    </a:prstGeom>
                  </pic:spPr>
                </pic:pic>
              </a:graphicData>
            </a:graphic>
          </wp:inline>
        </w:drawing>
      </w:r>
    </w:p>
    <w:p w14:paraId="09D08C44" w14:textId="77777777" w:rsidR="00F84077" w:rsidRDefault="00000000">
      <w:pPr>
        <w:spacing w:after="200"/>
        <w:jc w:val="center"/>
      </w:pPr>
      <w:r>
        <w:rPr>
          <w:i/>
          <w:iCs/>
          <w:sz w:val="18"/>
          <w:szCs w:val="18"/>
        </w:rPr>
        <w:t>Figure E10. Minimum-variance / maximum-diversification ENB vs. absorption ratio, tariff shock.</w:t>
      </w:r>
    </w:p>
    <w:p w14:paraId="20A1B8B0" w14:textId="77777777" w:rsidR="00F84077" w:rsidRDefault="00000000">
      <w:pPr>
        <w:spacing w:after="60"/>
        <w:jc w:val="center"/>
      </w:pPr>
      <w:r>
        <w:rPr>
          <w:noProof/>
        </w:rPr>
        <w:lastRenderedPageBreak/>
        <w:drawing>
          <wp:inline distT="0" distB="0" distL="0" distR="0" wp14:anchorId="578A426B" wp14:editId="6E22DC55">
            <wp:extent cx="5762625" cy="1885950"/>
            <wp:effectExtent l="0" t="0" r="0" b="0"/>
            <wp:docPr id="100048" name="Picture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image100048"/>
                    <pic:cNvPicPr/>
                  </pic:nvPicPr>
                  <pic:blipFill>
                    <a:blip r:embed="rId56"/>
                    <a:stretch>
                      <a:fillRect/>
                    </a:stretch>
                  </pic:blipFill>
                  <pic:spPr>
                    <a:xfrm>
                      <a:off x="0" y="0"/>
                      <a:ext cx="5762625" cy="1885950"/>
                    </a:xfrm>
                    <a:prstGeom prst="rect">
                      <a:avLst/>
                    </a:prstGeom>
                  </pic:spPr>
                </pic:pic>
              </a:graphicData>
            </a:graphic>
          </wp:inline>
        </w:drawing>
      </w:r>
    </w:p>
    <w:p w14:paraId="77370350" w14:textId="77777777" w:rsidR="00F84077" w:rsidRDefault="00000000">
      <w:pPr>
        <w:spacing w:after="200"/>
        <w:jc w:val="center"/>
      </w:pPr>
      <w:r>
        <w:rPr>
          <w:i/>
          <w:iCs/>
          <w:sz w:val="18"/>
          <w:szCs w:val="18"/>
        </w:rPr>
        <w:t>Figure E11. Minimum-variance portfolio: number of names held around the tariff shock.</w:t>
      </w:r>
    </w:p>
    <w:p w14:paraId="148709ED" w14:textId="77777777" w:rsidR="00F84077" w:rsidRDefault="00000000">
      <w:pPr>
        <w:spacing w:after="60"/>
        <w:jc w:val="center"/>
      </w:pPr>
      <w:r>
        <w:rPr>
          <w:noProof/>
        </w:rPr>
        <w:drawing>
          <wp:inline distT="0" distB="0" distL="0" distR="0" wp14:anchorId="4A6BA46F" wp14:editId="1E902465">
            <wp:extent cx="5762625" cy="2590800"/>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image100049"/>
                    <pic:cNvPicPr/>
                  </pic:nvPicPr>
                  <pic:blipFill>
                    <a:blip r:embed="rId57"/>
                    <a:stretch>
                      <a:fillRect/>
                    </a:stretch>
                  </pic:blipFill>
                  <pic:spPr>
                    <a:xfrm>
                      <a:off x="0" y="0"/>
                      <a:ext cx="5762625" cy="2590800"/>
                    </a:xfrm>
                    <a:prstGeom prst="rect">
                      <a:avLst/>
                    </a:prstGeom>
                  </pic:spPr>
                </pic:pic>
              </a:graphicData>
            </a:graphic>
          </wp:inline>
        </w:drawing>
      </w:r>
    </w:p>
    <w:p w14:paraId="1B94984D" w14:textId="77777777" w:rsidR="00F84077" w:rsidRDefault="00000000">
      <w:pPr>
        <w:spacing w:after="200"/>
        <w:jc w:val="center"/>
      </w:pPr>
      <w:r>
        <w:rPr>
          <w:i/>
          <w:iCs/>
          <w:sz w:val="18"/>
          <w:szCs w:val="18"/>
        </w:rPr>
        <w:t>Figure E12. Event study: entropy-based ENB around Liberation Day (t = 0 → 100).</w:t>
      </w:r>
    </w:p>
    <w:p w14:paraId="2EA3753A" w14:textId="77777777" w:rsidR="00F84077" w:rsidRDefault="00F84077">
      <w:pPr>
        <w:pageBreakBefore/>
      </w:pPr>
    </w:p>
    <w:p w14:paraId="4FD4EED6" w14:textId="77777777" w:rsidR="00F84077" w:rsidRDefault="00000000">
      <w:pPr>
        <w:pStyle w:val="Heading1"/>
        <w:spacing w:before="260" w:after="120"/>
      </w:pPr>
      <w:r>
        <w:rPr>
          <w:b/>
          <w:bCs/>
          <w:color w:val="000000"/>
          <w:sz w:val="27"/>
          <w:szCs w:val="27"/>
        </w:rPr>
        <w:t>References</w:t>
      </w:r>
    </w:p>
    <w:p w14:paraId="36DB6D7F" w14:textId="77777777" w:rsidR="00F84077" w:rsidRDefault="00000000">
      <w:pPr>
        <w:spacing w:after="100" w:line="276" w:lineRule="auto"/>
        <w:jc w:val="both"/>
      </w:pPr>
      <w:r>
        <w:t>Meucci, A. (2009). Managing Diversification. Risk, 22(5), 74–79.</w:t>
      </w:r>
    </w:p>
    <w:p w14:paraId="1B046E3E" w14:textId="77777777" w:rsidR="00F84077" w:rsidRDefault="00000000">
      <w:pPr>
        <w:spacing w:after="100" w:line="276" w:lineRule="auto"/>
        <w:jc w:val="both"/>
      </w:pPr>
      <w:proofErr w:type="spellStart"/>
      <w:r>
        <w:t>Choueifaty</w:t>
      </w:r>
      <w:proofErr w:type="spellEnd"/>
      <w:r>
        <w:t xml:space="preserve">, Y., &amp; </w:t>
      </w:r>
      <w:proofErr w:type="spellStart"/>
      <w:r>
        <w:t>Coignard</w:t>
      </w:r>
      <w:proofErr w:type="spellEnd"/>
      <w:r>
        <w:t>, Y. (2008). Toward Maximum Diversification. Journal of Portfolio Management, 35(1), 40–51.</w:t>
      </w:r>
    </w:p>
    <w:p w14:paraId="1405F07B" w14:textId="77777777" w:rsidR="00F84077" w:rsidRDefault="00000000">
      <w:pPr>
        <w:spacing w:after="100" w:line="276" w:lineRule="auto"/>
        <w:jc w:val="both"/>
      </w:pPr>
      <w:r>
        <w:t>Kritzman, M., Li, Y., Page, S., &amp; Rigobon, R. (2011). Principal Components as a Measure of Systemic Risk. Journal of Portfolio Management, 37(4), 112–126.</w:t>
      </w:r>
    </w:p>
    <w:p w14:paraId="42E75BC0" w14:textId="77777777" w:rsidR="00F84077" w:rsidRDefault="00000000">
      <w:pPr>
        <w:spacing w:after="100" w:line="276" w:lineRule="auto"/>
        <w:jc w:val="both"/>
      </w:pPr>
      <w:r>
        <w:t xml:space="preserve">Maillard, S., Roncalli, T., &amp; </w:t>
      </w:r>
      <w:proofErr w:type="spellStart"/>
      <w:r>
        <w:t>Teïletche</w:t>
      </w:r>
      <w:proofErr w:type="spellEnd"/>
      <w:r>
        <w:t>, J. (2010). The Properties of Equally Weighted Risk Contribution Portfolios. Journal of Portfolio Management, 36(4), 60–70.</w:t>
      </w:r>
    </w:p>
    <w:p w14:paraId="40B7B003" w14:textId="77777777" w:rsidR="00F84077" w:rsidRDefault="00000000">
      <w:pPr>
        <w:spacing w:after="100" w:line="276" w:lineRule="auto"/>
        <w:jc w:val="both"/>
      </w:pPr>
      <w:proofErr w:type="spellStart"/>
      <w:r>
        <w:t>Ledoit</w:t>
      </w:r>
      <w:proofErr w:type="spellEnd"/>
      <w:r>
        <w:t>, O., &amp; Wolf, M. (2004). Honey, I Shrunk the Sample Covariance Matrix. Journal of Portfolio Management, 30(4), 110–119.</w:t>
      </w:r>
    </w:p>
    <w:sectPr w:rsidR="00F84077">
      <w:footerReference w:type="default" r:id="rId5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46FA8B" w14:textId="77777777" w:rsidR="00DB53D2" w:rsidRDefault="00DB53D2">
      <w:r>
        <w:separator/>
      </w:r>
    </w:p>
  </w:endnote>
  <w:endnote w:type="continuationSeparator" w:id="0">
    <w:p w14:paraId="31C42872" w14:textId="77777777" w:rsidR="00DB53D2" w:rsidRDefault="00DB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5F9ED" w14:textId="77777777" w:rsidR="00F84077" w:rsidRDefault="00000000">
    <w:pPr>
      <w:jc w:val="center"/>
    </w:pPr>
    <w:r>
      <w:rPr>
        <w:color w:val="595959"/>
        <w:sz w:val="18"/>
        <w:szCs w:val="18"/>
      </w:rPr>
      <w:t xml:space="preserve">FINM 33100 · Market Structure Project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76FA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76FA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6B74BB" w14:textId="77777777" w:rsidR="00DB53D2" w:rsidRDefault="00DB53D2">
      <w:r>
        <w:separator/>
      </w:r>
    </w:p>
  </w:footnote>
  <w:footnote w:type="continuationSeparator" w:id="0">
    <w:p w14:paraId="481BAFAC" w14:textId="77777777" w:rsidR="00DB53D2" w:rsidRDefault="00DB53D2">
      <w:r>
        <w:continuationSeparator/>
      </w:r>
    </w:p>
  </w:footnote>
  <w:footnote w:id="1">
    <w:p w14:paraId="29A2D45D" w14:textId="3ED3F4D8" w:rsidR="009D007F" w:rsidRPr="009D007F" w:rsidRDefault="009D007F">
      <w:pPr>
        <w:pStyle w:val="FootnoteText"/>
      </w:pPr>
      <w:r>
        <w:rPr>
          <w:rStyle w:val="FootnoteReference"/>
        </w:rPr>
        <w:footnoteRef/>
      </w:r>
      <w:r>
        <w:t xml:space="preserve"> </w:t>
      </w:r>
      <w:r w:rsidRPr="009D007F">
        <w:rPr>
          <w:b/>
          <w:bCs/>
        </w:rPr>
        <w:t>Interpretive statement</w:t>
      </w:r>
      <w:r>
        <w:rPr>
          <w:b/>
          <w:bCs/>
        </w:rPr>
        <w:t xml:space="preserve">. </w:t>
      </w:r>
      <w:r>
        <w:t>Consistent with empirical pattern but is not directly tested or quantitatively identified in the notebook.</w:t>
      </w:r>
    </w:p>
  </w:footnote>
  <w:footnote w:id="2">
    <w:p w14:paraId="6AFB53FC" w14:textId="3F9F14DC" w:rsidR="00B47F70" w:rsidRDefault="00B47F70">
      <w:pPr>
        <w:pStyle w:val="FootnoteText"/>
      </w:pPr>
      <w:r>
        <w:rPr>
          <w:rStyle w:val="FootnoteReference"/>
        </w:rPr>
        <w:footnoteRef/>
      </w:r>
      <w:r>
        <w:t xml:space="preserve"> </w:t>
      </w:r>
      <w:r w:rsidR="00667E41" w:rsidRPr="009D007F">
        <w:rPr>
          <w:b/>
          <w:bCs/>
        </w:rPr>
        <w:t>Interpretive statement</w:t>
      </w:r>
      <w:r w:rsidR="00667E41">
        <w:t>. The proposed explanation of the o</w:t>
      </w:r>
      <w:r w:rsidR="00667E41" w:rsidRPr="00B47F70">
        <w:t>ptimizer</w:t>
      </w:r>
      <w:r w:rsidR="00667E41">
        <w:t>’s</w:t>
      </w:r>
      <w:r w:rsidR="00667E41" w:rsidRPr="00B47F70">
        <w:t xml:space="preserve"> behavior</w:t>
      </w:r>
      <w:r w:rsidR="00667E41">
        <w:t xml:space="preserve"> is not directly tested or </w:t>
      </w:r>
      <w:r w:rsidR="00667E41" w:rsidRPr="00B47F70">
        <w:t>causally identified</w:t>
      </w:r>
      <w:r w:rsidR="00667E41">
        <w:rPr>
          <w:b/>
          <w:bCs/>
        </w:rPr>
        <w:t xml:space="preserve"> </w:t>
      </w:r>
      <w:r w:rsidR="00667E41">
        <w:t>in the analysis.</w:t>
      </w:r>
    </w:p>
  </w:footnote>
  <w:footnote w:id="3">
    <w:p w14:paraId="5A3535A2" w14:textId="428704B4" w:rsidR="00B47F70" w:rsidRPr="00667E41" w:rsidRDefault="00B47F70">
      <w:pPr>
        <w:pStyle w:val="FootnoteText"/>
      </w:pPr>
      <w:r>
        <w:rPr>
          <w:rStyle w:val="FootnoteReference"/>
        </w:rPr>
        <w:footnoteRef/>
      </w:r>
      <w:r>
        <w:t xml:space="preserve"> </w:t>
      </w:r>
      <w:r w:rsidRPr="009D007F">
        <w:rPr>
          <w:b/>
          <w:bCs/>
        </w:rPr>
        <w:t>Interpretive statement</w:t>
      </w:r>
      <w:r>
        <w:t xml:space="preserve">. </w:t>
      </w:r>
      <w:r w:rsidR="00667E41">
        <w:t>The proposed explanation of the o</w:t>
      </w:r>
      <w:r w:rsidRPr="00B47F70">
        <w:t>ptimizer</w:t>
      </w:r>
      <w:r w:rsidR="00667E41">
        <w:t>’s</w:t>
      </w:r>
      <w:r w:rsidRPr="00B47F70">
        <w:t xml:space="preserve"> behavior</w:t>
      </w:r>
      <w:r>
        <w:t xml:space="preserve"> </w:t>
      </w:r>
      <w:r w:rsidR="00667E41">
        <w:t xml:space="preserve">is not directly tested or </w:t>
      </w:r>
      <w:r w:rsidRPr="00B47F70">
        <w:t>causally identified</w:t>
      </w:r>
      <w:r w:rsidR="00667E41">
        <w:rPr>
          <w:b/>
          <w:bCs/>
        </w:rPr>
        <w:t xml:space="preserve"> </w:t>
      </w:r>
      <w:r w:rsidR="00667E41">
        <w:t>in the analysis.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C60E9B"/>
    <w:multiLevelType w:val="hybridMultilevel"/>
    <w:tmpl w:val="2716E122"/>
    <w:lvl w:ilvl="0" w:tplc="91F4E574">
      <w:start w:val="1"/>
      <w:numFmt w:val="bullet"/>
      <w:lvlText w:val="●"/>
      <w:lvlJc w:val="left"/>
      <w:pPr>
        <w:ind w:left="720" w:hanging="360"/>
      </w:pPr>
    </w:lvl>
    <w:lvl w:ilvl="1" w:tplc="4B3C8BF6">
      <w:start w:val="1"/>
      <w:numFmt w:val="bullet"/>
      <w:lvlText w:val="○"/>
      <w:lvlJc w:val="left"/>
      <w:pPr>
        <w:ind w:left="1440" w:hanging="360"/>
      </w:pPr>
    </w:lvl>
    <w:lvl w:ilvl="2" w:tplc="F91A084E">
      <w:start w:val="1"/>
      <w:numFmt w:val="bullet"/>
      <w:lvlText w:val="■"/>
      <w:lvlJc w:val="left"/>
      <w:pPr>
        <w:ind w:left="2160" w:hanging="360"/>
      </w:pPr>
    </w:lvl>
    <w:lvl w:ilvl="3" w:tplc="EC9CAB28">
      <w:start w:val="1"/>
      <w:numFmt w:val="bullet"/>
      <w:lvlText w:val="●"/>
      <w:lvlJc w:val="left"/>
      <w:pPr>
        <w:ind w:left="2880" w:hanging="360"/>
      </w:pPr>
    </w:lvl>
    <w:lvl w:ilvl="4" w:tplc="B9B6119C">
      <w:start w:val="1"/>
      <w:numFmt w:val="bullet"/>
      <w:lvlText w:val="○"/>
      <w:lvlJc w:val="left"/>
      <w:pPr>
        <w:ind w:left="3600" w:hanging="360"/>
      </w:pPr>
    </w:lvl>
    <w:lvl w:ilvl="5" w:tplc="043011E6">
      <w:start w:val="1"/>
      <w:numFmt w:val="bullet"/>
      <w:lvlText w:val="■"/>
      <w:lvlJc w:val="left"/>
      <w:pPr>
        <w:ind w:left="4320" w:hanging="360"/>
      </w:pPr>
    </w:lvl>
    <w:lvl w:ilvl="6" w:tplc="0582BF94">
      <w:start w:val="1"/>
      <w:numFmt w:val="bullet"/>
      <w:lvlText w:val="●"/>
      <w:lvlJc w:val="left"/>
      <w:pPr>
        <w:ind w:left="5040" w:hanging="360"/>
      </w:pPr>
    </w:lvl>
    <w:lvl w:ilvl="7" w:tplc="12DAA420">
      <w:start w:val="1"/>
      <w:numFmt w:val="bullet"/>
      <w:lvlText w:val="●"/>
      <w:lvlJc w:val="left"/>
      <w:pPr>
        <w:ind w:left="5760" w:hanging="360"/>
      </w:pPr>
    </w:lvl>
    <w:lvl w:ilvl="8" w:tplc="103E7470">
      <w:start w:val="1"/>
      <w:numFmt w:val="bullet"/>
      <w:lvlText w:val="●"/>
      <w:lvlJc w:val="left"/>
      <w:pPr>
        <w:ind w:left="6480" w:hanging="360"/>
      </w:pPr>
    </w:lvl>
  </w:abstractNum>
  <w:num w:numId="1" w16cid:durableId="16512482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77"/>
    <w:rsid w:val="0005271D"/>
    <w:rsid w:val="00103326"/>
    <w:rsid w:val="001C1CF2"/>
    <w:rsid w:val="003A7CAB"/>
    <w:rsid w:val="004827B6"/>
    <w:rsid w:val="00606DA9"/>
    <w:rsid w:val="006106B5"/>
    <w:rsid w:val="00667E41"/>
    <w:rsid w:val="006D2610"/>
    <w:rsid w:val="00886494"/>
    <w:rsid w:val="009D007F"/>
    <w:rsid w:val="00A67196"/>
    <w:rsid w:val="00B47F70"/>
    <w:rsid w:val="00BE3C7A"/>
    <w:rsid w:val="00C16E74"/>
    <w:rsid w:val="00D76FA9"/>
    <w:rsid w:val="00DB53D2"/>
    <w:rsid w:val="00F72354"/>
    <w:rsid w:val="00F8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2FDC6"/>
  <w15:docId w15:val="{E3583B26-F786-784A-84F4-D3D74669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7196"/>
    <w:pPr>
      <w:tabs>
        <w:tab w:val="center" w:pos="4680"/>
        <w:tab w:val="right" w:pos="9360"/>
      </w:tabs>
    </w:pPr>
  </w:style>
  <w:style w:type="character" w:customStyle="1" w:styleId="HeaderChar">
    <w:name w:val="Header Char"/>
    <w:basedOn w:val="DefaultParagraphFont"/>
    <w:link w:val="Header"/>
    <w:uiPriority w:val="99"/>
    <w:rsid w:val="00A67196"/>
  </w:style>
  <w:style w:type="paragraph" w:styleId="Footer">
    <w:name w:val="footer"/>
    <w:basedOn w:val="Normal"/>
    <w:link w:val="FooterChar"/>
    <w:uiPriority w:val="99"/>
    <w:unhideWhenUsed/>
    <w:rsid w:val="00A67196"/>
    <w:pPr>
      <w:tabs>
        <w:tab w:val="center" w:pos="4680"/>
        <w:tab w:val="right" w:pos="9360"/>
      </w:tabs>
    </w:pPr>
  </w:style>
  <w:style w:type="character" w:customStyle="1" w:styleId="FooterChar">
    <w:name w:val="Footer Char"/>
    <w:basedOn w:val="DefaultParagraphFont"/>
    <w:link w:val="Footer"/>
    <w:uiPriority w:val="99"/>
    <w:rsid w:val="00A67196"/>
  </w:style>
  <w:style w:type="character" w:styleId="Strong">
    <w:name w:val="Strong"/>
    <w:basedOn w:val="DefaultParagraphFont"/>
    <w:uiPriority w:val="22"/>
    <w:qFormat/>
    <w:rsid w:val="00B47F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E2CE1-5556-024C-A048-F2BB78953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4055</Words>
  <Characters>23119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Chirag Jha</cp:lastModifiedBy>
  <cp:revision>9</cp:revision>
  <dcterms:created xsi:type="dcterms:W3CDTF">2026-08-20T01:37:00Z</dcterms:created>
  <dcterms:modified xsi:type="dcterms:W3CDTF">2026-08-20T03:05:00Z</dcterms:modified>
</cp:coreProperties>
</file>