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CFD8B" w14:textId="77777777" w:rsidR="00CA140A" w:rsidRPr="00FD24BA" w:rsidRDefault="00000000">
      <w:pPr>
        <w:pBdr>
          <w:bottom w:val="single" w:sz="12" w:space="0" w:color="1F3864"/>
        </w:pBdr>
        <w:spacing w:after="40"/>
        <w:rPr>
          <w:rFonts w:ascii="Times New Roman" w:hAnsi="Times New Roman" w:cs="Times New Roman"/>
          <w:color w:val="000000" w:themeColor="text1"/>
        </w:rPr>
      </w:pPr>
      <w:r w:rsidRPr="00FD24BA">
        <w:rPr>
          <w:rFonts w:ascii="Times New Roman" w:hAnsi="Times New Roman" w:cs="Times New Roman"/>
          <w:b/>
          <w:bCs/>
          <w:color w:val="000000" w:themeColor="text1"/>
          <w:sz w:val="18"/>
          <w:szCs w:val="18"/>
        </w:rPr>
        <w:t>FINM 33100 Project · Track 1: Market Structure</w:t>
      </w:r>
    </w:p>
    <w:p w14:paraId="16B7A3C7" w14:textId="77777777" w:rsidR="00CA140A" w:rsidRPr="00FD24BA" w:rsidRDefault="00000000">
      <w:pPr>
        <w:spacing w:before="120" w:after="40"/>
        <w:rPr>
          <w:rFonts w:ascii="Times New Roman" w:hAnsi="Times New Roman" w:cs="Times New Roman"/>
          <w:color w:val="000000" w:themeColor="text1"/>
        </w:rPr>
      </w:pPr>
      <w:r w:rsidRPr="00FD24BA">
        <w:rPr>
          <w:rFonts w:ascii="Times New Roman" w:hAnsi="Times New Roman" w:cs="Times New Roman"/>
          <w:b/>
          <w:bCs/>
          <w:color w:val="000000" w:themeColor="text1"/>
          <w:sz w:val="34"/>
          <w:szCs w:val="34"/>
        </w:rPr>
        <w:t>Comparing Portfolio Construction Methods through a PCA Lens</w:t>
      </w:r>
    </w:p>
    <w:p w14:paraId="1E12BA86"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22"/>
          <w:szCs w:val="22"/>
        </w:rPr>
        <w:t>Diversification of five allocation schemes across market regimes, 2003–2025</w:t>
      </w:r>
    </w:p>
    <w:p w14:paraId="4F8A671E" w14:textId="1CE27055" w:rsidR="00CA140A" w:rsidRPr="007755A5" w:rsidRDefault="00000000">
      <w:pPr>
        <w:spacing w:after="120" w:line="276" w:lineRule="auto"/>
        <w:rPr>
          <w:rFonts w:ascii="Times New Roman" w:hAnsi="Times New Roman" w:cs="Times New Roman"/>
          <w:color w:val="000000" w:themeColor="text1"/>
          <w:lang w:val="es-419"/>
        </w:rPr>
      </w:pPr>
      <w:r w:rsidRPr="007755A5">
        <w:rPr>
          <w:rFonts w:ascii="Times New Roman" w:hAnsi="Times New Roman" w:cs="Times New Roman"/>
          <w:color w:val="000000" w:themeColor="text1"/>
          <w:sz w:val="19"/>
          <w:szCs w:val="19"/>
          <w:lang w:val="es-419"/>
        </w:rPr>
        <w:t>Enrique Zambrano</w:t>
      </w:r>
      <w:r w:rsidR="00FD24BA" w:rsidRPr="007755A5">
        <w:rPr>
          <w:rFonts w:ascii="Times New Roman" w:hAnsi="Times New Roman" w:cs="Times New Roman"/>
          <w:color w:val="000000" w:themeColor="text1"/>
          <w:sz w:val="19"/>
          <w:szCs w:val="19"/>
          <w:lang w:val="es-419"/>
        </w:rPr>
        <w:t xml:space="preserve">, </w:t>
      </w:r>
      <w:r w:rsidRPr="007755A5">
        <w:rPr>
          <w:rFonts w:ascii="Times New Roman" w:hAnsi="Times New Roman" w:cs="Times New Roman"/>
          <w:color w:val="000000" w:themeColor="text1"/>
          <w:sz w:val="19"/>
          <w:szCs w:val="19"/>
          <w:lang w:val="es-419"/>
        </w:rPr>
        <w:t>Chirag Jha</w:t>
      </w:r>
      <w:r w:rsidR="00FD24BA" w:rsidRPr="007755A5">
        <w:rPr>
          <w:rFonts w:ascii="Times New Roman" w:hAnsi="Times New Roman" w:cs="Times New Roman"/>
          <w:color w:val="000000" w:themeColor="text1"/>
          <w:sz w:val="19"/>
          <w:szCs w:val="19"/>
          <w:lang w:val="es-419"/>
        </w:rPr>
        <w:t>,</w:t>
      </w:r>
      <w:r w:rsidRPr="007755A5">
        <w:rPr>
          <w:rFonts w:ascii="Times New Roman" w:hAnsi="Times New Roman" w:cs="Times New Roman"/>
          <w:color w:val="000000" w:themeColor="text1"/>
          <w:sz w:val="19"/>
          <w:szCs w:val="19"/>
          <w:lang w:val="es-419"/>
        </w:rPr>
        <w:t xml:space="preserve"> Anthony Mazy</w:t>
      </w:r>
      <w:r w:rsidR="00FD24BA" w:rsidRPr="007755A5">
        <w:rPr>
          <w:rFonts w:ascii="Times New Roman" w:hAnsi="Times New Roman" w:cs="Times New Roman"/>
          <w:color w:val="000000" w:themeColor="text1"/>
          <w:sz w:val="19"/>
          <w:szCs w:val="19"/>
          <w:lang w:val="es-419"/>
        </w:rPr>
        <w:t xml:space="preserve">, Bangjie Xu </w:t>
      </w:r>
    </w:p>
    <w:p w14:paraId="7F726D5C" w14:textId="77777777" w:rsidR="00CA140A" w:rsidRPr="007755A5" w:rsidRDefault="00CA140A">
      <w:pPr>
        <w:spacing w:after="40"/>
        <w:rPr>
          <w:rFonts w:ascii="Times New Roman" w:hAnsi="Times New Roman" w:cs="Times New Roman"/>
          <w:color w:val="000000" w:themeColor="text1"/>
          <w:lang w:val="es-419"/>
        </w:rPr>
      </w:pPr>
    </w:p>
    <w:p w14:paraId="63DA7175" w14:textId="1A62A527" w:rsidR="00CA140A" w:rsidRPr="00FD24BA" w:rsidRDefault="00000000">
      <w:pPr>
        <w:pBdr>
          <w:left w:val="single" w:sz="18" w:space="0" w:color="1F3864"/>
        </w:pBdr>
        <w:shd w:val="clear" w:color="auto" w:fill="F2F2F2"/>
        <w:spacing w:before="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19"/>
          <w:szCs w:val="19"/>
        </w:rPr>
        <w:t xml:space="preserve">Abstract. </w:t>
      </w:r>
      <w:r w:rsidRPr="00FD24BA">
        <w:rPr>
          <w:rFonts w:ascii="Times New Roman" w:hAnsi="Times New Roman" w:cs="Times New Roman"/>
          <w:color w:val="000000" w:themeColor="text1"/>
          <w:sz w:val="18"/>
          <w:szCs w:val="18"/>
        </w:rPr>
        <w:t xml:space="preserve">We compare five portfolio construction methods — equal-weight, cap-weight, minimum-variance, equal-risk-contribution (ERC) and maximum-diversification — in terms of how many independent sources of risk each actually holds. Using a rolling principal-components decomposition of the top-500 U.S. stocks (2003–2025), we project each portfolio's weights onto the eigenspace and </w:t>
      </w:r>
      <w:r w:rsidR="007755A5" w:rsidRPr="00FD24BA">
        <w:rPr>
          <w:rFonts w:ascii="Times New Roman" w:hAnsi="Times New Roman" w:cs="Times New Roman"/>
          <w:color w:val="000000" w:themeColor="text1"/>
          <w:sz w:val="18"/>
          <w:szCs w:val="18"/>
        </w:rPr>
        <w:t>summarize</w:t>
      </w:r>
      <w:r w:rsidRPr="00FD24BA">
        <w:rPr>
          <w:rFonts w:ascii="Times New Roman" w:hAnsi="Times New Roman" w:cs="Times New Roman"/>
          <w:color w:val="000000" w:themeColor="text1"/>
          <w:sz w:val="18"/>
          <w:szCs w:val="18"/>
        </w:rPr>
        <w:t xml:space="preserve"> the resulting variance shares with three diversification measures: an entropy-based effective number of bets (ENB), an HHI-based ENB, and </w:t>
      </w:r>
      <w:r w:rsidR="007755A5">
        <w:rPr>
          <w:rFonts w:ascii="Times New Roman" w:hAnsi="Times New Roman" w:cs="Times New Roman"/>
          <w:color w:val="000000" w:themeColor="text1"/>
          <w:sz w:val="18"/>
          <w:szCs w:val="18"/>
        </w:rPr>
        <w:t>the share of variance explained by the first 10 components</w:t>
      </w:r>
      <w:r w:rsidRPr="00FD24BA">
        <w:rPr>
          <w:rFonts w:ascii="Times New Roman" w:hAnsi="Times New Roman" w:cs="Times New Roman"/>
          <w:color w:val="000000" w:themeColor="text1"/>
          <w:sz w:val="18"/>
          <w:szCs w:val="18"/>
        </w:rPr>
        <w:t xml:space="preserve">. </w:t>
      </w:r>
      <w:r w:rsidRPr="007755A5">
        <w:rPr>
          <w:rFonts w:ascii="Times New Roman" w:hAnsi="Times New Roman" w:cs="Times New Roman"/>
          <w:color w:val="000000" w:themeColor="text1"/>
          <w:sz w:val="18"/>
          <w:szCs w:val="18"/>
          <w:highlight w:val="yellow"/>
        </w:rPr>
        <w:t>Across the full sample the optimized risk-based portfolios (min-variance, max-diversification) hold roughly 5–6 effective bets, while the naive schemes — including equal-weight — hold barely more than one, because they load almost entirely on the market factor. We then study how diversification behaves through five stress regimes, with a focused analysis of the 2025 “Liberation Day” tariff shock, which provides an unusually clean, fast-reversing natural experiment.</w:t>
      </w:r>
    </w:p>
    <w:p w14:paraId="4E3F8C44" w14:textId="77777777" w:rsidR="00CA140A" w:rsidRPr="00FD24BA" w:rsidRDefault="00000000">
      <w:pPr>
        <w:pStyle w:val="Heading1"/>
        <w:spacing w:before="2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27"/>
          <w:szCs w:val="27"/>
        </w:rPr>
        <w:t>1. Introduction and research question</w:t>
      </w:r>
    </w:p>
    <w:p w14:paraId="1FCEDE44" w14:textId="77777777" w:rsidR="00911710" w:rsidRPr="00911710" w:rsidRDefault="00911710" w:rsidP="00911710">
      <w:pPr>
        <w:spacing w:after="120" w:line="276" w:lineRule="auto"/>
        <w:jc w:val="both"/>
        <w:rPr>
          <w:rFonts w:ascii="Times New Roman" w:hAnsi="Times New Roman" w:cs="Times New Roman"/>
          <w:color w:val="000000" w:themeColor="text1"/>
        </w:rPr>
      </w:pPr>
      <w:r w:rsidRPr="00911710">
        <w:rPr>
          <w:rFonts w:ascii="Times New Roman" w:hAnsi="Times New Roman" w:cs="Times New Roman"/>
          <w:color w:val="000000" w:themeColor="text1"/>
        </w:rPr>
        <w:t>Traditional portfolio construction methods often claim to be diversified because they tend to hold a large number of stocks. For example, equal-weight and capitalization-weighted portfolios hold many stocks, while equal-risk-contribution portfolios assign weights so that each stock contributes the same amount of risk. Other methods, such as minimum variance and maximum diversification, determine portfolio weights by optimizing objectives based on the covariance matrix.</w:t>
      </w:r>
    </w:p>
    <w:p w14:paraId="2D105E13" w14:textId="7DE2B6B6" w:rsidR="00911710" w:rsidRPr="00911710" w:rsidRDefault="00911710" w:rsidP="00911710">
      <w:pPr>
        <w:spacing w:after="120" w:line="276" w:lineRule="auto"/>
        <w:jc w:val="both"/>
        <w:rPr>
          <w:rFonts w:ascii="Times New Roman" w:hAnsi="Times New Roman" w:cs="Times New Roman"/>
          <w:color w:val="000000" w:themeColor="text1"/>
        </w:rPr>
      </w:pPr>
      <w:r w:rsidRPr="00911710">
        <w:rPr>
          <w:rFonts w:ascii="Times New Roman" w:hAnsi="Times New Roman" w:cs="Times New Roman"/>
          <w:color w:val="000000" w:themeColor="text1"/>
        </w:rPr>
        <w:t>However, holding a large number of stocks</w:t>
      </w:r>
      <w:r w:rsidRPr="00911710">
        <w:t xml:space="preserve"> </w:t>
      </w:r>
      <w:r w:rsidRPr="00911710">
        <w:rPr>
          <w:rFonts w:ascii="Times New Roman" w:hAnsi="Times New Roman" w:cs="Times New Roman"/>
          <w:color w:val="000000" w:themeColor="text1"/>
        </w:rPr>
        <w:t>or using the covariance matrix in the optimization</w:t>
      </w:r>
      <w:r w:rsidRPr="00911710">
        <w:rPr>
          <w:rFonts w:ascii="Times New Roman" w:hAnsi="Times New Roman" w:cs="Times New Roman"/>
          <w:color w:val="000000" w:themeColor="text1"/>
        </w:rPr>
        <w:t xml:space="preserve"> </w:t>
      </w:r>
      <w:r w:rsidRPr="00911710">
        <w:rPr>
          <w:rFonts w:ascii="Times New Roman" w:hAnsi="Times New Roman" w:cs="Times New Roman"/>
          <w:color w:val="000000" w:themeColor="text1"/>
        </w:rPr>
        <w:t>does not necessarily mean that a portfolio is well diversified. If many holdings are exposed to the same underlying factor, they may respond to market movements in similar ways, meaning that the portfolio has more exposure to the same source of risk than the number of holdings would suggest. This suggests that diversification should be evaluated not only by the number of stocks a portfolio holds, but also by how its exposure is distributed across independent sources of risk.</w:t>
      </w:r>
      <w:r>
        <w:rPr>
          <w:rFonts w:ascii="Times New Roman" w:hAnsi="Times New Roman" w:cs="Times New Roman"/>
          <w:color w:val="000000" w:themeColor="text1"/>
        </w:rPr>
        <w:t xml:space="preserve"> </w:t>
      </w:r>
      <w:r w:rsidRPr="00911710">
        <w:rPr>
          <w:rFonts w:ascii="Times New Roman" w:hAnsi="Times New Roman" w:cs="Times New Roman"/>
          <w:color w:val="000000" w:themeColor="text1"/>
        </w:rPr>
        <w:t>With this in mind</w:t>
      </w:r>
      <w:r>
        <w:rPr>
          <w:rFonts w:ascii="Times New Roman" w:hAnsi="Times New Roman" w:cs="Times New Roman"/>
          <w:color w:val="000000" w:themeColor="text1"/>
        </w:rPr>
        <w:t xml:space="preserve">, </w:t>
      </w:r>
      <w:r w:rsidRPr="00911710">
        <w:rPr>
          <w:rFonts w:ascii="Times New Roman" w:hAnsi="Times New Roman" w:cs="Times New Roman"/>
          <w:color w:val="000000" w:themeColor="text1"/>
        </w:rPr>
        <w:t xml:space="preserve">this project asks: </w:t>
      </w:r>
      <w:r w:rsidRPr="00911710">
        <w:rPr>
          <w:rFonts w:ascii="Times New Roman" w:hAnsi="Times New Roman" w:cs="Times New Roman"/>
          <w:b/>
          <w:bCs/>
          <w:color w:val="000000" w:themeColor="text1"/>
        </w:rPr>
        <w:t>how does exposure to independent sources of risk differ across common portfolio construction methods, and how does it change between calm and stressed market periods?</w:t>
      </w:r>
    </w:p>
    <w:p w14:paraId="4B0016A9" w14:textId="25EA538E" w:rsidR="00CA140A" w:rsidRPr="00FD24BA" w:rsidRDefault="00911710" w:rsidP="00911710">
      <w:pPr>
        <w:spacing w:after="120" w:line="276" w:lineRule="auto"/>
        <w:rPr>
          <w:rFonts w:ascii="Times New Roman" w:hAnsi="Times New Roman" w:cs="Times New Roman"/>
          <w:color w:val="000000" w:themeColor="text1"/>
        </w:rPr>
      </w:pPr>
      <w:r w:rsidRPr="00911710">
        <w:rPr>
          <w:rFonts w:ascii="Times New Roman" w:hAnsi="Times New Roman" w:cs="Times New Roman"/>
          <w:color w:val="000000" w:themeColor="text1"/>
        </w:rPr>
        <w:t>We answer this question through the lens of principal component analysis (PCA). PCA decomposes the cross-section of stock returns into a set of uncorrelated factors. A portfolio is well diversified when its risk is spread across many of these factors, and less diversified when a small number of factors account for most of its risk. This provides a measure of diversification that does not depend on the number of stocks held and can capture changes in the underlying structure of the market.</w:t>
      </w:r>
      <w:r>
        <w:rPr>
          <w:rFonts w:ascii="Times New Roman" w:hAnsi="Times New Roman" w:cs="Times New Roman"/>
          <w:color w:val="000000" w:themeColor="text1"/>
        </w:rPr>
        <w:t xml:space="preserve"> For this purpose, w</w:t>
      </w:r>
      <w:r w:rsidRPr="00911710">
        <w:rPr>
          <w:rFonts w:ascii="Times New Roman" w:hAnsi="Times New Roman" w:cs="Times New Roman"/>
          <w:color w:val="000000" w:themeColor="text1"/>
        </w:rPr>
        <w:t>e compare five portfolio construction methods that represent three different approaches: naive methods, including equal-weight and capitalization-weighted portfolios; a risk-based method, equal-risk contribution (ERC); and covariance-based methods, minimum variance and maximum diversification.</w:t>
      </w:r>
    </w:p>
    <w:p w14:paraId="5D7239D8" w14:textId="77777777" w:rsidR="00CA140A" w:rsidRPr="00FD24BA" w:rsidRDefault="00000000">
      <w:pPr>
        <w:pStyle w:val="Heading1"/>
        <w:spacing w:before="2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27"/>
          <w:szCs w:val="27"/>
        </w:rPr>
        <w:t>2. Data and methodology</w:t>
      </w:r>
    </w:p>
    <w:p w14:paraId="0221F541" w14:textId="77777777" w:rsidR="00CA140A" w:rsidRPr="00FD24BA" w:rsidRDefault="00000000">
      <w:pPr>
        <w:pStyle w:val="Heading2"/>
        <w:spacing w:before="200" w:after="90"/>
        <w:rPr>
          <w:rFonts w:ascii="Times New Roman" w:hAnsi="Times New Roman" w:cs="Times New Roman"/>
          <w:color w:val="000000" w:themeColor="text1"/>
        </w:rPr>
      </w:pPr>
      <w:r w:rsidRPr="00FD24BA">
        <w:rPr>
          <w:rFonts w:ascii="Times New Roman" w:hAnsi="Times New Roman" w:cs="Times New Roman"/>
          <w:b/>
          <w:bCs/>
          <w:color w:val="000000" w:themeColor="text1"/>
          <w:sz w:val="23"/>
          <w:szCs w:val="23"/>
        </w:rPr>
        <w:t>2.1 Data</w:t>
      </w:r>
    </w:p>
    <w:p w14:paraId="0DA0EC04" w14:textId="04A9AD1A" w:rsidR="00A31A47" w:rsidRPr="00A31A47" w:rsidRDefault="00A31A47" w:rsidP="00A31A47">
      <w:pPr>
        <w:spacing w:after="120" w:line="276" w:lineRule="auto"/>
        <w:rPr>
          <w:rFonts w:ascii="Times New Roman" w:hAnsi="Times New Roman" w:cs="Times New Roman"/>
          <w:color w:val="000000" w:themeColor="text1"/>
        </w:rPr>
      </w:pPr>
      <w:r w:rsidRPr="00A31A47">
        <w:rPr>
          <w:rFonts w:ascii="Times New Roman" w:hAnsi="Times New Roman" w:cs="Times New Roman"/>
          <w:color w:val="000000" w:themeColor="text1"/>
        </w:rPr>
        <w:t>The sample consists of a daily</w:t>
      </w:r>
      <w:r>
        <w:rPr>
          <w:rFonts w:ascii="Times New Roman" w:hAnsi="Times New Roman" w:cs="Times New Roman"/>
          <w:color w:val="000000" w:themeColor="text1"/>
        </w:rPr>
        <w:t xml:space="preserve"> stock</w:t>
      </w:r>
      <w:r w:rsidRPr="00A31A47">
        <w:rPr>
          <w:rFonts w:ascii="Times New Roman" w:hAnsi="Times New Roman" w:cs="Times New Roman"/>
          <w:color w:val="000000" w:themeColor="text1"/>
        </w:rPr>
        <w:t xml:space="preserve"> panel covering 3,256 U.S. securities from February 2001 to December 2025, resulting in approximately 6.25 million security-day observations, with a median of about 999 securities per day. For each day, we construct the estimation universe by selecting the 500 largest securities by market capitalization among those with a complete 504-day return history. This approach consistently provides 500 securities on every date </w:t>
      </w:r>
      <w:r>
        <w:rPr>
          <w:rFonts w:ascii="Times New Roman" w:hAnsi="Times New Roman" w:cs="Times New Roman"/>
          <w:color w:val="000000" w:themeColor="text1"/>
        </w:rPr>
        <w:t>for the estimation of the covariance matrix.</w:t>
      </w:r>
    </w:p>
    <w:p w14:paraId="50C40B50" w14:textId="77777777" w:rsidR="00CA140A" w:rsidRPr="00FD24BA" w:rsidRDefault="00000000">
      <w:pPr>
        <w:pStyle w:val="Heading2"/>
        <w:spacing w:before="200" w:after="90"/>
        <w:rPr>
          <w:rFonts w:ascii="Times New Roman" w:hAnsi="Times New Roman" w:cs="Times New Roman"/>
          <w:color w:val="000000" w:themeColor="text1"/>
        </w:rPr>
      </w:pPr>
      <w:r w:rsidRPr="00FD24BA">
        <w:rPr>
          <w:rFonts w:ascii="Times New Roman" w:hAnsi="Times New Roman" w:cs="Times New Roman"/>
          <w:b/>
          <w:bCs/>
          <w:color w:val="000000" w:themeColor="text1"/>
          <w:sz w:val="23"/>
          <w:szCs w:val="23"/>
        </w:rPr>
        <w:t>2.2 Rolling PCA</w:t>
      </w:r>
    </w:p>
    <w:p w14:paraId="10820A41" w14:textId="77777777" w:rsidR="00DB1C67" w:rsidRDefault="00DB1C67" w:rsidP="00DB1C67">
      <w:pPr>
        <w:spacing w:after="120" w:line="276" w:lineRule="auto"/>
        <w:rPr>
          <w:rFonts w:ascii="Times New Roman" w:hAnsi="Times New Roman" w:cs="Times New Roman"/>
          <w:color w:val="000000" w:themeColor="text1"/>
        </w:rPr>
      </w:pPr>
      <w:r w:rsidRPr="00DB1C67">
        <w:rPr>
          <w:rFonts w:ascii="Times New Roman" w:hAnsi="Times New Roman" w:cs="Times New Roman"/>
          <w:color w:val="000000" w:themeColor="text1"/>
        </w:rPr>
        <w:t>For the PCA analysis, we take the following steps:</w:t>
      </w:r>
    </w:p>
    <w:p w14:paraId="690861CE" w14:textId="5064FF83" w:rsidR="00DB1C67" w:rsidRDefault="00DB1C67" w:rsidP="005059D7">
      <w:pPr>
        <w:pStyle w:val="ListParagraph"/>
        <w:numPr>
          <w:ilvl w:val="0"/>
          <w:numId w:val="2"/>
        </w:numPr>
        <w:spacing w:after="120" w:line="276" w:lineRule="auto"/>
        <w:jc w:val="both"/>
        <w:rPr>
          <w:rFonts w:ascii="Times New Roman" w:hAnsi="Times New Roman" w:cs="Times New Roman"/>
          <w:color w:val="000000" w:themeColor="text1"/>
        </w:rPr>
      </w:pPr>
      <w:r w:rsidRPr="00DB1C67">
        <w:rPr>
          <w:rFonts w:ascii="Times New Roman" w:hAnsi="Times New Roman" w:cs="Times New Roman"/>
          <w:b/>
          <w:bCs/>
          <w:color w:val="000000" w:themeColor="text1"/>
        </w:rPr>
        <w:lastRenderedPageBreak/>
        <w:t xml:space="preserve">Construct the daily universe: </w:t>
      </w:r>
      <w:r w:rsidRPr="00DB1C67">
        <w:rPr>
          <w:rFonts w:ascii="Times New Roman" w:hAnsi="Times New Roman" w:cs="Times New Roman"/>
          <w:color w:val="000000" w:themeColor="text1"/>
        </w:rPr>
        <w:t>For each day, we select the 500 largest securities by market capitalization among those with a complete 504-day return history. This approach consistently provides 500 securities for estimating the covariance matrix on each day. We choose 500 stocks to keep the estimation universe manageable while still maintaining broad coverage of the U.S. equity market and allowing the composition of the universe to change over time.</w:t>
      </w:r>
    </w:p>
    <w:p w14:paraId="2399D55C" w14:textId="2BDD8336" w:rsidR="00DB1C67" w:rsidRDefault="00DB1C67"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Estimate initial covariance matrix:</w:t>
      </w:r>
      <w:r>
        <w:rPr>
          <w:rFonts w:ascii="Times New Roman" w:hAnsi="Times New Roman" w:cs="Times New Roman"/>
          <w:color w:val="000000" w:themeColor="text1"/>
        </w:rPr>
        <w:t xml:space="preserve"> </w:t>
      </w:r>
      <w:r w:rsidR="002213EF" w:rsidRPr="002213EF">
        <w:rPr>
          <w:rFonts w:ascii="Times New Roman" w:hAnsi="Times New Roman" w:cs="Times New Roman"/>
          <w:color w:val="000000" w:themeColor="text1"/>
        </w:rPr>
        <w:t>Each day, we construct an exponentially weighted covariance matrix using a 504-day window and a 252-day half-life. We use EWMA to allow the covariance estimates to adapt to changing market conditions by giving more weight to recent observations. We use a 504-day window to focus the estimation on the most recent two years, while the 252-day half-life prevents the estimates from being overly sensitive to short-term changes. These choices follow Kritzman et al. (2011). Before estimating the covariance matrix, we standardize returns using exponentially weighted means and volatilities.</w:t>
      </w:r>
    </w:p>
    <w:p w14:paraId="41292FF5" w14:textId="6C659115" w:rsidR="002213EF" w:rsidRDefault="002213EF"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Shrink the covariance matrix:</w:t>
      </w:r>
      <w:r>
        <w:rPr>
          <w:rFonts w:ascii="Times New Roman" w:hAnsi="Times New Roman" w:cs="Times New Roman"/>
          <w:color w:val="000000" w:themeColor="text1"/>
        </w:rPr>
        <w:t xml:space="preserve"> </w:t>
      </w:r>
      <w:r w:rsidR="005059D7" w:rsidRPr="005059D7">
        <w:rPr>
          <w:rFonts w:ascii="Times New Roman" w:hAnsi="Times New Roman" w:cs="Times New Roman"/>
          <w:color w:val="000000" w:themeColor="text1"/>
        </w:rPr>
        <w:t>Because the estimation period is short relative to the number of stocks, the sample covariance matrix can contain substantial estimation error (Ledoit &amp; Wolf, 2003), which can carry over to the PCA results. To address this, we shrink the covariance matrix toward a constant-correlation target using a shrinkage factor based on Ledoit-Wolf and adapted to the EWMA covariance matrix. We then smooth the estimated shrinkage parameter using a 60-day rolling average to reduce noise in the parameter estimate.</w:t>
      </w:r>
    </w:p>
    <w:p w14:paraId="1BC16DA6" w14:textId="19F353CC" w:rsidR="005059D7" w:rsidRPr="00DB1C67" w:rsidRDefault="005059D7" w:rsidP="005059D7">
      <w:pPr>
        <w:pStyle w:val="ListParagraph"/>
        <w:numPr>
          <w:ilvl w:val="0"/>
          <w:numId w:val="2"/>
        </w:numPr>
        <w:spacing w:after="120" w:line="276" w:lineRule="auto"/>
        <w:jc w:val="both"/>
        <w:rPr>
          <w:rFonts w:ascii="Times New Roman" w:hAnsi="Times New Roman" w:cs="Times New Roman"/>
          <w:color w:val="000000" w:themeColor="text1"/>
        </w:rPr>
      </w:pPr>
      <w:r>
        <w:rPr>
          <w:rFonts w:ascii="Times New Roman" w:hAnsi="Times New Roman" w:cs="Times New Roman"/>
          <w:b/>
          <w:bCs/>
          <w:color w:val="000000" w:themeColor="text1"/>
        </w:rPr>
        <w:t xml:space="preserve">PCA: </w:t>
      </w:r>
      <w:r w:rsidRPr="005059D7">
        <w:rPr>
          <w:rFonts w:ascii="Times New Roman" w:hAnsi="Times New Roman" w:cs="Times New Roman"/>
          <w:color w:val="000000" w:themeColor="text1"/>
        </w:rPr>
        <w:t>Each day, we run PCA on the shrunk covariance matrix.</w:t>
      </w:r>
      <w:r>
        <w:rPr>
          <w:rFonts w:ascii="Times New Roman" w:hAnsi="Times New Roman" w:cs="Times New Roman"/>
          <w:b/>
          <w:bCs/>
          <w:color w:val="000000" w:themeColor="text1"/>
        </w:rPr>
        <w:t xml:space="preserve"> </w:t>
      </w:r>
    </w:p>
    <w:p w14:paraId="7FED7A9A" w14:textId="77777777" w:rsidR="00CA140A" w:rsidRPr="00FD24BA" w:rsidRDefault="00000000">
      <w:pPr>
        <w:pStyle w:val="Heading2"/>
        <w:spacing w:before="200" w:after="90"/>
        <w:rPr>
          <w:rFonts w:ascii="Times New Roman" w:hAnsi="Times New Roman" w:cs="Times New Roman"/>
          <w:color w:val="000000" w:themeColor="text1"/>
        </w:rPr>
      </w:pPr>
      <w:r w:rsidRPr="00FD24BA">
        <w:rPr>
          <w:rFonts w:ascii="Times New Roman" w:hAnsi="Times New Roman" w:cs="Times New Roman"/>
          <w:b/>
          <w:bCs/>
          <w:color w:val="000000" w:themeColor="text1"/>
          <w:sz w:val="23"/>
          <w:szCs w:val="23"/>
        </w:rPr>
        <w:t>2.3 Diversification measures</w:t>
      </w:r>
    </w:p>
    <w:p w14:paraId="413849EE" w14:textId="454A0B4E" w:rsidR="00F7387B" w:rsidRDefault="00F7387B" w:rsidP="00583DB2">
      <w:pPr>
        <w:spacing w:after="120" w:line="276" w:lineRule="auto"/>
        <w:jc w:val="both"/>
        <w:rPr>
          <w:rFonts w:ascii="Times New Roman" w:hAnsi="Times New Roman" w:cs="Times New Roman"/>
          <w:color w:val="000000" w:themeColor="text1"/>
        </w:rPr>
      </w:pPr>
      <w:r w:rsidRPr="00F7387B">
        <w:rPr>
          <w:rFonts w:ascii="Times New Roman" w:hAnsi="Times New Roman" w:cs="Times New Roman"/>
          <w:color w:val="000000" w:themeColor="text1"/>
        </w:rPr>
        <w:t xml:space="preserve">Intuitively, the concept of diversification is closely related to the fraction of portfolio variance explained by each component. A highly diversified portfolio should have a similar fraction of variance explained by each component, while a portfolio with low diversification should have a large portion of the variance explained by a few components. We can try to measure diversification by assessing how concentrated </w:t>
      </w:r>
      <w:r>
        <w:rPr>
          <w:rFonts w:ascii="Times New Roman" w:hAnsi="Times New Roman" w:cs="Times New Roman"/>
          <w:color w:val="000000" w:themeColor="text1"/>
        </w:rPr>
        <w:t xml:space="preserve">is </w:t>
      </w:r>
      <w:r w:rsidRPr="00F7387B">
        <w:rPr>
          <w:rFonts w:ascii="Times New Roman" w:hAnsi="Times New Roman" w:cs="Times New Roman"/>
          <w:color w:val="000000" w:themeColor="text1"/>
        </w:rPr>
        <w:t>the variance</w:t>
      </w:r>
      <w:r w:rsidRPr="00F7387B">
        <w:rPr>
          <w:rFonts w:ascii="Times New Roman" w:hAnsi="Times New Roman" w:cs="Times New Roman"/>
          <w:color w:val="000000" w:themeColor="text1"/>
        </w:rPr>
        <w:t xml:space="preserve"> explained by the components.</w:t>
      </w:r>
    </w:p>
    <w:p w14:paraId="6EA093DA" w14:textId="2778FE70" w:rsidR="00583DB2" w:rsidRDefault="00583DB2" w:rsidP="00583DB2">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To estimate the different diversification measures, we project the portfolio’s weights (re-expressed in standardized-return units) onto the eigenvectors and calculate the share of portfolio variance carried by each component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k</m:t>
            </m:r>
          </m:sub>
        </m:sSub>
      </m:oMath>
      <w:r>
        <w:rPr>
          <w:rFonts w:ascii="Times New Roman" w:hAnsi="Times New Roman" w:cs="Times New Roman"/>
          <w:color w:val="000000" w:themeColor="text1"/>
        </w:rPr>
        <w:t xml:space="preserve">). </w:t>
      </w:r>
      <w:r w:rsidR="00CF26F4">
        <w:rPr>
          <w:rFonts w:ascii="Times New Roman" w:hAnsi="Times New Roman" w:cs="Times New Roman"/>
          <w:color w:val="000000" w:themeColor="text1"/>
        </w:rPr>
        <w:t>A more</w:t>
      </w:r>
      <w:r>
        <w:rPr>
          <w:rFonts w:ascii="Times New Roman" w:hAnsi="Times New Roman" w:cs="Times New Roman"/>
          <w:color w:val="000000" w:themeColor="text1"/>
        </w:rPr>
        <w:t xml:space="preserve"> detailed</w:t>
      </w:r>
      <w:r w:rsidR="00CF26F4">
        <w:rPr>
          <w:rFonts w:ascii="Times New Roman" w:hAnsi="Times New Roman" w:cs="Times New Roman"/>
          <w:color w:val="000000" w:themeColor="text1"/>
        </w:rPr>
        <w:t xml:space="preserve"> explanation and</w:t>
      </w:r>
      <w:r>
        <w:rPr>
          <w:rFonts w:ascii="Times New Roman" w:hAnsi="Times New Roman" w:cs="Times New Roman"/>
          <w:color w:val="000000" w:themeColor="text1"/>
        </w:rPr>
        <w:t xml:space="preserve"> mathematical derivation is shown on appendix B.</w:t>
      </w:r>
    </w:p>
    <w:p w14:paraId="306CA7E0" w14:textId="3A762D85" w:rsidR="00583DB2" w:rsidRDefault="00583DB2" w:rsidP="00583DB2">
      <w:pPr>
        <w:spacing w:after="120" w:line="276" w:lineRule="auto"/>
        <w:jc w:val="both"/>
        <w:rPr>
          <w:rFonts w:ascii="Times New Roman" w:hAnsi="Times New Roman" w:cs="Times New Roman"/>
          <w:color w:val="000000" w:themeColor="text1"/>
        </w:rPr>
      </w:pPr>
      <w:r w:rsidRPr="00583DB2">
        <w:rPr>
          <w:rFonts w:ascii="Times New Roman" w:hAnsi="Times New Roman" w:cs="Times New Roman"/>
          <w:color w:val="000000" w:themeColor="text1"/>
        </w:rPr>
        <w:t>Using these component-level variance contributions</w:t>
      </w:r>
      <w:r>
        <w:rPr>
          <w:rFonts w:ascii="Times New Roman" w:hAnsi="Times New Roman" w:cs="Times New Roman"/>
          <w:color w:val="000000" w:themeColor="text1"/>
        </w:rPr>
        <w:t>, we propose the following measures of diversification:</w:t>
      </w:r>
    </w:p>
    <w:p w14:paraId="1B829285" w14:textId="7CFF3D8F" w:rsidR="00F7387B" w:rsidRPr="0061217E" w:rsidRDefault="00F7387B" w:rsidP="00F7387B">
      <w:pPr>
        <w:pStyle w:val="ListParagraph"/>
        <w:numPr>
          <w:ilvl w:val="0"/>
          <w:numId w:val="4"/>
        </w:numPr>
        <w:spacing w:after="120"/>
        <w:rPr>
          <w:rFonts w:ascii="Times New Roman" w:hAnsi="Times New Roman" w:cs="Times New Roman"/>
        </w:rPr>
      </w:pPr>
      <w:r w:rsidRPr="0061217E">
        <w:rPr>
          <w:rFonts w:ascii="Times New Roman" w:hAnsi="Times New Roman" w:cs="Times New Roman"/>
          <w:b/>
          <w:bCs/>
        </w:rPr>
        <w:t>Entropy-based measure of diversification (Meucci, 2010):</w:t>
      </w:r>
    </w:p>
    <w:p w14:paraId="7B3BCA5C" w14:textId="0E300B72" w:rsidR="00F7387B" w:rsidRPr="0061217E" w:rsidRDefault="00F7387B" w:rsidP="00F7387B">
      <w:pPr>
        <w:spacing w:before="120" w:after="120"/>
        <w:ind w:left="504"/>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ent</m:t>
              </m:r>
            </m:sub>
          </m:sSub>
          <m:r>
            <w:rPr>
              <w:rFonts w:ascii="Cambria Math" w:hAnsi="Cambria Math" w:cs="Times New Roman"/>
            </w:rPr>
            <m:t xml:space="preserve"> = </m:t>
          </m:r>
          <m:func>
            <m:funcPr>
              <m:ctrlPr>
                <w:rPr>
                  <w:rFonts w:ascii="Cambria Math" w:hAnsi="Cambria Math" w:cs="Times New Roman"/>
                </w:rPr>
              </m:ctrlPr>
            </m:funcPr>
            <m:fName>
              <m: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k</m:t>
                      </m:r>
                    </m:sub>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r>
                        <w:rPr>
                          <w:rFonts w:ascii="Cambria Math" w:hAnsi="Cambria Math" w:cs="Times New Roman"/>
                        </w:rPr>
                        <m:t xml:space="preserve"> ln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e>
                  </m:nary>
                </m:e>
              </m:d>
            </m:e>
          </m:func>
        </m:oMath>
      </m:oMathPara>
    </w:p>
    <w:p w14:paraId="3868900B" w14:textId="77777777" w:rsidR="00F7387B" w:rsidRPr="0061217E" w:rsidRDefault="00F7387B" w:rsidP="00F7387B">
      <w:pPr>
        <w:spacing w:after="240"/>
        <w:ind w:left="504"/>
        <w:jc w:val="both"/>
        <w:rPr>
          <w:rFonts w:ascii="Times New Roman" w:hAnsi="Times New Roman" w:cs="Times New Roman"/>
        </w:rPr>
      </w:pPr>
      <w:r w:rsidRPr="0061217E">
        <w:rPr>
          <w:rFonts w:ascii="Times New Roman" w:hAnsi="Times New Roman" w:cs="Times New Roman"/>
        </w:rPr>
        <w:t xml:space="preserve">This formula measures the dispersion of the distribution of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e>
        </m:d>
      </m:oMath>
      <w:r w:rsidRPr="0061217E">
        <w:rPr>
          <w:rFonts w:ascii="Times New Roman" w:hAnsi="Times New Roman" w:cs="Times New Roman"/>
        </w:rPr>
        <w:t xml:space="preserve">. For a completely concentrated portfolio,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ent</m:t>
            </m:r>
          </m:sub>
        </m:sSub>
        <m:r>
          <w:rPr>
            <w:rFonts w:ascii="Cambria Math" w:hAnsi="Cambria Math" w:cs="Times New Roman"/>
          </w:rPr>
          <m:t xml:space="preserve"> = 0</m:t>
        </m:r>
      </m:oMath>
      <w:r w:rsidRPr="0061217E">
        <w:rPr>
          <w:rFonts w:ascii="Times New Roman" w:hAnsi="Times New Roman" w:cs="Times New Roman"/>
        </w:rPr>
        <w:t xml:space="preserve">. For a completely diversified portfolio,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ent</m:t>
            </m:r>
          </m:sub>
        </m:sSub>
        <m:r>
          <w:rPr>
            <w:rFonts w:ascii="Cambria Math" w:hAnsi="Cambria Math" w:cs="Times New Roman"/>
          </w:rPr>
          <m:t xml:space="preserve"> = K</m:t>
        </m:r>
      </m:oMath>
      <w:r w:rsidRPr="0061217E">
        <w:rPr>
          <w:rFonts w:ascii="Times New Roman" w:hAnsi="Times New Roman" w:cs="Times New Roman"/>
        </w:rPr>
        <w:t xml:space="preserve">. In essence,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ent</m:t>
            </m:r>
          </m:sub>
        </m:sSub>
      </m:oMath>
      <w:r w:rsidRPr="0061217E">
        <w:rPr>
          <w:rFonts w:ascii="Times New Roman" w:hAnsi="Times New Roman" w:cs="Times New Roman"/>
        </w:rPr>
        <w:t xml:space="preserve"> is the effective number of uncorrelated risk sources.</w:t>
      </w:r>
    </w:p>
    <w:p w14:paraId="32C873C3" w14:textId="0D7A367C" w:rsidR="00F7387B" w:rsidRPr="0061217E" w:rsidRDefault="00F7387B" w:rsidP="00F7387B">
      <w:pPr>
        <w:pStyle w:val="ListParagraph"/>
        <w:numPr>
          <w:ilvl w:val="0"/>
          <w:numId w:val="4"/>
        </w:numPr>
        <w:spacing w:after="240"/>
        <w:jc w:val="both"/>
        <w:rPr>
          <w:rFonts w:ascii="Times New Roman" w:hAnsi="Times New Roman" w:cs="Times New Roman"/>
        </w:rPr>
      </w:pPr>
      <w:r w:rsidRPr="0061217E">
        <w:rPr>
          <w:rFonts w:ascii="Times New Roman" w:hAnsi="Times New Roman" w:cs="Times New Roman"/>
          <w:b/>
          <w:bCs/>
        </w:rPr>
        <w:t>Herfindahl–Hirschman index measure of diversification</w:t>
      </w:r>
      <w:r w:rsidRPr="0061217E">
        <w:rPr>
          <w:rFonts w:ascii="Times New Roman" w:hAnsi="Times New Roman" w:cs="Times New Roman"/>
          <w:b/>
          <w:bCs/>
        </w:rPr>
        <w:t>:</w:t>
      </w:r>
    </w:p>
    <w:p w14:paraId="4F0DBCAE" w14:textId="6DF59C53" w:rsidR="00F7387B" w:rsidRPr="0061217E" w:rsidRDefault="00F7387B" w:rsidP="00F7387B">
      <w:pPr>
        <w:spacing w:before="120" w:after="120"/>
        <w:ind w:left="504"/>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HHI</m:t>
              </m:r>
            </m:sub>
          </m:sSub>
          <m:r>
            <w:rPr>
              <w:rFonts w:ascii="Cambria Math" w:hAnsi="Cambria Math" w:cs="Times New Roman"/>
            </w:rPr>
            <m:t xml:space="preserve"> = </m:t>
          </m:r>
          <m:f>
            <m:fPr>
              <m:ctrlPr>
                <w:rPr>
                  <w:rFonts w:ascii="Cambria Math" w:hAnsi="Cambria Math" w:cs="Times New Roman"/>
                </w:rPr>
              </m:ctrlPr>
            </m:fPr>
            <m:num>
              <m:r>
                <w:rPr>
                  <w:rFonts w:ascii="Cambria Math" w:hAnsi="Cambria Math" w:cs="Times New Roman"/>
                </w:rPr>
                <m:t>1</m:t>
              </m:r>
            </m:num>
            <m:den>
              <m:nary>
                <m:naryPr>
                  <m:chr m:val="∑"/>
                  <m:limLoc m:val="undOvr"/>
                  <m:supHide m:val="1"/>
                  <m:ctrlPr>
                    <w:rPr>
                      <w:rFonts w:ascii="Cambria Math" w:hAnsi="Cambria Math" w:cs="Times New Roman"/>
                      <w:i/>
                    </w:rPr>
                  </m:ctrlPr>
                </m:naryPr>
                <m:sub>
                  <m:r>
                    <w:rPr>
                      <w:rFonts w:ascii="Cambria Math" w:hAnsi="Cambria Math" w:cs="Times New Roman"/>
                    </w:rPr>
                    <m:t>k</m:t>
                  </m:r>
                </m:sub>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den>
          </m:f>
        </m:oMath>
      </m:oMathPara>
    </w:p>
    <w:p w14:paraId="5D0C4BEE" w14:textId="2A569987" w:rsidR="00F7387B" w:rsidRPr="0061217E" w:rsidRDefault="00F7387B" w:rsidP="00F7387B">
      <w:pPr>
        <w:spacing w:after="240"/>
        <w:ind w:left="504"/>
        <w:jc w:val="both"/>
        <w:rPr>
          <w:rFonts w:ascii="Times New Roman" w:hAnsi="Times New Roman" w:cs="Times New Roman"/>
        </w:rPr>
      </w:pPr>
      <w:r w:rsidRPr="0061217E">
        <w:rPr>
          <w:rFonts w:ascii="Times New Roman" w:hAnsi="Times New Roman" w:cs="Times New Roman"/>
        </w:rPr>
        <w:t>We use the inverse instead of the raw HHI (</w:t>
      </w:r>
      <m:oMath>
        <m:nary>
          <m:naryPr>
            <m:chr m:val="∑"/>
            <m:limLoc m:val="undOvr"/>
            <m:supHide m:val="1"/>
            <m:ctrlPr>
              <w:rPr>
                <w:rFonts w:ascii="Cambria Math" w:hAnsi="Cambria Math" w:cs="Times New Roman"/>
                <w:i/>
              </w:rPr>
            </m:ctrlPr>
          </m:naryPr>
          <m:sub>
            <m:r>
              <w:rPr>
                <w:rFonts w:ascii="Cambria Math" w:hAnsi="Cambria Math" w:cs="Times New Roman"/>
              </w:rPr>
              <m:t>k</m:t>
            </m:r>
          </m:sub>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w:r w:rsidRPr="0061217E">
        <w:rPr>
          <w:rFonts w:ascii="Times New Roman" w:hAnsi="Times New Roman" w:cs="Times New Roman"/>
        </w:rPr>
        <w:t xml:space="preserve">) to be consistent with the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ent</m:t>
            </m:r>
          </m:sub>
        </m:sSub>
      </m:oMath>
      <w:r w:rsidRPr="0061217E">
        <w:rPr>
          <w:rFonts w:ascii="Times New Roman" w:hAnsi="Times New Roman" w:cs="Times New Roman"/>
        </w:rPr>
        <w:t xml:space="preserve"> measure. Higher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HHI</m:t>
            </m:r>
          </m:sub>
        </m:sSub>
      </m:oMath>
      <w:r w:rsidRPr="0061217E">
        <w:rPr>
          <w:rFonts w:ascii="Times New Roman" w:hAnsi="Times New Roman" w:cs="Times New Roman"/>
        </w:rPr>
        <w:t xml:space="preserve"> reflects more diversification.</w:t>
      </w:r>
    </w:p>
    <w:p w14:paraId="3339E4F5" w14:textId="68432DFA" w:rsidR="006A4370" w:rsidRPr="0061217E" w:rsidRDefault="006A4370" w:rsidP="006A4370">
      <w:pPr>
        <w:pStyle w:val="ListParagraph"/>
        <w:numPr>
          <w:ilvl w:val="0"/>
          <w:numId w:val="3"/>
        </w:numPr>
        <w:spacing w:after="120"/>
        <w:rPr>
          <w:rFonts w:ascii="Times New Roman" w:hAnsi="Times New Roman" w:cs="Times New Roman"/>
        </w:rPr>
      </w:pPr>
      <w:r w:rsidRPr="0061217E">
        <w:rPr>
          <w:rFonts w:ascii="Times New Roman" w:hAnsi="Times New Roman" w:cs="Times New Roman"/>
          <w:b/>
          <w:bCs/>
        </w:rPr>
        <w:t xml:space="preserve">Fraction of variance explained by top </w:t>
      </w:r>
      <w:r w:rsidRPr="0061217E">
        <w:rPr>
          <w:rFonts w:ascii="Times New Roman" w:hAnsi="Times New Roman" w:cs="Times New Roman"/>
          <w:b/>
          <w:bCs/>
        </w:rPr>
        <w:t>10</w:t>
      </w:r>
      <w:r w:rsidRPr="0061217E">
        <w:rPr>
          <w:rFonts w:ascii="Times New Roman" w:hAnsi="Times New Roman" w:cs="Times New Roman"/>
          <w:b/>
          <w:bCs/>
        </w:rPr>
        <w:t xml:space="preserve"> components</w:t>
      </w:r>
    </w:p>
    <w:p w14:paraId="4F11521C" w14:textId="022107ED" w:rsidR="006A4370" w:rsidRPr="0061217E" w:rsidRDefault="006A4370" w:rsidP="006A4370">
      <w:pPr>
        <w:spacing w:before="120" w:after="120"/>
        <w:ind w:left="504"/>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Var</m:t>
              </m:r>
            </m:e>
            <m:sub>
              <m:r>
                <w:rPr>
                  <w:rFonts w:ascii="Cambria Math" w:hAnsi="Cambria Math" w:cs="Times New Roman"/>
                </w:rPr>
                <m:t>top</m:t>
              </m:r>
              <m:r>
                <w:rPr>
                  <w:rFonts w:ascii="Cambria Math" w:hAnsi="Cambria Math" w:cs="Times New Roman"/>
                </w:rPr>
                <m:t>10</m:t>
              </m:r>
            </m:sub>
          </m:sSub>
          <m:r>
            <w:rPr>
              <w:rFonts w:ascii="Cambria Math" w:hAnsi="Cambria Math" w:cs="Times New Roman"/>
            </w:rPr>
            <m:t xml:space="preserve"> = </m:t>
          </m:r>
          <m:nary>
            <m:naryPr>
              <m:chr m:val="∑"/>
              <m:limLoc m:val="undOvr"/>
              <m:ctrlPr>
                <w:rPr>
                  <w:rFonts w:ascii="Cambria Math" w:hAnsi="Cambria Math" w:cs="Times New Roman"/>
                </w:rPr>
              </m:ctrlPr>
            </m:naryPr>
            <m:sub>
              <m:r>
                <w:rPr>
                  <w:rFonts w:ascii="Cambria Math" w:hAnsi="Cambria Math" w:cs="Times New Roman"/>
                </w:rPr>
                <m:t>k = 1</m:t>
              </m:r>
            </m:sub>
            <m:sup>
              <m:r>
                <w:rPr>
                  <w:rFonts w:ascii="Cambria Math" w:hAnsi="Cambria Math" w:cs="Times New Roman"/>
                </w:rPr>
                <m:t>10</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e>
          </m:nary>
        </m:oMath>
      </m:oMathPara>
    </w:p>
    <w:p w14:paraId="6687E478" w14:textId="2BE0B534" w:rsidR="006A4370" w:rsidRPr="0061217E" w:rsidRDefault="006A4370" w:rsidP="006A4370">
      <w:pPr>
        <w:ind w:left="504"/>
        <w:jc w:val="both"/>
        <w:rPr>
          <w:rFonts w:ascii="Times New Roman" w:hAnsi="Times New Roman" w:cs="Times New Roman"/>
        </w:rPr>
      </w:pPr>
      <w:r w:rsidRPr="0061217E">
        <w:rPr>
          <w:rFonts w:ascii="Times New Roman" w:hAnsi="Times New Roman" w:cs="Times New Roman"/>
        </w:rPr>
        <w:lastRenderedPageBreak/>
        <w:t xml:space="preserve">This is an </w:t>
      </w:r>
      <w:r w:rsidRPr="0061217E">
        <w:rPr>
          <w:rFonts w:ascii="Times New Roman" w:hAnsi="Times New Roman" w:cs="Times New Roman"/>
        </w:rPr>
        <w:t xml:space="preserve">analogous </w:t>
      </w:r>
      <w:r w:rsidRPr="0061217E">
        <w:rPr>
          <w:rFonts w:ascii="Times New Roman" w:hAnsi="Times New Roman" w:cs="Times New Roman"/>
        </w:rPr>
        <w:t>measure to the Absorption Ratio in Kritzman</w:t>
      </w:r>
      <w:r w:rsidRPr="0061217E">
        <w:rPr>
          <w:rFonts w:ascii="Times New Roman" w:hAnsi="Times New Roman" w:cs="Times New Roman"/>
        </w:rPr>
        <w:t xml:space="preserve"> et al. (</w:t>
      </w:r>
      <w:r w:rsidRPr="0061217E">
        <w:rPr>
          <w:rFonts w:ascii="Times New Roman" w:hAnsi="Times New Roman" w:cs="Times New Roman"/>
        </w:rPr>
        <w:t>201</w:t>
      </w:r>
      <w:r w:rsidRPr="0061217E">
        <w:rPr>
          <w:rFonts w:ascii="Times New Roman" w:hAnsi="Times New Roman" w:cs="Times New Roman"/>
        </w:rPr>
        <w:t>1</w:t>
      </w:r>
      <w:r w:rsidRPr="0061217E">
        <w:rPr>
          <w:rFonts w:ascii="Times New Roman" w:hAnsi="Times New Roman" w:cs="Times New Roman"/>
        </w:rPr>
        <w:t>).</w:t>
      </w:r>
    </w:p>
    <w:p w14:paraId="186C8644" w14:textId="77777777" w:rsidR="00CA140A" w:rsidRPr="00FD24BA" w:rsidRDefault="00000000">
      <w:pPr>
        <w:pStyle w:val="Heading2"/>
        <w:spacing w:before="200" w:after="90"/>
        <w:rPr>
          <w:rFonts w:ascii="Times New Roman" w:hAnsi="Times New Roman" w:cs="Times New Roman"/>
          <w:color w:val="000000" w:themeColor="text1"/>
        </w:rPr>
      </w:pPr>
      <w:r w:rsidRPr="00FD24BA">
        <w:rPr>
          <w:rFonts w:ascii="Times New Roman" w:hAnsi="Times New Roman" w:cs="Times New Roman"/>
          <w:b/>
          <w:bCs/>
          <w:color w:val="000000" w:themeColor="text1"/>
          <w:sz w:val="23"/>
          <w:szCs w:val="23"/>
        </w:rPr>
        <w:t>2.4 Portfolio construction and implementation choices</w:t>
      </w:r>
    </w:p>
    <w:p w14:paraId="4EA14770" w14:textId="2CAF72FE" w:rsidR="0061217E" w:rsidRDefault="0061217E" w:rsidP="006B7CEC">
      <w:pPr>
        <w:spacing w:after="120" w:line="276" w:lineRule="auto"/>
        <w:jc w:val="both"/>
        <w:rPr>
          <w:rFonts w:ascii="Times New Roman" w:hAnsi="Times New Roman" w:cs="Times New Roman"/>
          <w:color w:val="000000" w:themeColor="text1"/>
        </w:rPr>
      </w:pPr>
      <w:r>
        <w:rPr>
          <w:rFonts w:ascii="Times New Roman" w:hAnsi="Times New Roman" w:cs="Times New Roman"/>
          <w:color w:val="000000" w:themeColor="text1"/>
        </w:rPr>
        <w:t>We form five different portfolios each day using the following methods: equal-weight, capitalization-weighted, equal risk contribution, minimum variance, and maximum diversification.</w:t>
      </w:r>
      <w:r w:rsidR="006B7CEC">
        <w:rPr>
          <w:rFonts w:ascii="Times New Roman" w:hAnsi="Times New Roman" w:cs="Times New Roman"/>
          <w:color w:val="000000" w:themeColor="text1"/>
        </w:rPr>
        <w:t xml:space="preserve"> All methods are forced to construct long-only portfolios.</w:t>
      </w:r>
      <w:r>
        <w:rPr>
          <w:rFonts w:ascii="Times New Roman" w:hAnsi="Times New Roman" w:cs="Times New Roman"/>
          <w:color w:val="000000" w:themeColor="text1"/>
        </w:rPr>
        <w:t xml:space="preserve"> These are traditional portfolio construction methods that claim to be diversified. For the last three methods, w</w:t>
      </w:r>
      <w:r w:rsidR="00000000" w:rsidRPr="00FD24BA">
        <w:rPr>
          <w:rFonts w:ascii="Times New Roman" w:hAnsi="Times New Roman" w:cs="Times New Roman"/>
          <w:color w:val="000000" w:themeColor="text1"/>
        </w:rPr>
        <w:t>eights are computed from the shrunk covariance</w:t>
      </w:r>
      <w:r>
        <w:rPr>
          <w:rFonts w:ascii="Times New Roman" w:hAnsi="Times New Roman" w:cs="Times New Roman"/>
          <w:color w:val="000000" w:themeColor="text1"/>
        </w:rPr>
        <w:t xml:space="preserve"> matrix</w:t>
      </w:r>
      <w:r w:rsidR="006B7CEC">
        <w:rPr>
          <w:rFonts w:ascii="Times New Roman" w:hAnsi="Times New Roman" w:cs="Times New Roman"/>
          <w:color w:val="000000" w:themeColor="text1"/>
        </w:rPr>
        <w:t>.</w:t>
      </w:r>
      <w:r>
        <w:rPr>
          <w:rFonts w:ascii="Times New Roman" w:hAnsi="Times New Roman" w:cs="Times New Roman"/>
          <w:color w:val="000000" w:themeColor="text1"/>
        </w:rPr>
        <w:t xml:space="preserve"> A summary explanation of each portfolio construction method is shown in appendix C.</w:t>
      </w:r>
    </w:p>
    <w:p w14:paraId="5AC79D33" w14:textId="77777777" w:rsidR="0061217E" w:rsidRDefault="0061217E">
      <w:pPr>
        <w:pStyle w:val="Heading1"/>
        <w:spacing w:before="260" w:after="120"/>
        <w:rPr>
          <w:rFonts w:ascii="Times New Roman" w:hAnsi="Times New Roman" w:cs="Times New Roman"/>
          <w:b/>
          <w:bCs/>
          <w:color w:val="000000" w:themeColor="text1"/>
          <w:sz w:val="27"/>
          <w:szCs w:val="27"/>
        </w:rPr>
      </w:pPr>
    </w:p>
    <w:p w14:paraId="22A40F3E" w14:textId="6BD162C9" w:rsidR="00CA140A" w:rsidRPr="00FD24BA" w:rsidRDefault="00000000">
      <w:pPr>
        <w:pStyle w:val="Heading1"/>
        <w:spacing w:before="260" w:after="120"/>
        <w:rPr>
          <w:rFonts w:ascii="Times New Roman" w:hAnsi="Times New Roman" w:cs="Times New Roman"/>
          <w:color w:val="000000" w:themeColor="text1"/>
        </w:rPr>
      </w:pPr>
      <w:r w:rsidRPr="0059334F">
        <w:rPr>
          <w:rFonts w:ascii="Times New Roman" w:hAnsi="Times New Roman" w:cs="Times New Roman"/>
          <w:b/>
          <w:bCs/>
          <w:color w:val="000000" w:themeColor="text1"/>
          <w:sz w:val="27"/>
          <w:szCs w:val="27"/>
          <w:highlight w:val="yellow"/>
        </w:rPr>
        <w:t>3. Market structure over time</w:t>
      </w:r>
    </w:p>
    <w:p w14:paraId="0AE97772"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 xml:space="preserve">[Section owner: Chirag — draft below for integration.] </w:t>
      </w:r>
      <w:r w:rsidRPr="00FD24BA">
        <w:rPr>
          <w:rFonts w:ascii="Times New Roman" w:hAnsi="Times New Roman" w:cs="Times New Roman"/>
          <w:color w:val="000000" w:themeColor="text1"/>
        </w:rPr>
        <w:t>Average pairwise correlation among the largest names swings widely over the sample, from roughly 0.14 in the calmest stretches to 0.57 at the height of the GFC and euro-zone episodes (Figure 1). Correlation is the single best real-time barometer of market stress: it jumps almost discontinuously at each crisis marker and decays slowly afterwards.</w:t>
      </w:r>
    </w:p>
    <w:p w14:paraId="3998138D" w14:textId="77777777" w:rsidR="00CA140A" w:rsidRPr="00FD24BA" w:rsidRDefault="00000000">
      <w:pPr>
        <w:spacing w:before="80" w:after="40"/>
        <w:jc w:val="center"/>
        <w:rPr>
          <w:rFonts w:ascii="Times New Roman" w:hAnsi="Times New Roman" w:cs="Times New Roman"/>
          <w:color w:val="000000" w:themeColor="text1"/>
        </w:rPr>
      </w:pPr>
      <w:r w:rsidRPr="00FD24BA">
        <w:rPr>
          <w:rFonts w:ascii="Times New Roman" w:hAnsi="Times New Roman" w:cs="Times New Roman"/>
          <w:noProof/>
          <w:color w:val="000000" w:themeColor="text1"/>
        </w:rPr>
        <w:drawing>
          <wp:inline distT="0" distB="0" distL="0" distR="0" wp14:anchorId="149C64AA" wp14:editId="4ECE78C4">
            <wp:extent cx="5334000" cy="17621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762125"/>
                    </a:xfrm>
                    <a:prstGeom prst="rect">
                      <a:avLst/>
                    </a:prstGeom>
                  </pic:spPr>
                </pic:pic>
              </a:graphicData>
            </a:graphic>
          </wp:inline>
        </w:drawing>
      </w:r>
    </w:p>
    <w:p w14:paraId="1A32D879" w14:textId="77777777" w:rsidR="00CA140A" w:rsidRPr="00FD24BA" w:rsidRDefault="00000000">
      <w:pPr>
        <w:spacing w:after="160"/>
        <w:jc w:val="center"/>
        <w:rPr>
          <w:rFonts w:ascii="Times New Roman" w:hAnsi="Times New Roman" w:cs="Times New Roman"/>
          <w:color w:val="000000" w:themeColor="text1"/>
        </w:rPr>
      </w:pPr>
      <w:r w:rsidRPr="00FD24BA">
        <w:rPr>
          <w:rFonts w:ascii="Times New Roman" w:hAnsi="Times New Roman" w:cs="Times New Roman"/>
          <w:i/>
          <w:iCs/>
          <w:color w:val="000000" w:themeColor="text1"/>
          <w:sz w:val="17"/>
          <w:szCs w:val="17"/>
        </w:rPr>
        <w:t>Figure 1. Rolling 252-day average pairwise correlation, top-250 names. Correlation sits near a multi-year low (~0.17) entering 2025 and spikes toward ~0.29 at the tariff shock.</w:t>
      </w:r>
    </w:p>
    <w:p w14:paraId="2BA7620A"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color w:val="000000" w:themeColor="text1"/>
        </w:rPr>
        <w:t>The PCA tells the same story in factor space (Figure 2). The share of variance explained by the first principal component — a market-synchronisation gauge — ranges from ~20% in calm markets to ~55% in the GFC, and the number of components needed to explain 75% of variance collapses from ~150 to ~50 during crises. Both series move sharply at the 2025 tariff marker.</w:t>
      </w:r>
    </w:p>
    <w:p w14:paraId="4F68E96E" w14:textId="77777777" w:rsidR="00CA140A" w:rsidRPr="00FD24BA" w:rsidRDefault="00000000">
      <w:pPr>
        <w:spacing w:before="80" w:after="40"/>
        <w:jc w:val="center"/>
        <w:rPr>
          <w:rFonts w:ascii="Times New Roman" w:hAnsi="Times New Roman" w:cs="Times New Roman"/>
          <w:color w:val="000000" w:themeColor="text1"/>
        </w:rPr>
      </w:pPr>
      <w:r w:rsidRPr="00FD24BA">
        <w:rPr>
          <w:rFonts w:ascii="Times New Roman" w:hAnsi="Times New Roman" w:cs="Times New Roman"/>
          <w:noProof/>
          <w:color w:val="000000" w:themeColor="text1"/>
        </w:rPr>
        <w:lastRenderedPageBreak/>
        <w:drawing>
          <wp:inline distT="0" distB="0" distL="0" distR="0" wp14:anchorId="61FBDB15" wp14:editId="16109357">
            <wp:extent cx="5334000" cy="3200400"/>
            <wp:effectExtent l="0" t="0" r="0" b="0"/>
            <wp:docPr id="222499036" name="Picture 222499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200400"/>
                    </a:xfrm>
                    <a:prstGeom prst="rect">
                      <a:avLst/>
                    </a:prstGeom>
                  </pic:spPr>
                </pic:pic>
              </a:graphicData>
            </a:graphic>
          </wp:inline>
        </w:drawing>
      </w:r>
    </w:p>
    <w:p w14:paraId="06D00BF6" w14:textId="77777777" w:rsidR="00CA140A" w:rsidRDefault="00000000">
      <w:pPr>
        <w:spacing w:after="160"/>
        <w:jc w:val="center"/>
        <w:rPr>
          <w:rFonts w:ascii="Times New Roman" w:hAnsi="Times New Roman" w:cs="Times New Roman"/>
          <w:i/>
          <w:iCs/>
          <w:color w:val="000000" w:themeColor="text1"/>
          <w:sz w:val="17"/>
          <w:szCs w:val="17"/>
        </w:rPr>
      </w:pPr>
      <w:r w:rsidRPr="00FD24BA">
        <w:rPr>
          <w:rFonts w:ascii="Times New Roman" w:hAnsi="Times New Roman" w:cs="Times New Roman"/>
          <w:i/>
          <w:iCs/>
          <w:color w:val="000000" w:themeColor="text1"/>
          <w:sz w:val="17"/>
          <w:szCs w:val="17"/>
        </w:rPr>
        <w:t>Figure 2. Rolling PC1 variance share (top) and number of components explaining 75% of variance (bottom). The tariff shock lifts PC1 share from ~20% to ~30% and cuts the 75% count from ~115 to ~92.</w:t>
      </w:r>
    </w:p>
    <w:p w14:paraId="1D4795F9" w14:textId="77777777" w:rsidR="00331A66" w:rsidRPr="00FD24BA" w:rsidRDefault="00331A66">
      <w:pPr>
        <w:spacing w:after="160"/>
        <w:jc w:val="center"/>
        <w:rPr>
          <w:rFonts w:ascii="Times New Roman" w:hAnsi="Times New Roman" w:cs="Times New Roman"/>
          <w:color w:val="000000" w:themeColor="text1"/>
        </w:rPr>
      </w:pPr>
    </w:p>
    <w:p w14:paraId="76679E87" w14:textId="77777777" w:rsidR="00CA140A" w:rsidRDefault="00000000">
      <w:pPr>
        <w:pStyle w:val="Heading1"/>
        <w:spacing w:before="260" w:after="120"/>
        <w:rPr>
          <w:rFonts w:ascii="Times New Roman" w:hAnsi="Times New Roman" w:cs="Times New Roman"/>
          <w:b/>
          <w:bCs/>
          <w:color w:val="000000" w:themeColor="text1"/>
          <w:sz w:val="27"/>
          <w:szCs w:val="27"/>
        </w:rPr>
      </w:pPr>
      <w:r w:rsidRPr="00FD24BA">
        <w:rPr>
          <w:rFonts w:ascii="Times New Roman" w:hAnsi="Times New Roman" w:cs="Times New Roman"/>
          <w:b/>
          <w:bCs/>
          <w:color w:val="000000" w:themeColor="text1"/>
          <w:sz w:val="27"/>
          <w:szCs w:val="27"/>
        </w:rPr>
        <w:t>4. Diversification across the full sample</w:t>
      </w:r>
    </w:p>
    <w:p w14:paraId="41CB05FE" w14:textId="77777777" w:rsidR="0059334F" w:rsidRDefault="0059334F" w:rsidP="00331A66"/>
    <w:p w14:paraId="6FB442EF" w14:textId="0BCC9204" w:rsidR="00331A66" w:rsidRDefault="00423CA1" w:rsidP="00331A66">
      <w:pPr>
        <w:rPr>
          <w:rFonts w:ascii="Times New Roman" w:hAnsi="Times New Roman" w:cs="Times New Roman"/>
        </w:rPr>
      </w:pPr>
      <w:r w:rsidRPr="00423CA1">
        <w:rPr>
          <w:rFonts w:ascii="Times New Roman" w:hAnsi="Times New Roman" w:cs="Times New Roman"/>
        </w:rPr>
        <w:t>In th</w:t>
      </w:r>
      <w:r>
        <w:rPr>
          <w:rFonts w:ascii="Times New Roman" w:hAnsi="Times New Roman" w:cs="Times New Roman"/>
        </w:rPr>
        <w:t>e following plots we show the evolution of each portfolio’s diversification measure through time, as well as the full sample distribution and the values for the full sample median.</w:t>
      </w:r>
    </w:p>
    <w:p w14:paraId="23D7E190" w14:textId="77777777" w:rsidR="00423CA1" w:rsidRPr="00423CA1" w:rsidRDefault="00423CA1" w:rsidP="00331A66">
      <w:pPr>
        <w:rPr>
          <w:rFonts w:ascii="Times New Roman" w:hAnsi="Times New Roman" w:cs="Times New Roman"/>
        </w:rPr>
      </w:pPr>
    </w:p>
    <w:p w14:paraId="3EF840FC" w14:textId="77777777" w:rsidR="00331A66" w:rsidRPr="00331A66" w:rsidRDefault="00331A66" w:rsidP="00331A66">
      <w:pPr>
        <w:rPr>
          <w:rFonts w:ascii="Times New Roman" w:hAnsi="Times New Roman" w:cs="Times New Roman"/>
        </w:rPr>
      </w:pPr>
    </w:p>
    <w:p w14:paraId="76EE7C88" w14:textId="57FC3889" w:rsidR="00331A66" w:rsidRDefault="00D23BC9" w:rsidP="00D23BC9">
      <w:pPr>
        <w:jc w:val="center"/>
      </w:pPr>
      <w:r w:rsidRPr="00D23BC9">
        <w:drawing>
          <wp:inline distT="0" distB="0" distL="0" distR="0" wp14:anchorId="0211C72D" wp14:editId="6D200ED0">
            <wp:extent cx="6400800" cy="1576070"/>
            <wp:effectExtent l="0" t="0" r="0" b="5080"/>
            <wp:docPr id="136032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24885" name=""/>
                    <pic:cNvPicPr/>
                  </pic:nvPicPr>
                  <pic:blipFill>
                    <a:blip r:embed="rId9"/>
                    <a:stretch>
                      <a:fillRect/>
                    </a:stretch>
                  </pic:blipFill>
                  <pic:spPr>
                    <a:xfrm>
                      <a:off x="0" y="0"/>
                      <a:ext cx="6400800" cy="1576070"/>
                    </a:xfrm>
                    <a:prstGeom prst="rect">
                      <a:avLst/>
                    </a:prstGeom>
                  </pic:spPr>
                </pic:pic>
              </a:graphicData>
            </a:graphic>
          </wp:inline>
        </w:drawing>
      </w:r>
    </w:p>
    <w:p w14:paraId="751864C5" w14:textId="2A4622EE" w:rsidR="00423CA1" w:rsidRDefault="00423CA1" w:rsidP="00423CA1">
      <w:pPr>
        <w:spacing w:after="160"/>
        <w:rPr>
          <w:rFonts w:ascii="Times New Roman" w:hAnsi="Times New Roman" w:cs="Times New Roman"/>
          <w:i/>
          <w:iCs/>
          <w:color w:val="000000" w:themeColor="text1"/>
          <w:sz w:val="17"/>
          <w:szCs w:val="17"/>
        </w:rPr>
      </w:pPr>
      <w:r w:rsidRPr="00FD24BA">
        <w:rPr>
          <w:rFonts w:ascii="Times New Roman" w:hAnsi="Times New Roman" w:cs="Times New Roman"/>
          <w:i/>
          <w:iCs/>
          <w:color w:val="000000" w:themeColor="text1"/>
          <w:sz w:val="17"/>
          <w:szCs w:val="17"/>
        </w:rPr>
        <w:t xml:space="preserve">Figure </w:t>
      </w:r>
      <w:r>
        <w:rPr>
          <w:rFonts w:ascii="Times New Roman" w:hAnsi="Times New Roman" w:cs="Times New Roman"/>
          <w:i/>
          <w:iCs/>
          <w:color w:val="000000" w:themeColor="text1"/>
          <w:sz w:val="17"/>
          <w:szCs w:val="17"/>
        </w:rPr>
        <w:t>3</w:t>
      </w:r>
      <w:r w:rsidRPr="00FD24BA">
        <w:rPr>
          <w:rFonts w:ascii="Times New Roman" w:hAnsi="Times New Roman" w:cs="Times New Roman"/>
          <w:i/>
          <w:iCs/>
          <w:color w:val="000000" w:themeColor="text1"/>
          <w:sz w:val="17"/>
          <w:szCs w:val="17"/>
        </w:rPr>
        <w:t xml:space="preserve">. </w:t>
      </w:r>
      <w:r>
        <w:rPr>
          <w:rFonts w:ascii="Times New Roman" w:hAnsi="Times New Roman" w:cs="Times New Roman"/>
          <w:i/>
          <w:iCs/>
          <w:color w:val="000000" w:themeColor="text1"/>
          <w:sz w:val="17"/>
          <w:szCs w:val="17"/>
        </w:rPr>
        <w:t>Diversification measures through time</w:t>
      </w:r>
      <w:r w:rsidRPr="00FD24BA">
        <w:rPr>
          <w:rFonts w:ascii="Times New Roman" w:hAnsi="Times New Roman" w:cs="Times New Roman"/>
          <w:i/>
          <w:iCs/>
          <w:color w:val="000000" w:themeColor="text1"/>
          <w:sz w:val="17"/>
          <w:szCs w:val="17"/>
        </w:rPr>
        <w:t xml:space="preserve">. </w:t>
      </w:r>
    </w:p>
    <w:p w14:paraId="5343EC16" w14:textId="77777777" w:rsidR="00D23BC9" w:rsidRDefault="00D23BC9" w:rsidP="00D23BC9">
      <w:pPr>
        <w:jc w:val="center"/>
      </w:pPr>
    </w:p>
    <w:p w14:paraId="00D4F731" w14:textId="77777777" w:rsidR="00423CA1" w:rsidRDefault="00423CA1" w:rsidP="00D23BC9">
      <w:pPr>
        <w:jc w:val="center"/>
      </w:pPr>
    </w:p>
    <w:p w14:paraId="6D9A4240" w14:textId="46CAE4BD" w:rsidR="00D23BC9" w:rsidRDefault="00D23BC9" w:rsidP="00D23BC9">
      <w:pPr>
        <w:jc w:val="center"/>
      </w:pPr>
      <w:r w:rsidRPr="00D23BC9">
        <w:lastRenderedPageBreak/>
        <w:drawing>
          <wp:inline distT="0" distB="0" distL="0" distR="0" wp14:anchorId="70B61148" wp14:editId="1E3AF166">
            <wp:extent cx="5022271" cy="2008909"/>
            <wp:effectExtent l="0" t="0" r="6985" b="0"/>
            <wp:docPr id="1590061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61360" name=""/>
                    <pic:cNvPicPr/>
                  </pic:nvPicPr>
                  <pic:blipFill>
                    <a:blip r:embed="rId10"/>
                    <a:stretch>
                      <a:fillRect/>
                    </a:stretch>
                  </pic:blipFill>
                  <pic:spPr>
                    <a:xfrm>
                      <a:off x="0" y="0"/>
                      <a:ext cx="5022271" cy="2008909"/>
                    </a:xfrm>
                    <a:prstGeom prst="rect">
                      <a:avLst/>
                    </a:prstGeom>
                  </pic:spPr>
                </pic:pic>
              </a:graphicData>
            </a:graphic>
          </wp:inline>
        </w:drawing>
      </w:r>
    </w:p>
    <w:p w14:paraId="60B813F4" w14:textId="77777777" w:rsidR="00331A66" w:rsidRDefault="00331A66" w:rsidP="00331A66"/>
    <w:p w14:paraId="1279072A" w14:textId="31C62D8E" w:rsidR="00423CA1" w:rsidRDefault="00423CA1" w:rsidP="00423CA1">
      <w:pPr>
        <w:spacing w:after="160"/>
        <w:rPr>
          <w:rFonts w:ascii="Times New Roman" w:hAnsi="Times New Roman" w:cs="Times New Roman"/>
          <w:i/>
          <w:iCs/>
          <w:color w:val="000000" w:themeColor="text1"/>
          <w:sz w:val="17"/>
          <w:szCs w:val="17"/>
        </w:rPr>
      </w:pPr>
      <w:r w:rsidRPr="00FD24BA">
        <w:rPr>
          <w:rFonts w:ascii="Times New Roman" w:hAnsi="Times New Roman" w:cs="Times New Roman"/>
          <w:i/>
          <w:iCs/>
          <w:color w:val="000000" w:themeColor="text1"/>
          <w:sz w:val="17"/>
          <w:szCs w:val="17"/>
        </w:rPr>
        <w:t xml:space="preserve">Figure </w:t>
      </w:r>
      <w:r>
        <w:rPr>
          <w:rFonts w:ascii="Times New Roman" w:hAnsi="Times New Roman" w:cs="Times New Roman"/>
          <w:i/>
          <w:iCs/>
          <w:color w:val="000000" w:themeColor="text1"/>
          <w:sz w:val="17"/>
          <w:szCs w:val="17"/>
        </w:rPr>
        <w:t>4</w:t>
      </w:r>
      <w:r w:rsidRPr="00FD24BA">
        <w:rPr>
          <w:rFonts w:ascii="Times New Roman" w:hAnsi="Times New Roman" w:cs="Times New Roman"/>
          <w:i/>
          <w:iCs/>
          <w:color w:val="000000" w:themeColor="text1"/>
          <w:sz w:val="17"/>
          <w:szCs w:val="17"/>
        </w:rPr>
        <w:t xml:space="preserve">. </w:t>
      </w:r>
      <w:r>
        <w:rPr>
          <w:rFonts w:ascii="Times New Roman" w:hAnsi="Times New Roman" w:cs="Times New Roman"/>
          <w:i/>
          <w:iCs/>
          <w:color w:val="000000" w:themeColor="text1"/>
          <w:sz w:val="17"/>
          <w:szCs w:val="17"/>
        </w:rPr>
        <w:t>Full-sample distribution of the diversification measures</w:t>
      </w:r>
      <w:r w:rsidRPr="00FD24BA">
        <w:rPr>
          <w:rFonts w:ascii="Times New Roman" w:hAnsi="Times New Roman" w:cs="Times New Roman"/>
          <w:i/>
          <w:iCs/>
          <w:color w:val="000000" w:themeColor="text1"/>
          <w:sz w:val="17"/>
          <w:szCs w:val="17"/>
        </w:rPr>
        <w:t xml:space="preserve"> </w:t>
      </w:r>
    </w:p>
    <w:p w14:paraId="003989CC" w14:textId="72CBFF5B" w:rsidR="00CA140A" w:rsidRPr="00FD24BA" w:rsidRDefault="00CA140A">
      <w:pPr>
        <w:spacing w:after="120" w:line="276" w:lineRule="auto"/>
        <w:rPr>
          <w:rFonts w:ascii="Times New Roman" w:hAnsi="Times New Roman" w:cs="Times New Roman"/>
          <w:color w:val="000000" w:themeColor="text1"/>
        </w:rPr>
      </w:pP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0"/>
        <w:gridCol w:w="1665"/>
        <w:gridCol w:w="1665"/>
        <w:gridCol w:w="1665"/>
        <w:gridCol w:w="1665"/>
      </w:tblGrid>
      <w:tr w:rsidR="00CA140A" w:rsidRPr="00FD24BA" w14:paraId="7B0F2DFB" w14:textId="77777777" w:rsidTr="00D77655">
        <w:trPr>
          <w:tblHeader/>
        </w:trPr>
        <w:tc>
          <w:tcPr>
            <w:tcW w:w="2700" w:type="dxa"/>
            <w:shd w:val="clear" w:color="auto" w:fill="CAEDFB" w:themeFill="accent4" w:themeFillTint="33"/>
            <w:tcMar>
              <w:top w:w="40" w:type="dxa"/>
              <w:left w:w="80" w:type="dxa"/>
              <w:bottom w:w="40" w:type="dxa"/>
              <w:right w:w="80" w:type="dxa"/>
            </w:tcMar>
          </w:tcPr>
          <w:p w14:paraId="3A68080A"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Portfolio</w:t>
            </w:r>
          </w:p>
        </w:tc>
        <w:tc>
          <w:tcPr>
            <w:tcW w:w="1665" w:type="dxa"/>
            <w:shd w:val="clear" w:color="auto" w:fill="CAEDFB" w:themeFill="accent4" w:themeFillTint="33"/>
            <w:tcMar>
              <w:top w:w="40" w:type="dxa"/>
              <w:left w:w="80" w:type="dxa"/>
              <w:bottom w:w="40" w:type="dxa"/>
              <w:right w:w="80" w:type="dxa"/>
            </w:tcMar>
          </w:tcPr>
          <w:p w14:paraId="4409329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ENB entropy</w:t>
            </w:r>
          </w:p>
        </w:tc>
        <w:tc>
          <w:tcPr>
            <w:tcW w:w="1665" w:type="dxa"/>
            <w:shd w:val="clear" w:color="auto" w:fill="CAEDFB" w:themeFill="accent4" w:themeFillTint="33"/>
            <w:tcMar>
              <w:top w:w="40" w:type="dxa"/>
              <w:left w:w="80" w:type="dxa"/>
              <w:bottom w:w="40" w:type="dxa"/>
              <w:right w:w="80" w:type="dxa"/>
            </w:tcMar>
          </w:tcPr>
          <w:p w14:paraId="2FE598C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ENB HHI</w:t>
            </w:r>
          </w:p>
        </w:tc>
        <w:tc>
          <w:tcPr>
            <w:tcW w:w="1665" w:type="dxa"/>
            <w:shd w:val="clear" w:color="auto" w:fill="CAEDFB" w:themeFill="accent4" w:themeFillTint="33"/>
            <w:tcMar>
              <w:top w:w="40" w:type="dxa"/>
              <w:left w:w="80" w:type="dxa"/>
              <w:bottom w:w="40" w:type="dxa"/>
              <w:right w:w="80" w:type="dxa"/>
            </w:tcMar>
          </w:tcPr>
          <w:p w14:paraId="1621E0C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Top-10 var. expl.</w:t>
            </w:r>
          </w:p>
        </w:tc>
        <w:tc>
          <w:tcPr>
            <w:tcW w:w="1665" w:type="dxa"/>
            <w:shd w:val="clear" w:color="auto" w:fill="CAEDFB" w:themeFill="accent4" w:themeFillTint="33"/>
            <w:tcMar>
              <w:top w:w="40" w:type="dxa"/>
              <w:left w:w="80" w:type="dxa"/>
              <w:bottom w:w="40" w:type="dxa"/>
              <w:right w:w="80" w:type="dxa"/>
            </w:tcMar>
          </w:tcPr>
          <w:p w14:paraId="2CBA1D9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Rank (diversif.)</w:t>
            </w:r>
          </w:p>
        </w:tc>
      </w:tr>
      <w:tr w:rsidR="00DC4C34" w:rsidRPr="00FD24BA" w14:paraId="5EFD02E4" w14:textId="77777777" w:rsidTr="00214726">
        <w:tc>
          <w:tcPr>
            <w:tcW w:w="2700" w:type="dxa"/>
            <w:shd w:val="clear" w:color="auto" w:fill="FFFFFF"/>
            <w:tcMar>
              <w:top w:w="30" w:type="dxa"/>
              <w:left w:w="80" w:type="dxa"/>
              <w:bottom w:w="30" w:type="dxa"/>
              <w:right w:w="80" w:type="dxa"/>
            </w:tcMar>
          </w:tcPr>
          <w:p w14:paraId="1063F27E" w14:textId="77777777" w:rsidR="00DC4C34" w:rsidRPr="00FD24BA" w:rsidRDefault="00DC4C34" w:rsidP="00DC4C34">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Minimum variance</w:t>
            </w:r>
          </w:p>
        </w:tc>
        <w:tc>
          <w:tcPr>
            <w:tcW w:w="1665" w:type="dxa"/>
            <w:shd w:val="clear" w:color="auto" w:fill="FFFFFF"/>
            <w:tcMar>
              <w:top w:w="30" w:type="dxa"/>
              <w:left w:w="80" w:type="dxa"/>
              <w:bottom w:w="30" w:type="dxa"/>
              <w:right w:w="80" w:type="dxa"/>
            </w:tcMar>
            <w:vAlign w:val="center"/>
          </w:tcPr>
          <w:p w14:paraId="655A8C6F" w14:textId="29843A7C"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5.35</w:t>
            </w:r>
          </w:p>
        </w:tc>
        <w:tc>
          <w:tcPr>
            <w:tcW w:w="1665" w:type="dxa"/>
            <w:shd w:val="clear" w:color="auto" w:fill="FFFFFF"/>
            <w:tcMar>
              <w:top w:w="30" w:type="dxa"/>
              <w:left w:w="80" w:type="dxa"/>
              <w:bottom w:w="30" w:type="dxa"/>
              <w:right w:w="80" w:type="dxa"/>
            </w:tcMar>
            <w:vAlign w:val="center"/>
          </w:tcPr>
          <w:p w14:paraId="5DCA7529" w14:textId="18922FB0"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2.06</w:t>
            </w:r>
          </w:p>
        </w:tc>
        <w:tc>
          <w:tcPr>
            <w:tcW w:w="1665" w:type="dxa"/>
            <w:shd w:val="clear" w:color="auto" w:fill="FFFFFF"/>
            <w:tcMar>
              <w:top w:w="30" w:type="dxa"/>
              <w:left w:w="80" w:type="dxa"/>
              <w:bottom w:w="30" w:type="dxa"/>
              <w:right w:w="80" w:type="dxa"/>
            </w:tcMar>
            <w:vAlign w:val="center"/>
          </w:tcPr>
          <w:p w14:paraId="3AFD82E2" w14:textId="1226ADCE"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0.881</w:t>
            </w:r>
          </w:p>
        </w:tc>
        <w:tc>
          <w:tcPr>
            <w:tcW w:w="1665" w:type="dxa"/>
            <w:shd w:val="clear" w:color="auto" w:fill="FFFFFF"/>
            <w:tcMar>
              <w:top w:w="30" w:type="dxa"/>
              <w:left w:w="80" w:type="dxa"/>
              <w:bottom w:w="30" w:type="dxa"/>
              <w:right w:w="80" w:type="dxa"/>
            </w:tcMar>
            <w:vAlign w:val="center"/>
          </w:tcPr>
          <w:p w14:paraId="2A92DB8A" w14:textId="5575ADCA"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w:t>
            </w:r>
          </w:p>
        </w:tc>
      </w:tr>
      <w:tr w:rsidR="00DC4C34" w:rsidRPr="00FD24BA" w14:paraId="16D86D2C" w14:textId="77777777" w:rsidTr="00AF4CC4">
        <w:tc>
          <w:tcPr>
            <w:tcW w:w="2700" w:type="dxa"/>
            <w:shd w:val="clear" w:color="auto" w:fill="F2F2F2"/>
            <w:tcMar>
              <w:top w:w="30" w:type="dxa"/>
              <w:left w:w="80" w:type="dxa"/>
              <w:bottom w:w="30" w:type="dxa"/>
              <w:right w:w="80" w:type="dxa"/>
            </w:tcMar>
          </w:tcPr>
          <w:p w14:paraId="2B64C2CA" w14:textId="77777777" w:rsidR="00DC4C34" w:rsidRPr="00FD24BA" w:rsidRDefault="00DC4C34" w:rsidP="00DC4C34">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Maximum diversification</w:t>
            </w:r>
          </w:p>
        </w:tc>
        <w:tc>
          <w:tcPr>
            <w:tcW w:w="1665" w:type="dxa"/>
            <w:shd w:val="clear" w:color="auto" w:fill="F2F2F2"/>
            <w:tcMar>
              <w:top w:w="30" w:type="dxa"/>
              <w:left w:w="80" w:type="dxa"/>
              <w:bottom w:w="30" w:type="dxa"/>
              <w:right w:w="80" w:type="dxa"/>
            </w:tcMar>
            <w:vAlign w:val="center"/>
          </w:tcPr>
          <w:p w14:paraId="539190AE" w14:textId="2E7D8643"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5.20</w:t>
            </w:r>
          </w:p>
        </w:tc>
        <w:tc>
          <w:tcPr>
            <w:tcW w:w="1665" w:type="dxa"/>
            <w:shd w:val="clear" w:color="auto" w:fill="F2F2F2"/>
            <w:tcMar>
              <w:top w:w="30" w:type="dxa"/>
              <w:left w:w="80" w:type="dxa"/>
              <w:bottom w:w="30" w:type="dxa"/>
              <w:right w:w="80" w:type="dxa"/>
            </w:tcMar>
            <w:vAlign w:val="center"/>
          </w:tcPr>
          <w:p w14:paraId="12684020" w14:textId="7DD88A77"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1.88</w:t>
            </w:r>
          </w:p>
        </w:tc>
        <w:tc>
          <w:tcPr>
            <w:tcW w:w="1665" w:type="dxa"/>
            <w:shd w:val="clear" w:color="auto" w:fill="F2F2F2"/>
            <w:tcMar>
              <w:top w:w="30" w:type="dxa"/>
              <w:left w:w="80" w:type="dxa"/>
              <w:bottom w:w="30" w:type="dxa"/>
              <w:right w:w="80" w:type="dxa"/>
            </w:tcMar>
            <w:vAlign w:val="center"/>
          </w:tcPr>
          <w:p w14:paraId="4470C818" w14:textId="2DF196C2"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0.854</w:t>
            </w:r>
          </w:p>
        </w:tc>
        <w:tc>
          <w:tcPr>
            <w:tcW w:w="1665" w:type="dxa"/>
            <w:shd w:val="clear" w:color="auto" w:fill="F2F2F2"/>
            <w:tcMar>
              <w:top w:w="30" w:type="dxa"/>
              <w:left w:w="80" w:type="dxa"/>
              <w:bottom w:w="30" w:type="dxa"/>
              <w:right w:w="80" w:type="dxa"/>
            </w:tcMar>
            <w:vAlign w:val="center"/>
          </w:tcPr>
          <w:p w14:paraId="35B90A99" w14:textId="0AA5F8A7"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2</w:t>
            </w:r>
          </w:p>
        </w:tc>
      </w:tr>
      <w:tr w:rsidR="00DC4C34" w:rsidRPr="00FD24BA" w14:paraId="1BC97B63" w14:textId="77777777" w:rsidTr="00AF4CC4">
        <w:tc>
          <w:tcPr>
            <w:tcW w:w="2700" w:type="dxa"/>
            <w:shd w:val="clear" w:color="auto" w:fill="FFFFFF"/>
            <w:tcMar>
              <w:top w:w="30" w:type="dxa"/>
              <w:left w:w="80" w:type="dxa"/>
              <w:bottom w:w="30" w:type="dxa"/>
              <w:right w:w="80" w:type="dxa"/>
            </w:tcMar>
          </w:tcPr>
          <w:p w14:paraId="07E0DF72" w14:textId="77777777" w:rsidR="00DC4C34" w:rsidRPr="00FD24BA" w:rsidRDefault="00DC4C34" w:rsidP="00DC4C34">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Cap weight</w:t>
            </w:r>
          </w:p>
        </w:tc>
        <w:tc>
          <w:tcPr>
            <w:tcW w:w="1665" w:type="dxa"/>
            <w:shd w:val="clear" w:color="auto" w:fill="FFFFFF"/>
            <w:tcMar>
              <w:top w:w="30" w:type="dxa"/>
              <w:left w:w="80" w:type="dxa"/>
              <w:bottom w:w="30" w:type="dxa"/>
              <w:right w:w="80" w:type="dxa"/>
            </w:tcMar>
            <w:vAlign w:val="center"/>
          </w:tcPr>
          <w:p w14:paraId="58E8BD34" w14:textId="7F62D4BF"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1.24</w:t>
            </w:r>
          </w:p>
        </w:tc>
        <w:tc>
          <w:tcPr>
            <w:tcW w:w="1665" w:type="dxa"/>
            <w:shd w:val="clear" w:color="auto" w:fill="FFFFFF"/>
            <w:tcMar>
              <w:top w:w="30" w:type="dxa"/>
              <w:left w:w="80" w:type="dxa"/>
              <w:bottom w:w="30" w:type="dxa"/>
              <w:right w:w="80" w:type="dxa"/>
            </w:tcMar>
            <w:vAlign w:val="center"/>
          </w:tcPr>
          <w:p w14:paraId="73AF54D8" w14:textId="4C71BB31"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1.05</w:t>
            </w:r>
          </w:p>
        </w:tc>
        <w:tc>
          <w:tcPr>
            <w:tcW w:w="1665" w:type="dxa"/>
            <w:shd w:val="clear" w:color="auto" w:fill="FFFFFF"/>
            <w:tcMar>
              <w:top w:w="30" w:type="dxa"/>
              <w:left w:w="80" w:type="dxa"/>
              <w:bottom w:w="30" w:type="dxa"/>
              <w:right w:w="80" w:type="dxa"/>
            </w:tcMar>
            <w:vAlign w:val="center"/>
          </w:tcPr>
          <w:p w14:paraId="2856E452" w14:textId="70D733DC"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0.985</w:t>
            </w:r>
          </w:p>
        </w:tc>
        <w:tc>
          <w:tcPr>
            <w:tcW w:w="1665" w:type="dxa"/>
            <w:shd w:val="clear" w:color="auto" w:fill="FFFFFF"/>
            <w:tcMar>
              <w:top w:w="30" w:type="dxa"/>
              <w:left w:w="80" w:type="dxa"/>
              <w:bottom w:w="30" w:type="dxa"/>
              <w:right w:w="80" w:type="dxa"/>
            </w:tcMar>
            <w:vAlign w:val="center"/>
          </w:tcPr>
          <w:p w14:paraId="2881EF63" w14:textId="54ED97E4"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3</w:t>
            </w:r>
          </w:p>
        </w:tc>
      </w:tr>
      <w:tr w:rsidR="00DC4C34" w:rsidRPr="00FD24BA" w14:paraId="20C7EA8A" w14:textId="77777777" w:rsidTr="00AF4CC4">
        <w:tc>
          <w:tcPr>
            <w:tcW w:w="2700" w:type="dxa"/>
            <w:shd w:val="clear" w:color="auto" w:fill="F2F2F2"/>
            <w:tcMar>
              <w:top w:w="30" w:type="dxa"/>
              <w:left w:w="80" w:type="dxa"/>
              <w:bottom w:w="30" w:type="dxa"/>
              <w:right w:w="80" w:type="dxa"/>
            </w:tcMar>
          </w:tcPr>
          <w:p w14:paraId="1B8F5750" w14:textId="77777777" w:rsidR="00DC4C34" w:rsidRPr="00FD24BA" w:rsidRDefault="00DC4C34" w:rsidP="00DC4C34">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Equal-risk contribution</w:t>
            </w:r>
          </w:p>
        </w:tc>
        <w:tc>
          <w:tcPr>
            <w:tcW w:w="1665" w:type="dxa"/>
            <w:shd w:val="clear" w:color="auto" w:fill="F2F2F2"/>
            <w:tcMar>
              <w:top w:w="30" w:type="dxa"/>
              <w:left w:w="80" w:type="dxa"/>
              <w:bottom w:w="30" w:type="dxa"/>
              <w:right w:w="80" w:type="dxa"/>
            </w:tcMar>
            <w:vAlign w:val="center"/>
          </w:tcPr>
          <w:p w14:paraId="65156370" w14:textId="35E21468"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1.05</w:t>
            </w:r>
          </w:p>
        </w:tc>
        <w:tc>
          <w:tcPr>
            <w:tcW w:w="1665" w:type="dxa"/>
            <w:shd w:val="clear" w:color="auto" w:fill="F2F2F2"/>
            <w:tcMar>
              <w:top w:w="30" w:type="dxa"/>
              <w:left w:w="80" w:type="dxa"/>
              <w:bottom w:w="30" w:type="dxa"/>
              <w:right w:w="80" w:type="dxa"/>
            </w:tcMar>
            <w:vAlign w:val="center"/>
          </w:tcPr>
          <w:p w14:paraId="0094B58E" w14:textId="4E4D228C"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1.01</w:t>
            </w:r>
          </w:p>
        </w:tc>
        <w:tc>
          <w:tcPr>
            <w:tcW w:w="1665" w:type="dxa"/>
            <w:shd w:val="clear" w:color="auto" w:fill="F2F2F2"/>
            <w:tcMar>
              <w:top w:w="30" w:type="dxa"/>
              <w:left w:w="80" w:type="dxa"/>
              <w:bottom w:w="30" w:type="dxa"/>
              <w:right w:w="80" w:type="dxa"/>
            </w:tcMar>
            <w:vAlign w:val="center"/>
          </w:tcPr>
          <w:p w14:paraId="6405B158" w14:textId="48A16308"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0.999</w:t>
            </w:r>
          </w:p>
        </w:tc>
        <w:tc>
          <w:tcPr>
            <w:tcW w:w="1665" w:type="dxa"/>
            <w:shd w:val="clear" w:color="auto" w:fill="F2F2F2"/>
            <w:tcMar>
              <w:top w:w="30" w:type="dxa"/>
              <w:left w:w="80" w:type="dxa"/>
              <w:bottom w:w="30" w:type="dxa"/>
              <w:right w:w="80" w:type="dxa"/>
            </w:tcMar>
            <w:vAlign w:val="center"/>
          </w:tcPr>
          <w:p w14:paraId="497175FB" w14:textId="10BF6098"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4</w:t>
            </w:r>
          </w:p>
        </w:tc>
      </w:tr>
      <w:tr w:rsidR="00DC4C34" w:rsidRPr="00FD24BA" w14:paraId="71660507" w14:textId="77777777" w:rsidTr="00AF4CC4">
        <w:tc>
          <w:tcPr>
            <w:tcW w:w="2700" w:type="dxa"/>
            <w:shd w:val="clear" w:color="auto" w:fill="FFFFFF"/>
            <w:tcMar>
              <w:top w:w="30" w:type="dxa"/>
              <w:left w:w="80" w:type="dxa"/>
              <w:bottom w:w="30" w:type="dxa"/>
              <w:right w:w="80" w:type="dxa"/>
            </w:tcMar>
          </w:tcPr>
          <w:p w14:paraId="307D6722" w14:textId="77777777" w:rsidR="00DC4C34" w:rsidRPr="00FD24BA" w:rsidRDefault="00DC4C34" w:rsidP="00DC4C34">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Equal weight</w:t>
            </w:r>
          </w:p>
        </w:tc>
        <w:tc>
          <w:tcPr>
            <w:tcW w:w="1665" w:type="dxa"/>
            <w:shd w:val="clear" w:color="auto" w:fill="FFFFFF"/>
            <w:tcMar>
              <w:top w:w="30" w:type="dxa"/>
              <w:left w:w="80" w:type="dxa"/>
              <w:bottom w:w="30" w:type="dxa"/>
              <w:right w:w="80" w:type="dxa"/>
            </w:tcMar>
            <w:vAlign w:val="center"/>
          </w:tcPr>
          <w:p w14:paraId="55EA4344" w14:textId="499FC37A"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1.04</w:t>
            </w:r>
          </w:p>
        </w:tc>
        <w:tc>
          <w:tcPr>
            <w:tcW w:w="1665" w:type="dxa"/>
            <w:shd w:val="clear" w:color="auto" w:fill="FFFFFF"/>
            <w:tcMar>
              <w:top w:w="30" w:type="dxa"/>
              <w:left w:w="80" w:type="dxa"/>
              <w:bottom w:w="30" w:type="dxa"/>
              <w:right w:w="80" w:type="dxa"/>
            </w:tcMar>
            <w:vAlign w:val="center"/>
          </w:tcPr>
          <w:p w14:paraId="17235F39" w14:textId="522EB311"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1.01</w:t>
            </w:r>
          </w:p>
        </w:tc>
        <w:tc>
          <w:tcPr>
            <w:tcW w:w="1665" w:type="dxa"/>
            <w:shd w:val="clear" w:color="auto" w:fill="FFFFFF"/>
            <w:tcMar>
              <w:top w:w="30" w:type="dxa"/>
              <w:left w:w="80" w:type="dxa"/>
              <w:bottom w:w="30" w:type="dxa"/>
              <w:right w:w="80" w:type="dxa"/>
            </w:tcMar>
            <w:vAlign w:val="center"/>
          </w:tcPr>
          <w:p w14:paraId="4308C72D" w14:textId="47DCF5A4"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0.999</w:t>
            </w:r>
          </w:p>
        </w:tc>
        <w:tc>
          <w:tcPr>
            <w:tcW w:w="1665" w:type="dxa"/>
            <w:shd w:val="clear" w:color="auto" w:fill="FFFFFF"/>
            <w:tcMar>
              <w:top w:w="30" w:type="dxa"/>
              <w:left w:w="80" w:type="dxa"/>
              <w:bottom w:w="30" w:type="dxa"/>
              <w:right w:w="80" w:type="dxa"/>
            </w:tcMar>
            <w:vAlign w:val="center"/>
          </w:tcPr>
          <w:p w14:paraId="42CDEF66" w14:textId="5E019363" w:rsidR="00DC4C34" w:rsidRPr="00DC4C34" w:rsidRDefault="00DC4C34" w:rsidP="00DC4C34">
            <w:pPr>
              <w:jc w:val="center"/>
              <w:rPr>
                <w:rFonts w:ascii="Times New Roman" w:hAnsi="Times New Roman" w:cs="Times New Roman"/>
                <w:color w:val="000000" w:themeColor="text1"/>
                <w:sz w:val="17"/>
                <w:szCs w:val="17"/>
              </w:rPr>
            </w:pPr>
            <w:r w:rsidRPr="00DC4C34">
              <w:rPr>
                <w:rFonts w:ascii="Times New Roman" w:hAnsi="Times New Roman" w:cs="Times New Roman"/>
                <w:color w:val="000000"/>
                <w:sz w:val="17"/>
                <w:szCs w:val="17"/>
              </w:rPr>
              <w:t>5</w:t>
            </w:r>
          </w:p>
        </w:tc>
      </w:tr>
    </w:tbl>
    <w:p w14:paraId="71DBC9BD" w14:textId="60ED8442" w:rsidR="00CA140A" w:rsidRDefault="00000000">
      <w:pPr>
        <w:spacing w:before="40" w:after="160"/>
        <w:rPr>
          <w:rFonts w:ascii="Times New Roman" w:hAnsi="Times New Roman" w:cs="Times New Roman"/>
          <w:i/>
          <w:iCs/>
          <w:color w:val="000000" w:themeColor="text1"/>
          <w:sz w:val="17"/>
          <w:szCs w:val="17"/>
        </w:rPr>
      </w:pPr>
      <w:r w:rsidRPr="00FD24BA">
        <w:rPr>
          <w:rFonts w:ascii="Times New Roman" w:hAnsi="Times New Roman" w:cs="Times New Roman"/>
          <w:i/>
          <w:iCs/>
          <w:color w:val="000000" w:themeColor="text1"/>
          <w:sz w:val="17"/>
          <w:szCs w:val="17"/>
        </w:rPr>
        <w:t>Table 1. Full-sample m</w:t>
      </w:r>
      <w:r w:rsidR="00423CA1">
        <w:rPr>
          <w:rFonts w:ascii="Times New Roman" w:hAnsi="Times New Roman" w:cs="Times New Roman"/>
          <w:i/>
          <w:iCs/>
          <w:color w:val="000000" w:themeColor="text1"/>
          <w:sz w:val="17"/>
          <w:szCs w:val="17"/>
        </w:rPr>
        <w:t>edian</w:t>
      </w:r>
      <w:r w:rsidRPr="00FD24BA">
        <w:rPr>
          <w:rFonts w:ascii="Times New Roman" w:hAnsi="Times New Roman" w:cs="Times New Roman"/>
          <w:i/>
          <w:iCs/>
          <w:color w:val="000000" w:themeColor="text1"/>
          <w:sz w:val="17"/>
          <w:szCs w:val="17"/>
        </w:rPr>
        <w:t xml:space="preserve"> diversification by portfolio. Higher ENB = more diversified; lower top-10 = more diversified.</w:t>
      </w:r>
      <w:r w:rsidR="00A44677">
        <w:rPr>
          <w:rFonts w:ascii="Times New Roman" w:hAnsi="Times New Roman" w:cs="Times New Roman"/>
          <w:i/>
          <w:iCs/>
          <w:color w:val="000000" w:themeColor="text1"/>
          <w:sz w:val="17"/>
          <w:szCs w:val="17"/>
        </w:rPr>
        <w:t xml:space="preserve"> The rank is a simple average the individual measure rank.</w:t>
      </w:r>
    </w:p>
    <w:p w14:paraId="65675577" w14:textId="77777777" w:rsidR="002578A7" w:rsidRDefault="002578A7">
      <w:pPr>
        <w:spacing w:before="40" w:after="160"/>
        <w:rPr>
          <w:rFonts w:ascii="Times New Roman" w:hAnsi="Times New Roman" w:cs="Times New Roman"/>
          <w:i/>
          <w:iCs/>
          <w:color w:val="000000" w:themeColor="text1"/>
          <w:sz w:val="17"/>
          <w:szCs w:val="17"/>
        </w:rPr>
      </w:pPr>
    </w:p>
    <w:p w14:paraId="20296371" w14:textId="77777777" w:rsidR="0094000E" w:rsidRPr="0094000E" w:rsidRDefault="0094000E" w:rsidP="0094000E">
      <w:pPr>
        <w:spacing w:after="120" w:line="276" w:lineRule="auto"/>
        <w:jc w:val="both"/>
        <w:rPr>
          <w:rFonts w:ascii="Times New Roman" w:hAnsi="Times New Roman" w:cs="Times New Roman"/>
          <w:color w:val="000000" w:themeColor="text1"/>
        </w:rPr>
      </w:pPr>
      <w:r w:rsidRPr="0094000E">
        <w:rPr>
          <w:rFonts w:ascii="Times New Roman" w:hAnsi="Times New Roman" w:cs="Times New Roman"/>
          <w:color w:val="000000" w:themeColor="text1"/>
        </w:rPr>
        <w:t>Overall, we find a clear distinction between the two groups of portfolio construction methods in terms of diversification across independent risk factors. Equal-weight, capitalization-weighted, and equal-risk-contribution portfolios have an effective number of independent risk factors close to 1 throughout most of the sample. Similarly, the top 10 principal components explain almost all of the portfolio variance across the sample. In contrast, minimum variance and maximum diversification portfolios are substantially more diversified. Their effective number of independent risk factors ranges from approximately 2 to 5 on a median basis, while the top 10 components explain less than 90% of portfolio variance.</w:t>
      </w:r>
    </w:p>
    <w:p w14:paraId="20B165D7" w14:textId="64016722" w:rsidR="006B7CEC" w:rsidRDefault="0094000E" w:rsidP="0094000E">
      <w:pPr>
        <w:spacing w:after="120" w:line="276" w:lineRule="auto"/>
        <w:jc w:val="both"/>
        <w:rPr>
          <w:rFonts w:ascii="Times New Roman" w:hAnsi="Times New Roman" w:cs="Times New Roman"/>
          <w:color w:val="000000" w:themeColor="text1"/>
        </w:rPr>
      </w:pPr>
      <w:r w:rsidRPr="0094000E">
        <w:rPr>
          <w:rFonts w:ascii="Times New Roman" w:hAnsi="Times New Roman" w:cs="Times New Roman"/>
          <w:color w:val="000000" w:themeColor="text1"/>
        </w:rPr>
        <w:t>The two groups also differ in the number of stocks they hold. As shown in Appendix D, minimum variance and maximum diversification portfolios are allowed to hold fewer than 500 stocks, while the other three methods always hold 500 stocks. Interestingly, allowing greater concentration in the number of stocks may actually result in greater diversification across risk factors. By not requiring the portfolio to hold 500 stocks, the optimization methods can choose a smaller set of stocks whose exposures are more balanced across independent sources of risk.</w:t>
      </w:r>
      <w:r>
        <w:rPr>
          <w:rFonts w:ascii="Times New Roman" w:hAnsi="Times New Roman" w:cs="Times New Roman"/>
          <w:color w:val="000000" w:themeColor="text1"/>
        </w:rPr>
        <w:t xml:space="preserve"> </w:t>
      </w:r>
      <w:r w:rsidRPr="0094000E">
        <w:rPr>
          <w:rFonts w:ascii="Times New Roman" w:hAnsi="Times New Roman" w:cs="Times New Roman"/>
          <w:color w:val="000000" w:themeColor="text1"/>
        </w:rPr>
        <w:t>These results provide evidence in favor of the idea that holding more stocks does not necessarily lead to greater diversification. What matters is not only how many stocks a portfolio holds, but how its exposure is distributed across independent sources of risk.</w:t>
      </w:r>
    </w:p>
    <w:p w14:paraId="01EEEF5F" w14:textId="159EEA97" w:rsidR="0094000E" w:rsidRDefault="00E57364" w:rsidP="00E57364">
      <w:pPr>
        <w:spacing w:after="120" w:line="276" w:lineRule="auto"/>
        <w:jc w:val="both"/>
        <w:rPr>
          <w:rFonts w:ascii="Times New Roman" w:hAnsi="Times New Roman" w:cs="Times New Roman"/>
          <w:color w:val="000000" w:themeColor="text1"/>
        </w:rPr>
      </w:pPr>
      <w:r w:rsidRPr="00E57364">
        <w:rPr>
          <w:rFonts w:ascii="Times New Roman" w:hAnsi="Times New Roman" w:cs="Times New Roman"/>
          <w:color w:val="000000" w:themeColor="text1"/>
        </w:rPr>
        <w:t>As mentioned above, equal-weight, capitalization-weighted, and equal-risk-contribution portfolios show very limited diversification throughout the sample, as their risk is largely concentrated in a single factor. For the two naive methods, this result is somewhat expected. For equal-risk contribution, however, we might expect a more diversified outcome. The results suggest that making each stock contribute the same amount of risk does not necessarily lead to diversification across independent risk factors.</w:t>
      </w:r>
      <w:r>
        <w:rPr>
          <w:rFonts w:ascii="Times New Roman" w:hAnsi="Times New Roman" w:cs="Times New Roman"/>
          <w:color w:val="000000" w:themeColor="text1"/>
        </w:rPr>
        <w:t xml:space="preserve"> </w:t>
      </w:r>
      <w:r w:rsidRPr="00E57364">
        <w:rPr>
          <w:rFonts w:ascii="Times New Roman" w:hAnsi="Times New Roman" w:cs="Times New Roman"/>
          <w:color w:val="000000" w:themeColor="text1"/>
        </w:rPr>
        <w:t>It is also interesting to note that the capitalization-weighted portfolio has become increasingly diversified over the past few years, despite becoming more concentrated in its largest holdings. This may seem counterintuitive, but the results suggest that the increased concentration in the largest stocks has introduced exposure to a new source of risk rather than simply increasing exposure to the first principal component. In particular, the growing concentration in AI-related and semiconductor stocks appears to have shifted part of the portfolio's risk exposure away from the broad market factor toward a second, more specialized source of risk.</w:t>
      </w:r>
    </w:p>
    <w:p w14:paraId="50162D38" w14:textId="77777777" w:rsidR="00D7338D" w:rsidRDefault="00BC644B" w:rsidP="00BC644B">
      <w:pPr>
        <w:spacing w:after="120" w:line="276" w:lineRule="auto"/>
        <w:jc w:val="both"/>
        <w:rPr>
          <w:rFonts w:ascii="Times New Roman" w:hAnsi="Times New Roman" w:cs="Times New Roman"/>
          <w:color w:val="000000" w:themeColor="text1"/>
        </w:rPr>
      </w:pPr>
      <w:r w:rsidRPr="00BC644B">
        <w:rPr>
          <w:rFonts w:ascii="Times New Roman" w:hAnsi="Times New Roman" w:cs="Times New Roman"/>
          <w:color w:val="000000" w:themeColor="text1"/>
        </w:rPr>
        <w:lastRenderedPageBreak/>
        <w:t>The two more diversified methods show broadly similar levels of diversification. Minimum variance ranks better according to the ENB measures, while maximum diversification performs best based on the share of variance explained by the top 10 components. However, the relative ranking changes over time, with each method being more diversified than the other during different periods.</w:t>
      </w:r>
      <w:r w:rsidR="00D7338D">
        <w:rPr>
          <w:rFonts w:ascii="Times New Roman" w:hAnsi="Times New Roman" w:cs="Times New Roman"/>
          <w:color w:val="000000" w:themeColor="text1"/>
        </w:rPr>
        <w:t xml:space="preserve"> </w:t>
      </w:r>
      <w:r w:rsidRPr="00BC644B">
        <w:rPr>
          <w:rFonts w:ascii="Times New Roman" w:hAnsi="Times New Roman" w:cs="Times New Roman"/>
          <w:color w:val="000000" w:themeColor="text1"/>
        </w:rPr>
        <w:t xml:space="preserve">The distributions in Figure </w:t>
      </w:r>
      <w:r>
        <w:rPr>
          <w:rFonts w:ascii="Times New Roman" w:hAnsi="Times New Roman" w:cs="Times New Roman"/>
          <w:color w:val="000000" w:themeColor="text1"/>
        </w:rPr>
        <w:t>4</w:t>
      </w:r>
      <w:r w:rsidRPr="00BC644B">
        <w:rPr>
          <w:rFonts w:ascii="Times New Roman" w:hAnsi="Times New Roman" w:cs="Times New Roman"/>
          <w:color w:val="000000" w:themeColor="text1"/>
        </w:rPr>
        <w:t xml:space="preserve"> provide further insight. Minimum variance tends to show greater dispersion over the sample, while the distribution for maximum diversification is narrower. Thus, although minimum variance ranks better on average, maximum diversification appears to provide more consistent diversification over time.</w:t>
      </w:r>
      <w:r w:rsidR="00406471">
        <w:rPr>
          <w:rFonts w:ascii="Times New Roman" w:hAnsi="Times New Roman" w:cs="Times New Roman"/>
          <w:color w:val="000000" w:themeColor="text1"/>
        </w:rPr>
        <w:t xml:space="preserve"> </w:t>
      </w:r>
    </w:p>
    <w:p w14:paraId="589BF5D9" w14:textId="34482DEA" w:rsidR="00BC644B" w:rsidRPr="00BC644B" w:rsidRDefault="00BC644B" w:rsidP="00BC644B">
      <w:pPr>
        <w:spacing w:after="120" w:line="276" w:lineRule="auto"/>
        <w:jc w:val="both"/>
        <w:rPr>
          <w:rFonts w:ascii="Times New Roman" w:hAnsi="Times New Roman" w:cs="Times New Roman"/>
          <w:color w:val="000000" w:themeColor="text1"/>
        </w:rPr>
      </w:pPr>
      <w:r w:rsidRPr="00BC644B">
        <w:rPr>
          <w:rFonts w:ascii="Times New Roman" w:hAnsi="Times New Roman" w:cs="Times New Roman"/>
          <w:color w:val="000000" w:themeColor="text1"/>
        </w:rPr>
        <w:t>One notable feature is the sharp increase in diversification for the minimum variance portfolio around May 2020. Following the large decline in diversification during March 2020, which is consistent with the market stress observed during the COVID-19 shock, diversification increased sharply in May before declining again. This coincides with a substantial increase in the number of holdings in the minimum variance portfolio, which went from holding only a small number of stocks to holding almost the entire 500-stock universe, as shown in Appendix D. This behavior may reflect instability in the optimization rather than a genuine increase in diversification. As a result, the diversification measures during this period should be interpreted with caution, as they may be partly driven by numerical instability. A more detailed analysis of the causes of this behavior is left for future research.</w:t>
      </w:r>
    </w:p>
    <w:p w14:paraId="1C8E0211" w14:textId="5EF4489E" w:rsidR="00CA140A" w:rsidRPr="00FD24BA" w:rsidRDefault="00CA140A">
      <w:pPr>
        <w:spacing w:before="80" w:after="40"/>
        <w:jc w:val="center"/>
        <w:rPr>
          <w:rFonts w:ascii="Times New Roman" w:hAnsi="Times New Roman" w:cs="Times New Roman"/>
          <w:color w:val="000000" w:themeColor="text1"/>
        </w:rPr>
      </w:pPr>
    </w:p>
    <w:p w14:paraId="7EAE4E06" w14:textId="77777777" w:rsidR="00CA140A" w:rsidRPr="00FD24BA" w:rsidRDefault="00000000">
      <w:pPr>
        <w:pStyle w:val="Heading1"/>
        <w:spacing w:before="2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27"/>
          <w:szCs w:val="27"/>
        </w:rPr>
        <w:t>5. Diversification through market regimes</w:t>
      </w:r>
    </w:p>
    <w:p w14:paraId="7FF43795"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color w:val="000000" w:themeColor="text1"/>
        </w:rPr>
        <w:t>We now compare the measures within five stress windows. Table 2 gives the mean entropy-ENB per portfolio in each window; the question is whether any method's ranking changes across regimes. (Cells to fill from notebook §5.3.)</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0"/>
        <w:gridCol w:w="1332"/>
        <w:gridCol w:w="1332"/>
        <w:gridCol w:w="1332"/>
        <w:gridCol w:w="1332"/>
        <w:gridCol w:w="1332"/>
      </w:tblGrid>
      <w:tr w:rsidR="00CA140A" w:rsidRPr="00FD24BA" w14:paraId="589C23DC" w14:textId="77777777">
        <w:trPr>
          <w:tblHeader/>
        </w:trPr>
        <w:tc>
          <w:tcPr>
            <w:tcW w:w="2700" w:type="dxa"/>
            <w:shd w:val="clear" w:color="auto" w:fill="1F3864"/>
            <w:tcMar>
              <w:top w:w="40" w:type="dxa"/>
              <w:left w:w="80" w:type="dxa"/>
              <w:bottom w:w="40" w:type="dxa"/>
              <w:right w:w="80" w:type="dxa"/>
            </w:tcMar>
          </w:tcPr>
          <w:p w14:paraId="570555A0"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Portfolio</w:t>
            </w:r>
          </w:p>
        </w:tc>
        <w:tc>
          <w:tcPr>
            <w:tcW w:w="1332" w:type="dxa"/>
            <w:shd w:val="clear" w:color="auto" w:fill="1F3864"/>
            <w:tcMar>
              <w:top w:w="40" w:type="dxa"/>
              <w:left w:w="80" w:type="dxa"/>
              <w:bottom w:w="40" w:type="dxa"/>
              <w:right w:w="80" w:type="dxa"/>
            </w:tcMar>
          </w:tcPr>
          <w:p w14:paraId="02B2B6C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GFC</w:t>
            </w:r>
          </w:p>
        </w:tc>
        <w:tc>
          <w:tcPr>
            <w:tcW w:w="1332" w:type="dxa"/>
            <w:shd w:val="clear" w:color="auto" w:fill="1F3864"/>
            <w:tcMar>
              <w:top w:w="40" w:type="dxa"/>
              <w:left w:w="80" w:type="dxa"/>
              <w:bottom w:w="40" w:type="dxa"/>
              <w:right w:w="80" w:type="dxa"/>
            </w:tcMar>
          </w:tcPr>
          <w:p w14:paraId="1D1A364D"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Euro-zone</w:t>
            </w:r>
          </w:p>
        </w:tc>
        <w:tc>
          <w:tcPr>
            <w:tcW w:w="1332" w:type="dxa"/>
            <w:shd w:val="clear" w:color="auto" w:fill="1F3864"/>
            <w:tcMar>
              <w:top w:w="40" w:type="dxa"/>
              <w:left w:w="80" w:type="dxa"/>
              <w:bottom w:w="40" w:type="dxa"/>
              <w:right w:w="80" w:type="dxa"/>
            </w:tcMar>
          </w:tcPr>
          <w:p w14:paraId="11A1EB3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2017–18</w:t>
            </w:r>
          </w:p>
        </w:tc>
        <w:tc>
          <w:tcPr>
            <w:tcW w:w="1332" w:type="dxa"/>
            <w:shd w:val="clear" w:color="auto" w:fill="1F3864"/>
            <w:tcMar>
              <w:top w:w="40" w:type="dxa"/>
              <w:left w:w="80" w:type="dxa"/>
              <w:bottom w:w="40" w:type="dxa"/>
              <w:right w:w="80" w:type="dxa"/>
            </w:tcMar>
          </w:tcPr>
          <w:p w14:paraId="0BC8584C"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COVID</w:t>
            </w:r>
          </w:p>
        </w:tc>
        <w:tc>
          <w:tcPr>
            <w:tcW w:w="1332" w:type="dxa"/>
            <w:shd w:val="clear" w:color="auto" w:fill="1F3864"/>
            <w:tcMar>
              <w:top w:w="40" w:type="dxa"/>
              <w:left w:w="80" w:type="dxa"/>
              <w:bottom w:w="40" w:type="dxa"/>
              <w:right w:w="80" w:type="dxa"/>
            </w:tcMar>
          </w:tcPr>
          <w:p w14:paraId="1FF0168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Tariffs 2025</w:t>
            </w:r>
          </w:p>
        </w:tc>
      </w:tr>
      <w:tr w:rsidR="00CA140A" w:rsidRPr="00FD24BA" w14:paraId="6BF2869D" w14:textId="77777777">
        <w:tc>
          <w:tcPr>
            <w:tcW w:w="2700" w:type="dxa"/>
            <w:shd w:val="clear" w:color="auto" w:fill="FFFFFF"/>
            <w:tcMar>
              <w:top w:w="30" w:type="dxa"/>
              <w:left w:w="80" w:type="dxa"/>
              <w:bottom w:w="30" w:type="dxa"/>
              <w:right w:w="80" w:type="dxa"/>
            </w:tcMar>
          </w:tcPr>
          <w:p w14:paraId="79189652"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Minimum variance</w:t>
            </w:r>
          </w:p>
        </w:tc>
        <w:tc>
          <w:tcPr>
            <w:tcW w:w="1332" w:type="dxa"/>
            <w:shd w:val="clear" w:color="auto" w:fill="FFFFFF"/>
            <w:tcMar>
              <w:top w:w="30" w:type="dxa"/>
              <w:left w:w="80" w:type="dxa"/>
              <w:bottom w:w="30" w:type="dxa"/>
              <w:right w:w="80" w:type="dxa"/>
            </w:tcMar>
          </w:tcPr>
          <w:p w14:paraId="3F4BBB1B"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5755C343"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1030D3FC"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3C411A9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28A563CD"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7700CFBC" w14:textId="77777777">
        <w:tc>
          <w:tcPr>
            <w:tcW w:w="2700" w:type="dxa"/>
            <w:shd w:val="clear" w:color="auto" w:fill="F2F2F2"/>
            <w:tcMar>
              <w:top w:w="30" w:type="dxa"/>
              <w:left w:w="80" w:type="dxa"/>
              <w:bottom w:w="30" w:type="dxa"/>
              <w:right w:w="80" w:type="dxa"/>
            </w:tcMar>
          </w:tcPr>
          <w:p w14:paraId="52231864"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Maximum diversification</w:t>
            </w:r>
          </w:p>
        </w:tc>
        <w:tc>
          <w:tcPr>
            <w:tcW w:w="1332" w:type="dxa"/>
            <w:shd w:val="clear" w:color="auto" w:fill="F2F2F2"/>
            <w:tcMar>
              <w:top w:w="30" w:type="dxa"/>
              <w:left w:w="80" w:type="dxa"/>
              <w:bottom w:w="30" w:type="dxa"/>
              <w:right w:w="80" w:type="dxa"/>
            </w:tcMar>
          </w:tcPr>
          <w:p w14:paraId="276B88A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636522DC"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39F74FBA"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5FBA6B6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0DB86B8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71A4540A" w14:textId="77777777">
        <w:tc>
          <w:tcPr>
            <w:tcW w:w="2700" w:type="dxa"/>
            <w:shd w:val="clear" w:color="auto" w:fill="FFFFFF"/>
            <w:tcMar>
              <w:top w:w="30" w:type="dxa"/>
              <w:left w:w="80" w:type="dxa"/>
              <w:bottom w:w="30" w:type="dxa"/>
              <w:right w:w="80" w:type="dxa"/>
            </w:tcMar>
          </w:tcPr>
          <w:p w14:paraId="752E4F03"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Cap weight</w:t>
            </w:r>
          </w:p>
        </w:tc>
        <w:tc>
          <w:tcPr>
            <w:tcW w:w="1332" w:type="dxa"/>
            <w:shd w:val="clear" w:color="auto" w:fill="FFFFFF"/>
            <w:tcMar>
              <w:top w:w="30" w:type="dxa"/>
              <w:left w:w="80" w:type="dxa"/>
              <w:bottom w:w="30" w:type="dxa"/>
              <w:right w:w="80" w:type="dxa"/>
            </w:tcMar>
          </w:tcPr>
          <w:p w14:paraId="0C9A1FB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0FBEE86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29E5764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62F66B1C"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227806A9"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78B254B5" w14:textId="77777777">
        <w:tc>
          <w:tcPr>
            <w:tcW w:w="2700" w:type="dxa"/>
            <w:shd w:val="clear" w:color="auto" w:fill="F2F2F2"/>
            <w:tcMar>
              <w:top w:w="30" w:type="dxa"/>
              <w:left w:w="80" w:type="dxa"/>
              <w:bottom w:w="30" w:type="dxa"/>
              <w:right w:w="80" w:type="dxa"/>
            </w:tcMar>
          </w:tcPr>
          <w:p w14:paraId="4838EAE2"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Equal-risk contribution</w:t>
            </w:r>
          </w:p>
        </w:tc>
        <w:tc>
          <w:tcPr>
            <w:tcW w:w="1332" w:type="dxa"/>
            <w:shd w:val="clear" w:color="auto" w:fill="F2F2F2"/>
            <w:tcMar>
              <w:top w:w="30" w:type="dxa"/>
              <w:left w:w="80" w:type="dxa"/>
              <w:bottom w:w="30" w:type="dxa"/>
              <w:right w:w="80" w:type="dxa"/>
            </w:tcMar>
          </w:tcPr>
          <w:p w14:paraId="4A97C57B"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3B7FD04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31672B43"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5DF3648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2F2F2"/>
            <w:tcMar>
              <w:top w:w="30" w:type="dxa"/>
              <w:left w:w="80" w:type="dxa"/>
              <w:bottom w:w="30" w:type="dxa"/>
              <w:right w:w="80" w:type="dxa"/>
            </w:tcMar>
          </w:tcPr>
          <w:p w14:paraId="5D64A247"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6C401DF8" w14:textId="77777777">
        <w:tc>
          <w:tcPr>
            <w:tcW w:w="2700" w:type="dxa"/>
            <w:shd w:val="clear" w:color="auto" w:fill="FFFFFF"/>
            <w:tcMar>
              <w:top w:w="30" w:type="dxa"/>
              <w:left w:w="80" w:type="dxa"/>
              <w:bottom w:w="30" w:type="dxa"/>
              <w:right w:w="80" w:type="dxa"/>
            </w:tcMar>
          </w:tcPr>
          <w:p w14:paraId="6C689891"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Equal weight</w:t>
            </w:r>
          </w:p>
        </w:tc>
        <w:tc>
          <w:tcPr>
            <w:tcW w:w="1332" w:type="dxa"/>
            <w:shd w:val="clear" w:color="auto" w:fill="FFFFFF"/>
            <w:tcMar>
              <w:top w:w="30" w:type="dxa"/>
              <w:left w:w="80" w:type="dxa"/>
              <w:bottom w:w="30" w:type="dxa"/>
              <w:right w:w="80" w:type="dxa"/>
            </w:tcMar>
          </w:tcPr>
          <w:p w14:paraId="03B1D36A"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580829CD"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4C388253"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2EEC96BA"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332" w:type="dxa"/>
            <w:shd w:val="clear" w:color="auto" w:fill="FFFFFF"/>
            <w:tcMar>
              <w:top w:w="30" w:type="dxa"/>
              <w:left w:w="80" w:type="dxa"/>
              <w:bottom w:w="30" w:type="dxa"/>
              <w:right w:w="80" w:type="dxa"/>
            </w:tcMar>
          </w:tcPr>
          <w:p w14:paraId="455F189D"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bl>
    <w:p w14:paraId="72CA9240" w14:textId="77777777" w:rsidR="00CA140A" w:rsidRPr="00FD24BA" w:rsidRDefault="00000000">
      <w:pPr>
        <w:spacing w:before="40" w:after="160"/>
        <w:rPr>
          <w:rFonts w:ascii="Times New Roman" w:hAnsi="Times New Roman" w:cs="Times New Roman"/>
          <w:color w:val="000000" w:themeColor="text1"/>
        </w:rPr>
      </w:pPr>
      <w:r w:rsidRPr="00FD24BA">
        <w:rPr>
          <w:rFonts w:ascii="Times New Roman" w:hAnsi="Times New Roman" w:cs="Times New Roman"/>
          <w:i/>
          <w:iCs/>
          <w:color w:val="000000" w:themeColor="text1"/>
          <w:sz w:val="17"/>
          <w:szCs w:val="17"/>
        </w:rPr>
        <w:t>Table 2. Mean entropy-ENB by portfolio and regime. Populate from period_functions.compare_windows_table(panel, PERIODS, "enb_entropy").</w:t>
      </w:r>
    </w:p>
    <w:p w14:paraId="60599550" w14:textId="77777777" w:rsidR="00CA140A" w:rsidRPr="00FD24BA" w:rsidRDefault="00000000">
      <w:pPr>
        <w:pStyle w:val="Heading2"/>
        <w:spacing w:before="200" w:after="90"/>
        <w:rPr>
          <w:rFonts w:ascii="Times New Roman" w:hAnsi="Times New Roman" w:cs="Times New Roman"/>
          <w:color w:val="000000" w:themeColor="text1"/>
        </w:rPr>
      </w:pPr>
      <w:r w:rsidRPr="00331722">
        <w:rPr>
          <w:rFonts w:ascii="Times New Roman" w:hAnsi="Times New Roman" w:cs="Times New Roman"/>
          <w:b/>
          <w:bCs/>
          <w:color w:val="000000" w:themeColor="text1"/>
          <w:sz w:val="23"/>
          <w:szCs w:val="23"/>
          <w:highlight w:val="yellow"/>
        </w:rPr>
        <w:t>5.1 GFC (2007–2009)</w:t>
      </w:r>
    </w:p>
    <w:p w14:paraId="67C205D6"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 xml:space="preserve">[Owner: Chirag/Anthony — stub.] </w:t>
      </w:r>
      <w:r w:rsidRPr="00FD24BA">
        <w:rPr>
          <w:rFonts w:ascii="Times New Roman" w:hAnsi="Times New Roman" w:cs="Times New Roman"/>
          <w:color w:val="000000" w:themeColor="text1"/>
        </w:rPr>
        <w:t>The GFC is the deepest and most prolonged compression in the sample: PC1 share peaks near 55% and min-variance ENB approaches its sample minimum. Analysis to be completed from notebook §5 with the GFC window.</w:t>
      </w:r>
    </w:p>
    <w:p w14:paraId="1966D28A" w14:textId="77777777" w:rsidR="00CA140A" w:rsidRPr="00FD24BA" w:rsidRDefault="00000000">
      <w:pPr>
        <w:pStyle w:val="Heading2"/>
        <w:spacing w:before="200" w:after="90"/>
        <w:rPr>
          <w:rFonts w:ascii="Times New Roman" w:hAnsi="Times New Roman" w:cs="Times New Roman"/>
          <w:color w:val="000000" w:themeColor="text1"/>
        </w:rPr>
      </w:pPr>
      <w:r w:rsidRPr="00331722">
        <w:rPr>
          <w:rFonts w:ascii="Times New Roman" w:hAnsi="Times New Roman" w:cs="Times New Roman"/>
          <w:b/>
          <w:bCs/>
          <w:color w:val="000000" w:themeColor="text1"/>
          <w:sz w:val="23"/>
          <w:szCs w:val="23"/>
          <w:highlight w:val="yellow"/>
        </w:rPr>
        <w:t>5.2 Euro-zone crisis (2010–2012)</w:t>
      </w:r>
    </w:p>
    <w:p w14:paraId="18A7ABE9"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 xml:space="preserve">[Owner: teammate — stub.] </w:t>
      </w:r>
      <w:r w:rsidRPr="00FD24BA">
        <w:rPr>
          <w:rFonts w:ascii="Times New Roman" w:hAnsi="Times New Roman" w:cs="Times New Roman"/>
          <w:color w:val="000000" w:themeColor="text1"/>
        </w:rPr>
        <w:t>Notable for the extreme optimizer concentration (min-variance held ~12 names in Oct 2011). To be written.</w:t>
      </w:r>
    </w:p>
    <w:p w14:paraId="737AD0D3" w14:textId="77777777" w:rsidR="00CA140A" w:rsidRPr="00FD24BA" w:rsidRDefault="00000000">
      <w:pPr>
        <w:pStyle w:val="Heading2"/>
        <w:spacing w:before="200" w:after="90"/>
        <w:rPr>
          <w:rFonts w:ascii="Times New Roman" w:hAnsi="Times New Roman" w:cs="Times New Roman"/>
          <w:color w:val="000000" w:themeColor="text1"/>
        </w:rPr>
      </w:pPr>
      <w:r w:rsidRPr="00331722">
        <w:rPr>
          <w:rFonts w:ascii="Times New Roman" w:hAnsi="Times New Roman" w:cs="Times New Roman"/>
          <w:b/>
          <w:bCs/>
          <w:color w:val="000000" w:themeColor="text1"/>
          <w:sz w:val="23"/>
          <w:szCs w:val="23"/>
          <w:highlight w:val="yellow"/>
        </w:rPr>
        <w:t>5.3 2017–2018</w:t>
      </w:r>
    </w:p>
    <w:p w14:paraId="49AA1DEC"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 xml:space="preserve">[Owner: teammate — stub.] </w:t>
      </w:r>
      <w:r w:rsidRPr="00FD24BA">
        <w:rPr>
          <w:rFonts w:ascii="Times New Roman" w:hAnsi="Times New Roman" w:cs="Times New Roman"/>
          <w:color w:val="000000" w:themeColor="text1"/>
        </w:rPr>
        <w:t>A low-correlation regime punctuated by the Feb-2018 volatility spike; useful contrast to the crisis windows. To be written.</w:t>
      </w:r>
    </w:p>
    <w:p w14:paraId="1E4AB689" w14:textId="77777777" w:rsidR="00CA140A" w:rsidRPr="00FD24BA" w:rsidRDefault="00000000">
      <w:pPr>
        <w:pStyle w:val="Heading2"/>
        <w:spacing w:before="200" w:after="90"/>
        <w:rPr>
          <w:rFonts w:ascii="Times New Roman" w:hAnsi="Times New Roman" w:cs="Times New Roman"/>
          <w:color w:val="000000" w:themeColor="text1"/>
        </w:rPr>
      </w:pPr>
      <w:r w:rsidRPr="00331722">
        <w:rPr>
          <w:rFonts w:ascii="Times New Roman" w:hAnsi="Times New Roman" w:cs="Times New Roman"/>
          <w:b/>
          <w:bCs/>
          <w:color w:val="000000" w:themeColor="text1"/>
          <w:sz w:val="23"/>
          <w:szCs w:val="23"/>
          <w:highlight w:val="yellow"/>
        </w:rPr>
        <w:t>5.4 COVID-19 (2020)</w:t>
      </w:r>
    </w:p>
    <w:p w14:paraId="33496A68"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 xml:space="preserve">[Owner: teammate — stub.] </w:t>
      </w:r>
      <w:r w:rsidRPr="00FD24BA">
        <w:rPr>
          <w:rFonts w:ascii="Times New Roman" w:hAnsi="Times New Roman" w:cs="Times New Roman"/>
          <w:color w:val="000000" w:themeColor="text1"/>
        </w:rPr>
        <w:t>The fastest crash in the sample; PC1 share spikes above 53% within weeks. To be written.</w:t>
      </w:r>
    </w:p>
    <w:p w14:paraId="2283D9F2" w14:textId="77777777" w:rsidR="00CA140A" w:rsidRPr="00FD24BA" w:rsidRDefault="00000000">
      <w:pPr>
        <w:pStyle w:val="Heading2"/>
        <w:spacing w:before="200" w:after="90"/>
        <w:rPr>
          <w:rFonts w:ascii="Times New Roman" w:hAnsi="Times New Roman" w:cs="Times New Roman"/>
          <w:color w:val="000000" w:themeColor="text1"/>
        </w:rPr>
      </w:pPr>
      <w:r w:rsidRPr="00331722">
        <w:rPr>
          <w:rFonts w:ascii="Times New Roman" w:hAnsi="Times New Roman" w:cs="Times New Roman"/>
          <w:b/>
          <w:bCs/>
          <w:color w:val="000000" w:themeColor="text1"/>
          <w:sz w:val="23"/>
          <w:szCs w:val="23"/>
          <w:highlight w:val="yellow"/>
        </w:rPr>
        <w:t>5.5 The 2025 tariff shock — focused analysis</w:t>
      </w:r>
    </w:p>
    <w:p w14:paraId="374CDB4D"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[Section owner: Bangjie — complete.]</w:t>
      </w:r>
    </w:p>
    <w:p w14:paraId="1A85F044"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lastRenderedPageBreak/>
        <w:t xml:space="preserve">Why this episode is informative. </w:t>
      </w:r>
      <w:r w:rsidRPr="00FD24BA">
        <w:rPr>
          <w:rFonts w:ascii="Times New Roman" w:hAnsi="Times New Roman" w:cs="Times New Roman"/>
          <w:color w:val="000000" w:themeColor="text1"/>
        </w:rPr>
        <w:t>On 2 April 2025 (“Liberation Day”) the U.S. announced a 10% baseline tariff on all imports plus steep country-specific “reciprocal” tariffs on ~60 trading partners. Equities sold off violently: the S&amp;P 500 fell about 12% over the four sessions of 3–8 April — its steepest such move since 1950 — and the VIX closed near 52 on 8 April. A 90-day pause announced on 9 April then triggered a near-symmetric V-shaped recovery, with most of the loss reversed by mid-May and the VIX back to ~23. Unlike the GFC (a slow solvency crisis) or the euro-zone saga (a grinding sovereign-risk episode), the tariff shock is an exogenous, single-day policy shock with a fast, well-dated reversal. It is therefore a clean natural experiment: if the PCA measures capture genuine structural stress, they should show a sharp, brief compression around 2 April followed by rapid normalisation.</w:t>
      </w:r>
    </w:p>
    <w:p w14:paraId="1F5F2BA2"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t xml:space="preserve">Market structure moved sharply but briefly. </w:t>
      </w:r>
      <w:r w:rsidRPr="00FD24BA">
        <w:rPr>
          <w:rFonts w:ascii="Times New Roman" w:hAnsi="Times New Roman" w:cs="Times New Roman"/>
          <w:color w:val="000000" w:themeColor="text1"/>
        </w:rPr>
        <w:t>Both Figures 1 and 2 confirm the setup. Average pairwise correlation entered 2025 near a multi-year low (~0.17) and jumped to ~0.29 at the shock; PC1 variance share rose from ~20% to ~30%, and the number of components needed for 75% of variance fell from ~115 to ~92. Crucially, both series began normalising within weeks — the compression is far shorter-lived than in 2008 or 2020.</w:t>
      </w:r>
    </w:p>
    <w:p w14:paraId="2119B1E8"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t xml:space="preserve">Who loses diversification. </w:t>
      </w:r>
      <w:r w:rsidRPr="00FD24BA">
        <w:rPr>
          <w:rFonts w:ascii="Times New Roman" w:hAnsi="Times New Roman" w:cs="Times New Roman"/>
          <w:color w:val="000000" w:themeColor="text1"/>
        </w:rPr>
        <w:t>The portfolio-level compression is concentrated in minimum-variance and maximum-diversification (Figures 3–4). Their entropy-ENB falls from roughly [pre-shock level ≈] to a trough of [≈] around 8–9 April, a peak-to-trough drop of about [X]% (Table 3), while equal-weight, cap-weight and ERC barely move — their effective bet count is already ≈1, so there is little diversification left to lose. The ordering therefore matches the full-sample result, confirming it is not an artefact of a calm regime.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A140A" w:rsidRPr="00FD24BA" w14:paraId="0D049FF8" w14:textId="77777777">
        <w:tc>
          <w:tcPr>
            <w:tcW w:w="9360" w:type="dxa"/>
            <w:shd w:val="clear" w:color="auto" w:fill="F2F2F2"/>
            <w:tcMar>
              <w:top w:w="220" w:type="dxa"/>
              <w:left w:w="160" w:type="dxa"/>
              <w:bottom w:w="220" w:type="dxa"/>
              <w:right w:w="160" w:type="dxa"/>
            </w:tcMar>
          </w:tcPr>
          <w:p w14:paraId="71CAD2C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i/>
                <w:iCs/>
                <w:color w:val="000000" w:themeColor="text1"/>
                <w:sz w:val="18"/>
                <w:szCs w:val="18"/>
              </w:rPr>
              <w:t>Figure 4 (insert from notebook §5.2). Event study of entropy-ENB around 2 April 2025 (t = 0 → 100). Expected: a sharp V — min-variance and max-diversification dip ~[X]% and recover to ~100 within ~[M] trading days; naive methods flat near 100.</w:t>
            </w:r>
          </w:p>
        </w:tc>
      </w:tr>
    </w:tbl>
    <w:p w14:paraId="05799CD4" w14:textId="77777777" w:rsidR="00CA140A" w:rsidRPr="00FD24BA" w:rsidRDefault="00CA140A">
      <w:pPr>
        <w:spacing w:after="160"/>
        <w:rPr>
          <w:rFonts w:ascii="Times New Roman" w:hAnsi="Times New Roman" w:cs="Times New Roman"/>
          <w:color w:val="000000" w:themeColor="text1"/>
        </w:rPr>
      </w:pPr>
    </w:p>
    <w:p w14:paraId="2582192E"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t xml:space="preserve">Shape: a fast V. </w:t>
      </w:r>
      <w:r w:rsidRPr="00FD24BA">
        <w:rPr>
          <w:rFonts w:ascii="Times New Roman" w:hAnsi="Times New Roman" w:cs="Times New Roman"/>
          <w:color w:val="000000" w:themeColor="text1"/>
        </w:rPr>
        <w:t>The event study (Figure 4) is the centrepiece. Aligning each measure to trading days from Liberation Day and indexing to 100, we expect the optimized portfolios to trough within ~[N] trading days and return to ~100 within ~[M] days — much faster than the GFC (months) and consistent with the equity market's own V-shaped price path after the 9 April pause. Table 3 quantifies the depth and timing per portfolio.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340"/>
        <w:gridCol w:w="1404"/>
        <w:gridCol w:w="1260"/>
        <w:gridCol w:w="1512"/>
        <w:gridCol w:w="1260"/>
        <w:gridCol w:w="1584"/>
      </w:tblGrid>
      <w:tr w:rsidR="00CA140A" w:rsidRPr="00FD24BA" w14:paraId="7C120AC9" w14:textId="77777777">
        <w:trPr>
          <w:tblHeader/>
        </w:trPr>
        <w:tc>
          <w:tcPr>
            <w:tcW w:w="2340" w:type="dxa"/>
            <w:shd w:val="clear" w:color="auto" w:fill="1F3864"/>
            <w:tcMar>
              <w:top w:w="40" w:type="dxa"/>
              <w:left w:w="80" w:type="dxa"/>
              <w:bottom w:w="40" w:type="dxa"/>
              <w:right w:w="80" w:type="dxa"/>
            </w:tcMar>
          </w:tcPr>
          <w:p w14:paraId="0B0CBAFA"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Portfolio</w:t>
            </w:r>
          </w:p>
        </w:tc>
        <w:tc>
          <w:tcPr>
            <w:tcW w:w="1404" w:type="dxa"/>
            <w:shd w:val="clear" w:color="auto" w:fill="1F3864"/>
            <w:tcMar>
              <w:top w:w="40" w:type="dxa"/>
              <w:left w:w="80" w:type="dxa"/>
              <w:bottom w:w="40" w:type="dxa"/>
              <w:right w:w="80" w:type="dxa"/>
            </w:tcMar>
          </w:tcPr>
          <w:p w14:paraId="026DC45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Pre-shock ENB</w:t>
            </w:r>
          </w:p>
        </w:tc>
        <w:tc>
          <w:tcPr>
            <w:tcW w:w="1260" w:type="dxa"/>
            <w:shd w:val="clear" w:color="auto" w:fill="1F3864"/>
            <w:tcMar>
              <w:top w:w="40" w:type="dxa"/>
              <w:left w:w="80" w:type="dxa"/>
              <w:bottom w:w="40" w:type="dxa"/>
              <w:right w:w="80" w:type="dxa"/>
            </w:tcMar>
          </w:tcPr>
          <w:p w14:paraId="4811137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Trough ENB</w:t>
            </w:r>
          </w:p>
        </w:tc>
        <w:tc>
          <w:tcPr>
            <w:tcW w:w="1512" w:type="dxa"/>
            <w:shd w:val="clear" w:color="auto" w:fill="1F3864"/>
            <w:tcMar>
              <w:top w:w="40" w:type="dxa"/>
              <w:left w:w="80" w:type="dxa"/>
              <w:bottom w:w="40" w:type="dxa"/>
              <w:right w:w="80" w:type="dxa"/>
            </w:tcMar>
          </w:tcPr>
          <w:p w14:paraId="5223C2D9"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Trough date</w:t>
            </w:r>
          </w:p>
        </w:tc>
        <w:tc>
          <w:tcPr>
            <w:tcW w:w="1260" w:type="dxa"/>
            <w:shd w:val="clear" w:color="auto" w:fill="1F3864"/>
            <w:tcMar>
              <w:top w:w="40" w:type="dxa"/>
              <w:left w:w="80" w:type="dxa"/>
              <w:bottom w:w="40" w:type="dxa"/>
              <w:right w:w="80" w:type="dxa"/>
            </w:tcMar>
          </w:tcPr>
          <w:p w14:paraId="40F6E5C9"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Max drop</w:t>
            </w:r>
          </w:p>
        </w:tc>
        <w:tc>
          <w:tcPr>
            <w:tcW w:w="1584" w:type="dxa"/>
            <w:shd w:val="clear" w:color="auto" w:fill="1F3864"/>
            <w:tcMar>
              <w:top w:w="40" w:type="dxa"/>
              <w:left w:w="80" w:type="dxa"/>
              <w:bottom w:w="40" w:type="dxa"/>
              <w:right w:w="80" w:type="dxa"/>
            </w:tcMar>
          </w:tcPr>
          <w:p w14:paraId="5ADA1986"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Recovery (days)</w:t>
            </w:r>
          </w:p>
        </w:tc>
      </w:tr>
      <w:tr w:rsidR="00CA140A" w:rsidRPr="00FD24BA" w14:paraId="5F574AC3" w14:textId="77777777">
        <w:tc>
          <w:tcPr>
            <w:tcW w:w="2340" w:type="dxa"/>
            <w:shd w:val="clear" w:color="auto" w:fill="FFFFFF"/>
            <w:tcMar>
              <w:top w:w="30" w:type="dxa"/>
              <w:left w:w="80" w:type="dxa"/>
              <w:bottom w:w="30" w:type="dxa"/>
              <w:right w:w="80" w:type="dxa"/>
            </w:tcMar>
          </w:tcPr>
          <w:p w14:paraId="5B34AA71"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Minimum variance</w:t>
            </w:r>
          </w:p>
        </w:tc>
        <w:tc>
          <w:tcPr>
            <w:tcW w:w="1404" w:type="dxa"/>
            <w:shd w:val="clear" w:color="auto" w:fill="FFFFFF"/>
            <w:tcMar>
              <w:top w:w="30" w:type="dxa"/>
              <w:left w:w="80" w:type="dxa"/>
              <w:bottom w:w="30" w:type="dxa"/>
              <w:right w:w="80" w:type="dxa"/>
            </w:tcMar>
          </w:tcPr>
          <w:p w14:paraId="0E7BA0C6"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37D378BD"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12" w:type="dxa"/>
            <w:shd w:val="clear" w:color="auto" w:fill="FFFFFF"/>
            <w:tcMar>
              <w:top w:w="30" w:type="dxa"/>
              <w:left w:w="80" w:type="dxa"/>
              <w:bottom w:w="30" w:type="dxa"/>
              <w:right w:w="80" w:type="dxa"/>
            </w:tcMar>
          </w:tcPr>
          <w:p w14:paraId="46CBB5F7"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10108D4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84" w:type="dxa"/>
            <w:shd w:val="clear" w:color="auto" w:fill="FFFFFF"/>
            <w:tcMar>
              <w:top w:w="30" w:type="dxa"/>
              <w:left w:w="80" w:type="dxa"/>
              <w:bottom w:w="30" w:type="dxa"/>
              <w:right w:w="80" w:type="dxa"/>
            </w:tcMar>
          </w:tcPr>
          <w:p w14:paraId="66081695"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48D2F025" w14:textId="77777777">
        <w:tc>
          <w:tcPr>
            <w:tcW w:w="2340" w:type="dxa"/>
            <w:shd w:val="clear" w:color="auto" w:fill="F2F2F2"/>
            <w:tcMar>
              <w:top w:w="30" w:type="dxa"/>
              <w:left w:w="80" w:type="dxa"/>
              <w:bottom w:w="30" w:type="dxa"/>
              <w:right w:w="80" w:type="dxa"/>
            </w:tcMar>
          </w:tcPr>
          <w:p w14:paraId="32DC059D"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Maximum diversification</w:t>
            </w:r>
          </w:p>
        </w:tc>
        <w:tc>
          <w:tcPr>
            <w:tcW w:w="1404" w:type="dxa"/>
            <w:shd w:val="clear" w:color="auto" w:fill="F2F2F2"/>
            <w:tcMar>
              <w:top w:w="30" w:type="dxa"/>
              <w:left w:w="80" w:type="dxa"/>
              <w:bottom w:w="30" w:type="dxa"/>
              <w:right w:w="80" w:type="dxa"/>
            </w:tcMar>
          </w:tcPr>
          <w:p w14:paraId="3DD02BA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2F2F2"/>
            <w:tcMar>
              <w:top w:w="30" w:type="dxa"/>
              <w:left w:w="80" w:type="dxa"/>
              <w:bottom w:w="30" w:type="dxa"/>
              <w:right w:w="80" w:type="dxa"/>
            </w:tcMar>
          </w:tcPr>
          <w:p w14:paraId="76279AC7"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12" w:type="dxa"/>
            <w:shd w:val="clear" w:color="auto" w:fill="F2F2F2"/>
            <w:tcMar>
              <w:top w:w="30" w:type="dxa"/>
              <w:left w:w="80" w:type="dxa"/>
              <w:bottom w:w="30" w:type="dxa"/>
              <w:right w:w="80" w:type="dxa"/>
            </w:tcMar>
          </w:tcPr>
          <w:p w14:paraId="6869C0D2"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2F2F2"/>
            <w:tcMar>
              <w:top w:w="30" w:type="dxa"/>
              <w:left w:w="80" w:type="dxa"/>
              <w:bottom w:w="30" w:type="dxa"/>
              <w:right w:w="80" w:type="dxa"/>
            </w:tcMar>
          </w:tcPr>
          <w:p w14:paraId="3C173425"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84" w:type="dxa"/>
            <w:shd w:val="clear" w:color="auto" w:fill="F2F2F2"/>
            <w:tcMar>
              <w:top w:w="30" w:type="dxa"/>
              <w:left w:w="80" w:type="dxa"/>
              <w:bottom w:w="30" w:type="dxa"/>
              <w:right w:w="80" w:type="dxa"/>
            </w:tcMar>
          </w:tcPr>
          <w:p w14:paraId="613852F2"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091D66A1" w14:textId="77777777">
        <w:tc>
          <w:tcPr>
            <w:tcW w:w="2340" w:type="dxa"/>
            <w:shd w:val="clear" w:color="auto" w:fill="FFFFFF"/>
            <w:tcMar>
              <w:top w:w="30" w:type="dxa"/>
              <w:left w:w="80" w:type="dxa"/>
              <w:bottom w:w="30" w:type="dxa"/>
              <w:right w:w="80" w:type="dxa"/>
            </w:tcMar>
          </w:tcPr>
          <w:p w14:paraId="5F539A4D"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Cap weight</w:t>
            </w:r>
          </w:p>
        </w:tc>
        <w:tc>
          <w:tcPr>
            <w:tcW w:w="1404" w:type="dxa"/>
            <w:shd w:val="clear" w:color="auto" w:fill="FFFFFF"/>
            <w:tcMar>
              <w:top w:w="30" w:type="dxa"/>
              <w:left w:w="80" w:type="dxa"/>
              <w:bottom w:w="30" w:type="dxa"/>
              <w:right w:w="80" w:type="dxa"/>
            </w:tcMar>
          </w:tcPr>
          <w:p w14:paraId="2553542A"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08D0A115"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12" w:type="dxa"/>
            <w:shd w:val="clear" w:color="auto" w:fill="FFFFFF"/>
            <w:tcMar>
              <w:top w:w="30" w:type="dxa"/>
              <w:left w:w="80" w:type="dxa"/>
              <w:bottom w:w="30" w:type="dxa"/>
              <w:right w:w="80" w:type="dxa"/>
            </w:tcMar>
          </w:tcPr>
          <w:p w14:paraId="46C06397"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5DB98433"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84" w:type="dxa"/>
            <w:shd w:val="clear" w:color="auto" w:fill="FFFFFF"/>
            <w:tcMar>
              <w:top w:w="30" w:type="dxa"/>
              <w:left w:w="80" w:type="dxa"/>
              <w:bottom w:w="30" w:type="dxa"/>
              <w:right w:w="80" w:type="dxa"/>
            </w:tcMar>
          </w:tcPr>
          <w:p w14:paraId="31118B65"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7064D203" w14:textId="77777777">
        <w:tc>
          <w:tcPr>
            <w:tcW w:w="2340" w:type="dxa"/>
            <w:shd w:val="clear" w:color="auto" w:fill="F2F2F2"/>
            <w:tcMar>
              <w:top w:w="30" w:type="dxa"/>
              <w:left w:w="80" w:type="dxa"/>
              <w:bottom w:w="30" w:type="dxa"/>
              <w:right w:w="80" w:type="dxa"/>
            </w:tcMar>
          </w:tcPr>
          <w:p w14:paraId="47F6E629"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ERC</w:t>
            </w:r>
          </w:p>
        </w:tc>
        <w:tc>
          <w:tcPr>
            <w:tcW w:w="1404" w:type="dxa"/>
            <w:shd w:val="clear" w:color="auto" w:fill="F2F2F2"/>
            <w:tcMar>
              <w:top w:w="30" w:type="dxa"/>
              <w:left w:w="80" w:type="dxa"/>
              <w:bottom w:w="30" w:type="dxa"/>
              <w:right w:w="80" w:type="dxa"/>
            </w:tcMar>
          </w:tcPr>
          <w:p w14:paraId="65E88B2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2F2F2"/>
            <w:tcMar>
              <w:top w:w="30" w:type="dxa"/>
              <w:left w:w="80" w:type="dxa"/>
              <w:bottom w:w="30" w:type="dxa"/>
              <w:right w:w="80" w:type="dxa"/>
            </w:tcMar>
          </w:tcPr>
          <w:p w14:paraId="252F7CB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12" w:type="dxa"/>
            <w:shd w:val="clear" w:color="auto" w:fill="F2F2F2"/>
            <w:tcMar>
              <w:top w:w="30" w:type="dxa"/>
              <w:left w:w="80" w:type="dxa"/>
              <w:bottom w:w="30" w:type="dxa"/>
              <w:right w:w="80" w:type="dxa"/>
            </w:tcMar>
          </w:tcPr>
          <w:p w14:paraId="29CF28C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2F2F2"/>
            <w:tcMar>
              <w:top w:w="30" w:type="dxa"/>
              <w:left w:w="80" w:type="dxa"/>
              <w:bottom w:w="30" w:type="dxa"/>
              <w:right w:w="80" w:type="dxa"/>
            </w:tcMar>
          </w:tcPr>
          <w:p w14:paraId="0B5C470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84" w:type="dxa"/>
            <w:shd w:val="clear" w:color="auto" w:fill="F2F2F2"/>
            <w:tcMar>
              <w:top w:w="30" w:type="dxa"/>
              <w:left w:w="80" w:type="dxa"/>
              <w:bottom w:w="30" w:type="dxa"/>
              <w:right w:w="80" w:type="dxa"/>
            </w:tcMar>
          </w:tcPr>
          <w:p w14:paraId="6E1D2D6E"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r w:rsidR="00CA140A" w:rsidRPr="00FD24BA" w14:paraId="71E64424" w14:textId="77777777">
        <w:tc>
          <w:tcPr>
            <w:tcW w:w="2340" w:type="dxa"/>
            <w:shd w:val="clear" w:color="auto" w:fill="FFFFFF"/>
            <w:tcMar>
              <w:top w:w="30" w:type="dxa"/>
              <w:left w:w="80" w:type="dxa"/>
              <w:bottom w:w="30" w:type="dxa"/>
              <w:right w:w="80" w:type="dxa"/>
            </w:tcMar>
          </w:tcPr>
          <w:p w14:paraId="66D9C36F"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Equal weight</w:t>
            </w:r>
          </w:p>
        </w:tc>
        <w:tc>
          <w:tcPr>
            <w:tcW w:w="1404" w:type="dxa"/>
            <w:shd w:val="clear" w:color="auto" w:fill="FFFFFF"/>
            <w:tcMar>
              <w:top w:w="30" w:type="dxa"/>
              <w:left w:w="80" w:type="dxa"/>
              <w:bottom w:w="30" w:type="dxa"/>
              <w:right w:w="80" w:type="dxa"/>
            </w:tcMar>
          </w:tcPr>
          <w:p w14:paraId="4B2B6D63"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5C1056AA"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12" w:type="dxa"/>
            <w:shd w:val="clear" w:color="auto" w:fill="FFFFFF"/>
            <w:tcMar>
              <w:top w:w="30" w:type="dxa"/>
              <w:left w:w="80" w:type="dxa"/>
              <w:bottom w:w="30" w:type="dxa"/>
              <w:right w:w="80" w:type="dxa"/>
            </w:tcMar>
          </w:tcPr>
          <w:p w14:paraId="79D9A09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260" w:type="dxa"/>
            <w:shd w:val="clear" w:color="auto" w:fill="FFFFFF"/>
            <w:tcMar>
              <w:top w:w="30" w:type="dxa"/>
              <w:left w:w="80" w:type="dxa"/>
              <w:bottom w:w="30" w:type="dxa"/>
              <w:right w:w="80" w:type="dxa"/>
            </w:tcMar>
          </w:tcPr>
          <w:p w14:paraId="2CF25264"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c>
          <w:tcPr>
            <w:tcW w:w="1584" w:type="dxa"/>
            <w:shd w:val="clear" w:color="auto" w:fill="FFFFFF"/>
            <w:tcMar>
              <w:top w:w="30" w:type="dxa"/>
              <w:left w:w="80" w:type="dxa"/>
              <w:bottom w:w="30" w:type="dxa"/>
              <w:right w:w="80" w:type="dxa"/>
            </w:tcMar>
          </w:tcPr>
          <w:p w14:paraId="674F8D22"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 ]</w:t>
            </w:r>
          </w:p>
        </w:tc>
      </w:tr>
    </w:tbl>
    <w:p w14:paraId="29D0FD69" w14:textId="77777777" w:rsidR="00CA140A" w:rsidRPr="00FD24BA" w:rsidRDefault="00000000">
      <w:pPr>
        <w:spacing w:before="40" w:after="160"/>
        <w:rPr>
          <w:rFonts w:ascii="Times New Roman" w:hAnsi="Times New Roman" w:cs="Times New Roman"/>
          <w:color w:val="000000" w:themeColor="text1"/>
        </w:rPr>
      </w:pPr>
      <w:r w:rsidRPr="00FD24BA">
        <w:rPr>
          <w:rFonts w:ascii="Times New Roman" w:hAnsi="Times New Roman" w:cs="Times New Roman"/>
          <w:i/>
          <w:iCs/>
          <w:color w:val="000000" w:themeColor="text1"/>
          <w:sz w:val="17"/>
          <w:szCs w:val="17"/>
        </w:rPr>
        <w:t>Table 3. Peak-to-trough of entropy-ENB in the acute window (Apr–May 2025). Populate from period_functions.drawdown_of_measure(panel, "2025-04-01", "2025-05-31").</w:t>
      </w:r>
    </w:p>
    <w:p w14:paraId="51966103"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t xml:space="preserve">Mechanism. </w:t>
      </w:r>
      <w:r w:rsidRPr="00FD24BA">
        <w:rPr>
          <w:rFonts w:ascii="Times New Roman" w:hAnsi="Times New Roman" w:cs="Times New Roman"/>
          <w:color w:val="000000" w:themeColor="text1"/>
        </w:rPr>
        <w:t>The ENB compression is mechanically linked to market structure: it coincides with the absorption-ratio spike above and with a collapse in the number of names the minimum-variance optimizer holds (down to ~[k] around the shock, from ~[pre] before). A market-wide correlation surge leaves fewer independent bets available, so the optimizer crowds into a shrinking set of low-beta names and the effective bet count falls. When correlations normalise after the pause, holdings and ENB rebound together.</w:t>
      </w:r>
    </w:p>
    <w:p w14:paraId="11148EF4"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b/>
          <w:bCs/>
          <w:color w:val="000000" w:themeColor="text1"/>
        </w:rPr>
        <w:t xml:space="preserve">What is distinctive versus other regimes. </w:t>
      </w:r>
      <w:r w:rsidRPr="00FD24BA">
        <w:rPr>
          <w:rFonts w:ascii="Times New Roman" w:hAnsi="Times New Roman" w:cs="Times New Roman"/>
          <w:color w:val="000000" w:themeColor="text1"/>
        </w:rPr>
        <w:t>Relative to Table 2, the tariff episode should show a compression that is [shallower/deeper] than COVID but recovers [faster], and [shallower] and far shorter than the GFC. A sector angle is worth noting: tariffs hit import-exposed sectors (autos, semis, consumer) far harder than domestic services, so the shock combined a strong common trade-risk factor with unusually large cross-sectional dispersion — which may explain why the top-10 measure and the entropy measure move by different magnitudes here than in a pure risk-off event. [Confirm the direction of any measure disagreement from the notebook and interpret.]</w:t>
      </w:r>
    </w:p>
    <w:p w14:paraId="5CBCD877" w14:textId="77777777" w:rsidR="00CA140A" w:rsidRPr="00FD24BA" w:rsidRDefault="00000000">
      <w:pPr>
        <w:pStyle w:val="Heading1"/>
        <w:spacing w:before="260" w:after="120"/>
        <w:rPr>
          <w:rFonts w:ascii="Times New Roman" w:hAnsi="Times New Roman" w:cs="Times New Roman"/>
          <w:color w:val="000000" w:themeColor="text1"/>
        </w:rPr>
      </w:pPr>
      <w:r w:rsidRPr="00541382">
        <w:rPr>
          <w:rFonts w:ascii="Times New Roman" w:hAnsi="Times New Roman" w:cs="Times New Roman"/>
          <w:b/>
          <w:bCs/>
          <w:color w:val="000000" w:themeColor="text1"/>
          <w:sz w:val="27"/>
          <w:szCs w:val="27"/>
          <w:highlight w:val="yellow"/>
        </w:rPr>
        <w:lastRenderedPageBreak/>
        <w:t>6. Conclusion</w:t>
      </w:r>
    </w:p>
    <w:p w14:paraId="53C9456A"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color w:val="000000" w:themeColor="text1"/>
        </w:rPr>
        <w:t>Viewed through PCA, the five construction methods split cleanly into two groups. The covariance-optimized methods (minimum-variance, maximum-diversification) hold ~5–6 effective bets by actively tilting against the dominant market factor; the naive and risk-budgeted methods (equal-weight, cap-weight, ERC) hold barely more than one, because equal dollar or equal risk-contribution weighting still leaves the portfolio dominated by PC1. Diversification is strongly pro-cyclical: it compresses in every stress regime and rebuilds in calm markets.</w:t>
      </w:r>
    </w:p>
    <w:p w14:paraId="6B78DAD5" w14:textId="77777777" w:rsidR="00CA140A" w:rsidRPr="00FD24BA" w:rsidRDefault="00000000">
      <w:pPr>
        <w:spacing w:after="120" w:line="276" w:lineRule="auto"/>
        <w:rPr>
          <w:rFonts w:ascii="Times New Roman" w:hAnsi="Times New Roman" w:cs="Times New Roman"/>
          <w:color w:val="000000" w:themeColor="text1"/>
        </w:rPr>
      </w:pPr>
      <w:r w:rsidRPr="00FD24BA">
        <w:rPr>
          <w:rFonts w:ascii="Times New Roman" w:hAnsi="Times New Roman" w:cs="Times New Roman"/>
          <w:color w:val="000000" w:themeColor="text1"/>
        </w:rPr>
        <w:t>The 2025 tariff shock illustrates the dynamics in miniature: a sharp, brief correlation and factor-synchronisation spike drove a fast V-shaped compression in the optimized portfolios' effective bet count, concentrated exactly where the full-sample analysis predicts, and reversed within weeks once the tariff pause was announced. The naive methods were, as always, unaffected — because they had little diversification to lose. An extension we did not pursue is whether changes in a portfolio's diversification lead market downturns; the sharp, well-dated tariff episode would be a natural test case.</w:t>
      </w:r>
    </w:p>
    <w:p w14:paraId="167009BA"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rPr>
        <w:br w:type="page"/>
      </w:r>
    </w:p>
    <w:p w14:paraId="6331F112" w14:textId="77777777" w:rsidR="00CA140A" w:rsidRPr="00FD24BA" w:rsidRDefault="00000000">
      <w:pPr>
        <w:pStyle w:val="Heading1"/>
        <w:spacing w:before="2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27"/>
          <w:szCs w:val="27"/>
        </w:rPr>
        <w:lastRenderedPageBreak/>
        <w:t>Appendix A. Implementation choices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3200"/>
        <w:gridCol w:w="3960"/>
      </w:tblGrid>
      <w:tr w:rsidR="00CA140A" w:rsidRPr="00FD24BA" w14:paraId="774B81BC" w14:textId="77777777" w:rsidTr="00D77655">
        <w:trPr>
          <w:tblHeader/>
        </w:trPr>
        <w:tc>
          <w:tcPr>
            <w:tcW w:w="2200" w:type="dxa"/>
            <w:shd w:val="clear" w:color="auto" w:fill="CAEDFB" w:themeFill="accent4" w:themeFillTint="33"/>
            <w:tcMar>
              <w:top w:w="40" w:type="dxa"/>
              <w:left w:w="80" w:type="dxa"/>
              <w:bottom w:w="40" w:type="dxa"/>
              <w:right w:w="80" w:type="dxa"/>
            </w:tcMar>
          </w:tcPr>
          <w:p w14:paraId="0DFA2AD7"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Choice</w:t>
            </w:r>
          </w:p>
        </w:tc>
        <w:tc>
          <w:tcPr>
            <w:tcW w:w="3200" w:type="dxa"/>
            <w:shd w:val="clear" w:color="auto" w:fill="CAEDFB" w:themeFill="accent4" w:themeFillTint="33"/>
            <w:tcMar>
              <w:top w:w="40" w:type="dxa"/>
              <w:left w:w="80" w:type="dxa"/>
              <w:bottom w:w="40" w:type="dxa"/>
              <w:right w:w="80" w:type="dxa"/>
            </w:tcMar>
          </w:tcPr>
          <w:p w14:paraId="514A31C7"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Decision</w:t>
            </w:r>
          </w:p>
        </w:tc>
        <w:tc>
          <w:tcPr>
            <w:tcW w:w="3960" w:type="dxa"/>
            <w:shd w:val="clear" w:color="auto" w:fill="CAEDFB" w:themeFill="accent4" w:themeFillTint="33"/>
            <w:tcMar>
              <w:top w:w="40" w:type="dxa"/>
              <w:left w:w="80" w:type="dxa"/>
              <w:bottom w:w="40" w:type="dxa"/>
              <w:right w:w="80" w:type="dxa"/>
            </w:tcMar>
          </w:tcPr>
          <w:p w14:paraId="2664778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b/>
                <w:bCs/>
                <w:color w:val="000000" w:themeColor="text1"/>
                <w:sz w:val="17"/>
                <w:szCs w:val="17"/>
              </w:rPr>
              <w:t>Rationale</w:t>
            </w:r>
          </w:p>
        </w:tc>
      </w:tr>
      <w:tr w:rsidR="00CA140A" w:rsidRPr="00FD24BA" w14:paraId="380D9472" w14:textId="77777777">
        <w:tc>
          <w:tcPr>
            <w:tcW w:w="2200" w:type="dxa"/>
            <w:shd w:val="clear" w:color="auto" w:fill="FFFFFF"/>
            <w:tcMar>
              <w:top w:w="30" w:type="dxa"/>
              <w:left w:w="80" w:type="dxa"/>
              <w:bottom w:w="30" w:type="dxa"/>
              <w:right w:w="80" w:type="dxa"/>
            </w:tcMar>
          </w:tcPr>
          <w:p w14:paraId="26BD12DE"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Covariance estimator</w:t>
            </w:r>
          </w:p>
        </w:tc>
        <w:tc>
          <w:tcPr>
            <w:tcW w:w="3200" w:type="dxa"/>
            <w:shd w:val="clear" w:color="auto" w:fill="FFFFFF"/>
            <w:tcMar>
              <w:top w:w="30" w:type="dxa"/>
              <w:left w:w="80" w:type="dxa"/>
              <w:bottom w:w="30" w:type="dxa"/>
              <w:right w:w="80" w:type="dxa"/>
            </w:tcMar>
          </w:tcPr>
          <w:p w14:paraId="3E899502"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EWMA, 252-day half-life</w:t>
            </w:r>
          </w:p>
        </w:tc>
        <w:tc>
          <w:tcPr>
            <w:tcW w:w="3960" w:type="dxa"/>
            <w:shd w:val="clear" w:color="auto" w:fill="FFFFFF"/>
            <w:tcMar>
              <w:top w:w="30" w:type="dxa"/>
              <w:left w:w="80" w:type="dxa"/>
              <w:bottom w:w="30" w:type="dxa"/>
              <w:right w:w="80" w:type="dxa"/>
            </w:tcMar>
          </w:tcPr>
          <w:p w14:paraId="3F2636B5"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Reacts to regime shifts faster than equal-weight; critical for stress-period timing.</w:t>
            </w:r>
          </w:p>
        </w:tc>
      </w:tr>
      <w:tr w:rsidR="00CA140A" w:rsidRPr="00FD24BA" w14:paraId="440AC42A" w14:textId="77777777">
        <w:tc>
          <w:tcPr>
            <w:tcW w:w="2200" w:type="dxa"/>
            <w:shd w:val="clear" w:color="auto" w:fill="F2F2F2"/>
            <w:tcMar>
              <w:top w:w="30" w:type="dxa"/>
              <w:left w:w="80" w:type="dxa"/>
              <w:bottom w:w="30" w:type="dxa"/>
              <w:right w:w="80" w:type="dxa"/>
            </w:tcMar>
          </w:tcPr>
          <w:p w14:paraId="7C04B952"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Shrinkage</w:t>
            </w:r>
          </w:p>
        </w:tc>
        <w:tc>
          <w:tcPr>
            <w:tcW w:w="3200" w:type="dxa"/>
            <w:shd w:val="clear" w:color="auto" w:fill="F2F2F2"/>
            <w:tcMar>
              <w:top w:w="30" w:type="dxa"/>
              <w:left w:w="80" w:type="dxa"/>
              <w:bottom w:w="30" w:type="dxa"/>
              <w:right w:w="80" w:type="dxa"/>
            </w:tcMar>
          </w:tcPr>
          <w:p w14:paraId="5C466BC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Ledoit–Wolf toward constant correlation (EWMA-consistent δ)</w:t>
            </w:r>
          </w:p>
        </w:tc>
        <w:tc>
          <w:tcPr>
            <w:tcW w:w="3960" w:type="dxa"/>
            <w:shd w:val="clear" w:color="auto" w:fill="F2F2F2"/>
            <w:tcMar>
              <w:top w:w="30" w:type="dxa"/>
              <w:left w:w="80" w:type="dxa"/>
              <w:bottom w:w="30" w:type="dxa"/>
              <w:right w:w="80" w:type="dxa"/>
            </w:tcMar>
          </w:tcPr>
          <w:p w14:paraId="14A2C92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Stabilises small eigenvalues that ENB is most sensitive to; δ smoothed over 60 days.</w:t>
            </w:r>
          </w:p>
        </w:tc>
      </w:tr>
      <w:tr w:rsidR="00CA140A" w:rsidRPr="00FD24BA" w14:paraId="0B7FEA6B" w14:textId="77777777">
        <w:tc>
          <w:tcPr>
            <w:tcW w:w="2200" w:type="dxa"/>
            <w:shd w:val="clear" w:color="auto" w:fill="FFFFFF"/>
            <w:tcMar>
              <w:top w:w="30" w:type="dxa"/>
              <w:left w:w="80" w:type="dxa"/>
              <w:bottom w:w="30" w:type="dxa"/>
              <w:right w:w="80" w:type="dxa"/>
            </w:tcMar>
          </w:tcPr>
          <w:p w14:paraId="6C145C8B"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Estimation window</w:t>
            </w:r>
          </w:p>
        </w:tc>
        <w:tc>
          <w:tcPr>
            <w:tcW w:w="3200" w:type="dxa"/>
            <w:shd w:val="clear" w:color="auto" w:fill="FFFFFF"/>
            <w:tcMar>
              <w:top w:w="30" w:type="dxa"/>
              <w:left w:w="80" w:type="dxa"/>
              <w:bottom w:w="30" w:type="dxa"/>
              <w:right w:w="80" w:type="dxa"/>
            </w:tcMar>
          </w:tcPr>
          <w:p w14:paraId="642F1FCE"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504 trading days</w:t>
            </w:r>
          </w:p>
        </w:tc>
        <w:tc>
          <w:tcPr>
            <w:tcW w:w="3960" w:type="dxa"/>
            <w:shd w:val="clear" w:color="auto" w:fill="FFFFFF"/>
            <w:tcMar>
              <w:top w:w="30" w:type="dxa"/>
              <w:left w:w="80" w:type="dxa"/>
              <w:bottom w:w="30" w:type="dxa"/>
              <w:right w:w="80" w:type="dxa"/>
            </w:tcMar>
          </w:tcPr>
          <w:p w14:paraId="7EE3FD7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~2 years; long enough for a 500×500 correlation, short enough to stay local.</w:t>
            </w:r>
          </w:p>
        </w:tc>
      </w:tr>
      <w:tr w:rsidR="00CA140A" w:rsidRPr="00FD24BA" w14:paraId="096B45EC" w14:textId="77777777">
        <w:tc>
          <w:tcPr>
            <w:tcW w:w="2200" w:type="dxa"/>
            <w:shd w:val="clear" w:color="auto" w:fill="F2F2F2"/>
            <w:tcMar>
              <w:top w:w="30" w:type="dxa"/>
              <w:left w:w="80" w:type="dxa"/>
              <w:bottom w:w="30" w:type="dxa"/>
              <w:right w:w="80" w:type="dxa"/>
            </w:tcMar>
          </w:tcPr>
          <w:p w14:paraId="4550CE15"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Universe</w:t>
            </w:r>
          </w:p>
        </w:tc>
        <w:tc>
          <w:tcPr>
            <w:tcW w:w="3200" w:type="dxa"/>
            <w:shd w:val="clear" w:color="auto" w:fill="F2F2F2"/>
            <w:tcMar>
              <w:top w:w="30" w:type="dxa"/>
              <w:left w:w="80" w:type="dxa"/>
              <w:bottom w:w="30" w:type="dxa"/>
              <w:right w:w="80" w:type="dxa"/>
            </w:tcMar>
          </w:tcPr>
          <w:p w14:paraId="47FED2D8"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Top 500 by mcap with full 504-day history</w:t>
            </w:r>
          </w:p>
        </w:tc>
        <w:tc>
          <w:tcPr>
            <w:tcW w:w="3960" w:type="dxa"/>
            <w:shd w:val="clear" w:color="auto" w:fill="F2F2F2"/>
            <w:tcMar>
              <w:top w:w="30" w:type="dxa"/>
              <w:left w:w="80" w:type="dxa"/>
              <w:bottom w:w="30" w:type="dxa"/>
              <w:right w:w="80" w:type="dxa"/>
            </w:tcMar>
          </w:tcPr>
          <w:p w14:paraId="15EB92CB"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Guarantees a full-rank, gap-free correlation each day.</w:t>
            </w:r>
          </w:p>
        </w:tc>
      </w:tr>
      <w:tr w:rsidR="00CA140A" w:rsidRPr="00FD24BA" w14:paraId="74A91B8E" w14:textId="77777777">
        <w:tc>
          <w:tcPr>
            <w:tcW w:w="2200" w:type="dxa"/>
            <w:shd w:val="clear" w:color="auto" w:fill="FFFFFF"/>
            <w:tcMar>
              <w:top w:w="30" w:type="dxa"/>
              <w:left w:w="80" w:type="dxa"/>
              <w:bottom w:w="30" w:type="dxa"/>
              <w:right w:w="80" w:type="dxa"/>
            </w:tcMar>
          </w:tcPr>
          <w:p w14:paraId="73662FD8"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Rebalance</w:t>
            </w:r>
          </w:p>
        </w:tc>
        <w:tc>
          <w:tcPr>
            <w:tcW w:w="3200" w:type="dxa"/>
            <w:shd w:val="clear" w:color="auto" w:fill="FFFFFF"/>
            <w:tcMar>
              <w:top w:w="30" w:type="dxa"/>
              <w:left w:w="80" w:type="dxa"/>
              <w:bottom w:w="30" w:type="dxa"/>
              <w:right w:w="80" w:type="dxa"/>
            </w:tcMar>
          </w:tcPr>
          <w:p w14:paraId="32466BC1"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Daily weights, 20-day MA smoothing (optimized only)</w:t>
            </w:r>
          </w:p>
        </w:tc>
        <w:tc>
          <w:tcPr>
            <w:tcW w:w="3960" w:type="dxa"/>
            <w:shd w:val="clear" w:color="auto" w:fill="FFFFFF"/>
            <w:tcMar>
              <w:top w:w="30" w:type="dxa"/>
              <w:left w:w="80" w:type="dxa"/>
              <w:bottom w:w="30" w:type="dxa"/>
              <w:right w:w="80" w:type="dxa"/>
            </w:tcMar>
          </w:tcPr>
          <w:p w14:paraId="52A08F5F"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Daily captures fast episodes (tariffs); smoothing damps turnover/estimation noise.</w:t>
            </w:r>
          </w:p>
        </w:tc>
      </w:tr>
      <w:tr w:rsidR="00CA140A" w:rsidRPr="00FD24BA" w14:paraId="624AFFBB" w14:textId="77777777">
        <w:tc>
          <w:tcPr>
            <w:tcW w:w="2200" w:type="dxa"/>
            <w:shd w:val="clear" w:color="auto" w:fill="F2F2F2"/>
            <w:tcMar>
              <w:top w:w="30" w:type="dxa"/>
              <w:left w:w="80" w:type="dxa"/>
              <w:bottom w:w="30" w:type="dxa"/>
              <w:right w:w="80" w:type="dxa"/>
            </w:tcMar>
          </w:tcPr>
          <w:p w14:paraId="169313F2" w14:textId="77777777" w:rsidR="00CA140A" w:rsidRPr="00FD24BA" w:rsidRDefault="00000000">
            <w:pP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Top-N</w:t>
            </w:r>
          </w:p>
        </w:tc>
        <w:tc>
          <w:tcPr>
            <w:tcW w:w="3200" w:type="dxa"/>
            <w:shd w:val="clear" w:color="auto" w:fill="F2F2F2"/>
            <w:tcMar>
              <w:top w:w="30" w:type="dxa"/>
              <w:left w:w="80" w:type="dxa"/>
              <w:bottom w:w="30" w:type="dxa"/>
              <w:right w:w="80" w:type="dxa"/>
            </w:tcMar>
          </w:tcPr>
          <w:p w14:paraId="2370DA0C"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N = 10 for absorption measure</w:t>
            </w:r>
          </w:p>
        </w:tc>
        <w:tc>
          <w:tcPr>
            <w:tcW w:w="3960" w:type="dxa"/>
            <w:shd w:val="clear" w:color="auto" w:fill="F2F2F2"/>
            <w:tcMar>
              <w:top w:w="30" w:type="dxa"/>
              <w:left w:w="80" w:type="dxa"/>
              <w:bottom w:w="30" w:type="dxa"/>
              <w:right w:w="80" w:type="dxa"/>
            </w:tcMar>
          </w:tcPr>
          <w:p w14:paraId="3B69BB80" w14:textId="77777777" w:rsidR="00CA140A" w:rsidRPr="00FD24BA" w:rsidRDefault="00000000">
            <w:pPr>
              <w:jc w:val="center"/>
              <w:rPr>
                <w:rFonts w:ascii="Times New Roman" w:hAnsi="Times New Roman" w:cs="Times New Roman"/>
                <w:color w:val="000000" w:themeColor="text1"/>
              </w:rPr>
            </w:pPr>
            <w:r w:rsidRPr="00FD24BA">
              <w:rPr>
                <w:rFonts w:ascii="Times New Roman" w:hAnsi="Times New Roman" w:cs="Times New Roman"/>
                <w:color w:val="000000" w:themeColor="text1"/>
                <w:sz w:val="17"/>
                <w:szCs w:val="17"/>
              </w:rPr>
              <w:t>Standard absorption-ratio horizon; matched to Kritzman et al. (2010).</w:t>
            </w:r>
          </w:p>
        </w:tc>
      </w:tr>
    </w:tbl>
    <w:p w14:paraId="57B865E0" w14:textId="77777777" w:rsidR="000323CE" w:rsidRDefault="000323CE">
      <w:pPr>
        <w:pStyle w:val="Heading1"/>
        <w:spacing w:before="260" w:after="120"/>
        <w:rPr>
          <w:rFonts w:ascii="Times New Roman" w:hAnsi="Times New Roman" w:cs="Times New Roman"/>
          <w:b/>
          <w:bCs/>
          <w:color w:val="000000" w:themeColor="text1"/>
          <w:sz w:val="27"/>
          <w:szCs w:val="27"/>
        </w:rPr>
      </w:pPr>
    </w:p>
    <w:p w14:paraId="724187CA" w14:textId="42B93F26" w:rsidR="00CA140A" w:rsidRPr="00FD24BA" w:rsidRDefault="00000000">
      <w:pPr>
        <w:pStyle w:val="Heading1"/>
        <w:spacing w:before="260" w:after="120"/>
        <w:rPr>
          <w:rFonts w:ascii="Times New Roman" w:hAnsi="Times New Roman" w:cs="Times New Roman"/>
          <w:color w:val="000000" w:themeColor="text1"/>
        </w:rPr>
      </w:pPr>
      <w:r w:rsidRPr="00FD24BA">
        <w:rPr>
          <w:rFonts w:ascii="Times New Roman" w:hAnsi="Times New Roman" w:cs="Times New Roman"/>
          <w:b/>
          <w:bCs/>
          <w:color w:val="000000" w:themeColor="text1"/>
          <w:sz w:val="27"/>
          <w:szCs w:val="27"/>
        </w:rPr>
        <w:t xml:space="preserve">Appendix B. </w:t>
      </w:r>
      <w:r w:rsidR="000323CE">
        <w:rPr>
          <w:rFonts w:ascii="Times New Roman" w:hAnsi="Times New Roman" w:cs="Times New Roman"/>
          <w:b/>
          <w:bCs/>
          <w:color w:val="000000" w:themeColor="text1"/>
          <w:sz w:val="27"/>
          <w:szCs w:val="27"/>
        </w:rPr>
        <w:t>Calculation of the portion of portfolio variance explained by PCs</w:t>
      </w:r>
    </w:p>
    <w:p w14:paraId="573F2D4A"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Before defining and measuring the diversification of a given portfolio construction method, we need to project the portfolio's weights onto the eigenspace and compute the portfolio's score on each principal component. Our measures of diversification will use the scores as input.</w:t>
      </w:r>
    </w:p>
    <w:p w14:paraId="2DB95A0F" w14:textId="3F3FD838"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We performed the PCA decomposition on standardized returns (correlation matrix), but we are interested in measuring the diversification of a portfolio in the real world, where assets have different volatilities. In other words, our eigenvectors and </w:t>
      </w:r>
      <w:r w:rsidRPr="000323CE">
        <w:rPr>
          <w:rFonts w:ascii="Times New Roman" w:hAnsi="Times New Roman" w:cs="Times New Roman"/>
        </w:rPr>
        <w:t>real-world</w:t>
      </w:r>
      <w:r w:rsidRPr="000323CE">
        <w:rPr>
          <w:rFonts w:ascii="Times New Roman" w:hAnsi="Times New Roman" w:cs="Times New Roman"/>
        </w:rPr>
        <w:t xml:space="preserve"> portfolios live in different spaces. Before projecting the portfolio onto the eigenvectors, we therefore need to re-express the portfolio's weights in standardized returns units, so that the resulting variance decomposition is measured in a consistent space.</w:t>
      </w:r>
    </w:p>
    <w:p w14:paraId="3AC0B3B0"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The end goal is to express the portfolio variance in terms of the uncorrelated sources of risk. Let's start by expressing the portfolio's variance in terms of the raw covariance matrix:</w:t>
      </w:r>
    </w:p>
    <w:p w14:paraId="0DBA304C"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m:t>
              </m:r>
            </m:sup>
          </m:sSup>
          <m:r>
            <w:rPr>
              <w:rFonts w:ascii="Cambria Math" w:hAnsi="Cambria Math" w:cs="Times New Roman"/>
            </w:rPr>
            <m:t xml:space="preserve"> Σ w</m:t>
          </m:r>
        </m:oMath>
      </m:oMathPara>
    </w:p>
    <w:p w14:paraId="3ADB806B"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where </w:t>
      </w:r>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oMath>
      <w:r w:rsidRPr="000323CE">
        <w:rPr>
          <w:rFonts w:ascii="Times New Roman" w:hAnsi="Times New Roman" w:cs="Times New Roman"/>
        </w:rPr>
        <w:t xml:space="preserve"> is the portfolio's variance, </w:t>
      </w:r>
      <m:oMath>
        <m:r>
          <w:rPr>
            <w:rFonts w:ascii="Cambria Math" w:hAnsi="Cambria Math" w:cs="Times New Roman"/>
          </w:rPr>
          <m:t>w</m:t>
        </m:r>
      </m:oMath>
      <w:r w:rsidRPr="000323CE">
        <w:rPr>
          <w:rFonts w:ascii="Times New Roman" w:hAnsi="Times New Roman" w:cs="Times New Roman"/>
        </w:rPr>
        <w:t xml:space="preserve"> is the vector of weights, and </w:t>
      </w:r>
      <m:oMath>
        <m:r>
          <w:rPr>
            <w:rFonts w:ascii="Cambria Math" w:hAnsi="Cambria Math" w:cs="Times New Roman"/>
          </w:rPr>
          <m:t>Σ</m:t>
        </m:r>
      </m:oMath>
      <w:r w:rsidRPr="000323CE">
        <w:rPr>
          <w:rFonts w:ascii="Times New Roman" w:hAnsi="Times New Roman" w:cs="Times New Roman"/>
        </w:rPr>
        <w:t xml:space="preserve"> is the raw covariance matrix.</w:t>
      </w:r>
    </w:p>
    <w:p w14:paraId="11DA542D"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The covariance matrix can be expressed in terms of the correlation matrix:</w:t>
      </w:r>
    </w:p>
    <w:p w14:paraId="7FDC0AE0" w14:textId="77777777" w:rsidR="000323CE" w:rsidRPr="000323CE" w:rsidRDefault="000323CE" w:rsidP="000323CE">
      <w:pPr>
        <w:spacing w:before="120" w:after="240"/>
        <w:jc w:val="center"/>
        <w:rPr>
          <w:rFonts w:ascii="Times New Roman" w:hAnsi="Times New Roman" w:cs="Times New Roman"/>
        </w:rPr>
      </w:pPr>
      <m:oMathPara>
        <m:oMath>
          <m:r>
            <w:rPr>
              <w:rFonts w:ascii="Cambria Math" w:hAnsi="Cambria Math" w:cs="Times New Roman"/>
            </w:rPr>
            <m:t>Σ = D C D</m:t>
          </m:r>
        </m:oMath>
      </m:oMathPara>
    </w:p>
    <w:p w14:paraId="379A2CFC"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where </w:t>
      </w:r>
      <m:oMath>
        <m:r>
          <w:rPr>
            <w:rFonts w:ascii="Cambria Math" w:hAnsi="Cambria Math" w:cs="Times New Roman"/>
          </w:rPr>
          <m:t>C</m:t>
        </m:r>
      </m:oMath>
      <w:r w:rsidRPr="000323CE">
        <w:rPr>
          <w:rFonts w:ascii="Times New Roman" w:hAnsi="Times New Roman" w:cs="Times New Roman"/>
        </w:rPr>
        <w:t xml:space="preserve"> is the correlation matrix and </w:t>
      </w:r>
      <m:oMath>
        <m:r>
          <w:rPr>
            <w:rFonts w:ascii="Cambria Math" w:hAnsi="Cambria Math" w:cs="Times New Roman"/>
          </w:rPr>
          <m:t xml:space="preserve">D = </m:t>
        </m:r>
        <m:func>
          <m:funcPr>
            <m:ctrlPr>
              <w:rPr>
                <w:rFonts w:ascii="Cambria Math" w:hAnsi="Cambria Math" w:cs="Times New Roman"/>
              </w:rPr>
            </m:ctrlPr>
          </m:funcPr>
          <m:fName>
            <m:r>
              <w:rPr>
                <w:rFonts w:ascii="Cambria Math" w:hAnsi="Cambria Math" w:cs="Times New Roman"/>
              </w:rPr>
              <m:t>diag</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1</m:t>
                    </m:r>
                  </m:sub>
                </m:sSub>
                <m: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N</m:t>
                    </m:r>
                  </m:sub>
                </m:sSub>
              </m:e>
            </m:d>
          </m:e>
        </m:func>
      </m:oMath>
      <w:r w:rsidRPr="000323CE">
        <w:rPr>
          <w:rFonts w:ascii="Times New Roman" w:hAnsi="Times New Roman" w:cs="Times New Roman"/>
        </w:rPr>
        <w:t>.</w:t>
      </w:r>
    </w:p>
    <w:p w14:paraId="30BC91E5"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Substituting, we have:</w:t>
      </w:r>
    </w:p>
    <w:p w14:paraId="4D35C992"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m:t>
              </m:r>
            </m:sup>
          </m:sSup>
          <m:r>
            <w:rPr>
              <w:rFonts w:ascii="Cambria Math" w:hAnsi="Cambria Math" w:cs="Times New Roman"/>
            </w:rPr>
            <m:t xml:space="preserve"> Σ w = </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m:t>
              </m:r>
            </m:sup>
          </m:sSup>
          <m:r>
            <w:rPr>
              <w:rFonts w:ascii="Cambria Math" w:hAnsi="Cambria Math" w:cs="Times New Roman"/>
            </w:rPr>
            <m:t xml:space="preserve"> </m:t>
          </m:r>
          <m:d>
            <m:dPr>
              <m:ctrlPr>
                <w:rPr>
                  <w:rFonts w:ascii="Cambria Math" w:hAnsi="Cambria Math" w:cs="Times New Roman"/>
                </w:rPr>
              </m:ctrlPr>
            </m:dPr>
            <m:e>
              <m:r>
                <w:rPr>
                  <w:rFonts w:ascii="Cambria Math" w:hAnsi="Cambria Math" w:cs="Times New Roman"/>
                </w:rPr>
                <m:t>D C D</m:t>
              </m:r>
            </m:e>
          </m:d>
          <m:r>
            <w:rPr>
              <w:rFonts w:ascii="Cambria Math" w:hAnsi="Cambria Math" w:cs="Times New Roman"/>
            </w:rPr>
            <m:t xml:space="preserve"> w = </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m:t>
                  </m:r>
                </m:sup>
              </m:sSup>
              <m:r>
                <w:rPr>
                  <w:rFonts w:ascii="Cambria Math" w:hAnsi="Cambria Math" w:cs="Times New Roman"/>
                </w:rPr>
                <m:t xml:space="preserve"> D</m:t>
              </m:r>
            </m:e>
          </m:d>
          <m:r>
            <w:rPr>
              <w:rFonts w:ascii="Cambria Math" w:hAnsi="Cambria Math" w:cs="Times New Roman"/>
            </w:rPr>
            <m:t xml:space="preserve"> C </m:t>
          </m:r>
          <m:d>
            <m:dPr>
              <m:ctrlPr>
                <w:rPr>
                  <w:rFonts w:ascii="Cambria Math" w:hAnsi="Cambria Math" w:cs="Times New Roman"/>
                </w:rPr>
              </m:ctrlPr>
            </m:dPr>
            <m:e>
              <m:r>
                <w:rPr>
                  <w:rFonts w:ascii="Cambria Math" w:hAnsi="Cambria Math" w:cs="Times New Roman"/>
                </w:rPr>
                <m:t>Dw</m:t>
              </m:r>
            </m:e>
          </m:d>
          <m:r>
            <w:rPr>
              <w:rFonts w:ascii="Cambria Math" w:hAnsi="Cambria Math" w:cs="Times New Roman"/>
            </w:rPr>
            <m:t xml:space="preserve"> = </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Dw</m:t>
                  </m:r>
                </m:e>
              </m:d>
            </m:e>
            <m:sup>
              <m:r>
                <w:rPr>
                  <w:rFonts w:ascii="Cambria Math" w:hAnsi="Cambria Math" w:cs="Times New Roman"/>
                </w:rPr>
                <m:t>⊤</m:t>
              </m:r>
            </m:sup>
          </m:sSup>
          <m:r>
            <w:rPr>
              <w:rFonts w:ascii="Cambria Math" w:hAnsi="Cambria Math" w:cs="Times New Roman"/>
            </w:rPr>
            <m:t xml:space="preserve"> C </m:t>
          </m:r>
          <m:d>
            <m:dPr>
              <m:ctrlPr>
                <w:rPr>
                  <w:rFonts w:ascii="Cambria Math" w:hAnsi="Cambria Math" w:cs="Times New Roman"/>
                </w:rPr>
              </m:ctrlPr>
            </m:dPr>
            <m:e>
              <m:r>
                <w:rPr>
                  <w:rFonts w:ascii="Cambria Math" w:hAnsi="Cambria Math" w:cs="Times New Roman"/>
                </w:rPr>
                <m:t>Dw</m:t>
              </m:r>
            </m:e>
          </m:d>
        </m:oMath>
      </m:oMathPara>
    </w:p>
    <w:p w14:paraId="2382B58A"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The last step follows since </w:t>
      </w:r>
      <m:oMath>
        <m:r>
          <w:rPr>
            <w:rFonts w:ascii="Cambria Math" w:hAnsi="Cambria Math" w:cs="Times New Roman"/>
          </w:rPr>
          <m:t>D</m:t>
        </m:r>
      </m:oMath>
      <w:r w:rsidRPr="000323CE">
        <w:rPr>
          <w:rFonts w:ascii="Times New Roman" w:hAnsi="Times New Roman" w:cs="Times New Roman"/>
        </w:rPr>
        <w:t xml:space="preserve"> is diagonal (and thus, symmetric), so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m:t>
            </m:r>
          </m:sup>
        </m:sSup>
        <m:r>
          <w:rPr>
            <w:rFonts w:ascii="Cambria Math" w:hAnsi="Cambria Math" w:cs="Times New Roman"/>
          </w:rPr>
          <m:t xml:space="preserve"> D = </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 xml:space="preserve"> w</m:t>
                </m:r>
              </m:e>
            </m:d>
          </m:e>
          <m:sup>
            <m:r>
              <w:rPr>
                <w:rFonts w:ascii="Cambria Math" w:hAnsi="Cambria Math" w:cs="Times New Roman"/>
              </w:rPr>
              <m:t>⊤</m:t>
            </m:r>
          </m:sup>
        </m:sSup>
        <m:r>
          <w:rPr>
            <w:rFonts w:ascii="Cambria Math" w:hAnsi="Cambria Math" w:cs="Times New Roman"/>
          </w:rPr>
          <m:t xml:space="preserve"> = </m:t>
        </m:r>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Dw</m:t>
                </m:r>
              </m:e>
            </m:d>
          </m:e>
          <m:sup>
            <m:r>
              <w:rPr>
                <w:rFonts w:ascii="Cambria Math" w:hAnsi="Cambria Math" w:cs="Times New Roman"/>
              </w:rPr>
              <m:t>⊤</m:t>
            </m:r>
          </m:sup>
        </m:sSup>
      </m:oMath>
      <w:r w:rsidRPr="000323CE">
        <w:rPr>
          <w:rFonts w:ascii="Times New Roman" w:hAnsi="Times New Roman" w:cs="Times New Roman"/>
        </w:rPr>
        <w:t>.</w:t>
      </w:r>
    </w:p>
    <w:p w14:paraId="687B3E41"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The term </w:t>
      </w:r>
      <m:oMath>
        <m:r>
          <w:rPr>
            <w:rFonts w:ascii="Cambria Math" w:hAnsi="Cambria Math" w:cs="Times New Roman"/>
          </w:rPr>
          <m:t>Dw</m:t>
        </m:r>
      </m:oMath>
      <w:r w:rsidRPr="000323CE">
        <w:rPr>
          <w:rFonts w:ascii="Times New Roman" w:hAnsi="Times New Roman" w:cs="Times New Roman"/>
        </w:rPr>
        <w:t xml:space="preserve"> is multiplying a diagonal matrix of the volatilities by the vector of weights, which results in a vector of weights scaled by the volatility. In other words, the entries of this resulting vector are the original portfolio weights multiplied by each asset volatility (</w:t>
      </w:r>
      <m:oMath>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323CE">
        <w:rPr>
          <w:rFonts w:ascii="Times New Roman" w:hAnsi="Times New Roman" w:cs="Times New Roman"/>
        </w:rPr>
        <w:t xml:space="preserve">). We will define </w:t>
      </w:r>
      <m:oMath>
        <m:r>
          <w:rPr>
            <w:rFonts w:ascii="Cambria Math" w:hAnsi="Cambria Math" w:cs="Times New Roman"/>
          </w:rPr>
          <m:t>u := Dw</m:t>
        </m:r>
      </m:oMath>
      <w:r w:rsidRPr="000323CE">
        <w:rPr>
          <w:rFonts w:ascii="Times New Roman" w:hAnsi="Times New Roman" w:cs="Times New Roman"/>
        </w:rPr>
        <w:t xml:space="preserve">, so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σ</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323CE">
        <w:rPr>
          <w:rFonts w:ascii="Times New Roman" w:hAnsi="Times New Roman" w:cs="Times New Roman"/>
        </w:rPr>
        <w:t>.</w:t>
      </w:r>
    </w:p>
    <w:p w14:paraId="5B103C9F"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Now, we want to decompose the variance of the portfolio using the principal components.</w:t>
      </w:r>
    </w:p>
    <w:p w14:paraId="18F28704"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In the steps above, we showed that</w:t>
      </w:r>
    </w:p>
    <w:p w14:paraId="2B326378"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m:t>
              </m:r>
            </m:sup>
          </m:sSup>
          <m:r>
            <w:rPr>
              <w:rFonts w:ascii="Cambria Math" w:hAnsi="Cambria Math" w:cs="Times New Roman"/>
            </w:rPr>
            <m:t xml:space="preserve"> C u</m:t>
          </m:r>
        </m:oMath>
      </m:oMathPara>
    </w:p>
    <w:p w14:paraId="471EC337"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We have already decomposed the correlation matrix, so the equation above becomes:</w:t>
      </w:r>
    </w:p>
    <w:p w14:paraId="0233FFE8"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m:t>
              </m:r>
            </m:sup>
          </m:sSup>
          <m:r>
            <w:rPr>
              <w:rFonts w:ascii="Cambria Math" w:hAnsi="Cambria Math" w:cs="Times New Roman"/>
            </w:rPr>
            <m:t xml:space="preserve"> </m:t>
          </m:r>
          <m:d>
            <m:dPr>
              <m:ctrlPr>
                <w:rPr>
                  <w:rFonts w:ascii="Cambria Math" w:hAnsi="Cambria Math" w:cs="Times New Roman"/>
                </w:rPr>
              </m:ctrlPr>
            </m:dPr>
            <m:e>
              <m:r>
                <w:rPr>
                  <w:rFonts w:ascii="Cambria Math" w:hAnsi="Cambria Math" w:cs="Times New Roman"/>
                </w:rPr>
                <m:t xml:space="preserve">V Λ </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e>
          </m:d>
          <m:r>
            <w:rPr>
              <w:rFonts w:ascii="Cambria Math" w:hAnsi="Cambria Math" w:cs="Times New Roman"/>
            </w:rPr>
            <m:t xml:space="preserve"> u</m:t>
          </m:r>
        </m:oMath>
      </m:oMathPara>
    </w:p>
    <w:p w14:paraId="1FED227A"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where </w:t>
      </w:r>
      <m:oMath>
        <m:r>
          <w:rPr>
            <w:rFonts w:ascii="Cambria Math" w:hAnsi="Cambria Math" w:cs="Times New Roman"/>
          </w:rPr>
          <m:t>V</m:t>
        </m:r>
      </m:oMath>
      <w:r w:rsidRPr="000323CE">
        <w:rPr>
          <w:rFonts w:ascii="Times New Roman" w:hAnsi="Times New Roman" w:cs="Times New Roman"/>
        </w:rPr>
        <w:t xml:space="preserve"> is the matrix of eigenvectors and </w:t>
      </w:r>
      <m:oMath>
        <m:r>
          <w:rPr>
            <w:rFonts w:ascii="Cambria Math" w:hAnsi="Cambria Math" w:cs="Times New Roman"/>
          </w:rPr>
          <m:t xml:space="preserve">Λ = </m:t>
        </m:r>
        <m:func>
          <m:funcPr>
            <m:ctrlPr>
              <w:rPr>
                <w:rFonts w:ascii="Cambria Math" w:hAnsi="Cambria Math" w:cs="Times New Roman"/>
              </w:rPr>
            </m:ctrlPr>
          </m:funcPr>
          <m:fName>
            <m:r>
              <w:rPr>
                <w:rFonts w:ascii="Cambria Math" w:hAnsi="Cambria Math" w:cs="Times New Roman"/>
              </w:rPr>
              <m:t>diag</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m:t>
                    </m:r>
                  </m:sub>
                </m:sSub>
                <m: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N</m:t>
                    </m:r>
                  </m:sub>
                </m:sSub>
              </m:e>
            </m:d>
          </m:e>
        </m:func>
      </m:oMath>
      <w:r w:rsidRPr="000323CE">
        <w:rPr>
          <w:rFonts w:ascii="Times New Roman" w:hAnsi="Times New Roman" w:cs="Times New Roman"/>
        </w:rPr>
        <w:t>.</w:t>
      </w:r>
    </w:p>
    <w:p w14:paraId="675068D4"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Rearranging:</w:t>
      </w:r>
    </w:p>
    <w:p w14:paraId="12D27AF0"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m:t>
              </m:r>
            </m:sup>
          </m:sSup>
          <m:r>
            <w:rPr>
              <w:rFonts w:ascii="Cambria Math" w:hAnsi="Cambria Math" w:cs="Times New Roman"/>
            </w:rPr>
            <m:t xml:space="preserve"> </m:t>
          </m:r>
          <m:d>
            <m:dPr>
              <m:ctrlPr>
                <w:rPr>
                  <w:rFonts w:ascii="Cambria Math" w:hAnsi="Cambria Math" w:cs="Times New Roman"/>
                </w:rPr>
              </m:ctrlPr>
            </m:dPr>
            <m:e>
              <m:r>
                <w:rPr>
                  <w:rFonts w:ascii="Cambria Math" w:hAnsi="Cambria Math" w:cs="Times New Roman"/>
                </w:rPr>
                <m:t xml:space="preserve">V Λ </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e>
          </m:d>
          <m:r>
            <w:rPr>
              <w:rFonts w:ascii="Cambria Math" w:hAnsi="Cambria Math" w:cs="Times New Roman"/>
            </w:rPr>
            <m:t xml:space="preserve"> u = </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u</m:t>
                  </m:r>
                </m:e>
                <m:sup>
                  <m:r>
                    <w:rPr>
                      <w:rFonts w:ascii="Cambria Math" w:hAnsi="Cambria Math" w:cs="Times New Roman"/>
                    </w:rPr>
                    <m:t>⊤</m:t>
                  </m:r>
                </m:sup>
              </m:sSup>
              <m:r>
                <w:rPr>
                  <w:rFonts w:ascii="Cambria Math" w:hAnsi="Cambria Math" w:cs="Times New Roman"/>
                </w:rPr>
                <m:t xml:space="preserve"> V</m:t>
              </m:r>
            </m:e>
          </m:d>
          <m:r>
            <w:rPr>
              <w:rFonts w:ascii="Cambria Math" w:hAnsi="Cambria Math" w:cs="Times New Roman"/>
            </w:rPr>
            <m:t xml:space="preserve"> Λ </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cs="Times New Roman"/>
                </w:rPr>
                <m:t xml:space="preserve"> u</m:t>
              </m:r>
            </m:e>
          </m:d>
          <m:r>
            <w:rPr>
              <w:rFonts w:ascii="Cambria Math" w:hAnsi="Cambria Math" w:cs="Times New Roman"/>
            </w:rPr>
            <m:t xml:space="preserve"> = </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cs="Times New Roman"/>
                    </w:rPr>
                    <m:t xml:space="preserve"> u</m:t>
                  </m:r>
                </m:e>
              </m:d>
            </m:e>
            <m:sup>
              <m:r>
                <w:rPr>
                  <w:rFonts w:ascii="Cambria Math" w:hAnsi="Cambria Math" w:cs="Times New Roman"/>
                </w:rPr>
                <m:t>⊤</m:t>
              </m:r>
            </m:sup>
          </m:sSup>
          <m:r>
            <w:rPr>
              <w:rFonts w:ascii="Cambria Math" w:hAnsi="Cambria Math" w:cs="Times New Roman"/>
            </w:rPr>
            <m:t xml:space="preserve"> Λ </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cs="Times New Roman"/>
                </w:rPr>
                <m:t xml:space="preserve"> u</m:t>
              </m:r>
            </m:e>
          </m:d>
        </m:oMath>
      </m:oMathPara>
    </w:p>
    <w:p w14:paraId="2FC30E93"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The term </w:t>
      </w:r>
      <m:oMath>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cs="Times New Roman"/>
          </w:rPr>
          <m:t xml:space="preserve"> u</m:t>
        </m:r>
      </m:oMath>
      <w:r w:rsidRPr="000323CE">
        <w:rPr>
          <w:rFonts w:ascii="Times New Roman" w:hAnsi="Times New Roman" w:cs="Times New Roman"/>
        </w:rPr>
        <w:t xml:space="preserve"> is the projection of the portfolio weights on the eigenvectors. We can further define </w:t>
      </w:r>
      <m:oMath>
        <m:r>
          <w:rPr>
            <w:rFonts w:ascii="Cambria Math" w:hAnsi="Cambria Math" w:cs="Times New Roman"/>
          </w:rPr>
          <m:t xml:space="preserve">s = </m:t>
        </m:r>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m:t>
            </m:r>
          </m:sup>
        </m:sSup>
        <m:r>
          <w:rPr>
            <w:rFonts w:ascii="Cambria Math" w:hAnsi="Cambria Math" w:cs="Times New Roman"/>
          </w:rPr>
          <m:t xml:space="preserve"> u</m:t>
        </m:r>
      </m:oMath>
      <w:r w:rsidRPr="000323CE">
        <w:rPr>
          <w:rFonts w:ascii="Times New Roman" w:hAnsi="Times New Roman" w:cs="Times New Roman"/>
        </w:rPr>
        <w:t xml:space="preserve"> and the portfolio variance becomes:</w:t>
      </w:r>
    </w:p>
    <w:p w14:paraId="6912D885" w14:textId="77777777" w:rsidR="000323CE" w:rsidRPr="000323CE" w:rsidRDefault="000323CE" w:rsidP="000323CE">
      <w:pPr>
        <w:spacing w:before="120" w:after="240"/>
        <w:jc w:val="cente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p</m:t>
              </m:r>
            </m:sub>
            <m:sup>
              <m:r>
                <w:rPr>
                  <w:rFonts w:ascii="Cambria Math" w:hAnsi="Cambria Math" w:cs="Times New Roman"/>
                </w:rPr>
                <m:t>2</m:t>
              </m:r>
            </m:sup>
          </m:sSubSup>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s</m:t>
              </m:r>
            </m:e>
            <m:sup>
              <m:r>
                <w:rPr>
                  <w:rFonts w:ascii="Cambria Math" w:hAnsi="Cambria Math" w:cs="Times New Roman"/>
                </w:rPr>
                <m:t>⊤</m:t>
              </m:r>
            </m:sup>
          </m:sSup>
          <m:r>
            <w:rPr>
              <w:rFonts w:ascii="Cambria Math" w:hAnsi="Cambria Math" w:cs="Times New Roman"/>
            </w:rPr>
            <m:t xml:space="preserve"> Λ s = </m:t>
          </m:r>
          <m:nary>
            <m:naryPr>
              <m:chr m:val="∑"/>
              <m:limLoc m:val="undOvr"/>
              <m:ctrlPr>
                <w:rPr>
                  <w:rFonts w:ascii="Cambria Math" w:hAnsi="Cambria Math" w:cs="Times New Roman"/>
                </w:rPr>
              </m:ctrlPr>
            </m:naryPr>
            <m:sub>
              <m:r>
                <w:rPr>
                  <w:rFonts w:ascii="Cambria Math" w:hAnsi="Cambria Math" w:cs="Times New Roman"/>
                </w:rPr>
                <m:t>k = 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k</m:t>
                  </m:r>
                </m:sub>
              </m:sSub>
              <m:r>
                <w:rPr>
                  <w:rFonts w:ascii="Cambria Math" w:hAnsi="Cambria Math" w:cs="Times New Roman"/>
                </w:rPr>
                <m:t xml:space="preserve"> </m:t>
              </m:r>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k</m:t>
                  </m:r>
                </m:sub>
                <m:sup>
                  <m:r>
                    <w:rPr>
                      <w:rFonts w:ascii="Cambria Math" w:hAnsi="Cambria Math" w:cs="Times New Roman"/>
                    </w:rPr>
                    <m:t>2</m:t>
                  </m:r>
                </m:sup>
              </m:sSubSup>
            </m:e>
          </m:nary>
        </m:oMath>
      </m:oMathPara>
    </w:p>
    <w:p w14:paraId="13094C39"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where the last term comes from the vector and matrix multiplication, given that the matrix </w:t>
      </w:r>
      <m:oMath>
        <m:r>
          <w:rPr>
            <w:rFonts w:ascii="Cambria Math" w:hAnsi="Cambria Math" w:cs="Times New Roman"/>
          </w:rPr>
          <m:t>Λ</m:t>
        </m:r>
      </m:oMath>
      <w:r w:rsidRPr="000323CE">
        <w:rPr>
          <w:rFonts w:ascii="Times New Roman" w:hAnsi="Times New Roman" w:cs="Times New Roman"/>
        </w:rPr>
        <w:t xml:space="preserve"> is diagonal.</w:t>
      </w:r>
    </w:p>
    <w:p w14:paraId="66BDDB61"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 xml:space="preserve">In plain words, the portfolio variance is the sum of the product of eigenvalues and the squared projection of the portfolio weights on the eigenvectors (the square of the scores). Each term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k</m:t>
            </m:r>
          </m:sub>
        </m:sSub>
        <m:r>
          <w:rPr>
            <w:rFonts w:ascii="Cambria Math" w:hAnsi="Cambria Math" w:cs="Times New Roman"/>
          </w:rPr>
          <m:t xml:space="preserve"> </m:t>
        </m:r>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k</m:t>
            </m:r>
          </m:sub>
          <m:sup>
            <m:r>
              <w:rPr>
                <w:rFonts w:ascii="Cambria Math" w:hAnsi="Cambria Math" w:cs="Times New Roman"/>
              </w:rPr>
              <m:t>2</m:t>
            </m:r>
          </m:sup>
        </m:sSubSup>
      </m:oMath>
      <w:r w:rsidRPr="000323CE">
        <w:rPr>
          <w:rFonts w:ascii="Times New Roman" w:hAnsi="Times New Roman" w:cs="Times New Roman"/>
        </w:rPr>
        <w:t xml:space="preserve"> is the portfolio variance attributable to component </w:t>
      </w:r>
      <m:oMath>
        <m:r>
          <w:rPr>
            <w:rFonts w:ascii="Cambria Math" w:hAnsi="Cambria Math" w:cs="Times New Roman"/>
          </w:rPr>
          <m:t>k</m:t>
        </m:r>
      </m:oMath>
      <w:r w:rsidRPr="000323CE">
        <w:rPr>
          <w:rFonts w:ascii="Times New Roman" w:hAnsi="Times New Roman" w:cs="Times New Roman"/>
        </w:rPr>
        <w:t>.</w:t>
      </w:r>
    </w:p>
    <w:p w14:paraId="1C960CAE" w14:textId="77777777" w:rsidR="000323CE" w:rsidRPr="000323CE" w:rsidRDefault="000323CE" w:rsidP="000323CE">
      <w:pPr>
        <w:spacing w:after="240"/>
        <w:jc w:val="both"/>
        <w:rPr>
          <w:rFonts w:ascii="Times New Roman" w:hAnsi="Times New Roman" w:cs="Times New Roman"/>
        </w:rPr>
      </w:pPr>
      <w:r w:rsidRPr="000323CE">
        <w:rPr>
          <w:rFonts w:ascii="Times New Roman" w:hAnsi="Times New Roman" w:cs="Times New Roman"/>
        </w:rPr>
        <w:t>For our diversification measures, we are interested in the fraction of portfolio variance explained by each component:</w:t>
      </w:r>
    </w:p>
    <w:p w14:paraId="43712D07" w14:textId="77777777" w:rsidR="000323CE" w:rsidRPr="000323CE" w:rsidRDefault="000323CE" w:rsidP="000323CE">
      <w:pPr>
        <w:spacing w:before="120" w:after="240"/>
        <w:jc w:val="cente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r>
            <w:rPr>
              <w:rFonts w:ascii="Cambria Math" w:hAnsi="Cambria Math" w:cs="Times New Roman"/>
            </w:rPr>
            <m:t xml:space="preserve"> = </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k</m:t>
                  </m:r>
                </m:sub>
              </m:sSub>
              <m:r>
                <w:rPr>
                  <w:rFonts w:ascii="Cambria Math" w:hAnsi="Cambria Math" w:cs="Times New Roman"/>
                </w:rPr>
                <m:t xml:space="preserve"> </m:t>
              </m:r>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k</m:t>
                  </m:r>
                </m:sub>
                <m:sup>
                  <m:r>
                    <w:rPr>
                      <w:rFonts w:ascii="Cambria Math" w:hAnsi="Cambria Math" w:cs="Times New Roman"/>
                    </w:rPr>
                    <m:t>2</m:t>
                  </m:r>
                </m:sup>
              </m:sSubSup>
            </m:num>
            <m:den>
              <m:nary>
                <m:naryPr>
                  <m:chr m:val="∑"/>
                  <m:limLoc m:val="undOvr"/>
                  <m:ctrlPr>
                    <w:rPr>
                      <w:rFonts w:ascii="Cambria Math" w:hAnsi="Cambria Math" w:cs="Times New Roman"/>
                    </w:rPr>
                  </m:ctrlPr>
                </m:naryPr>
                <m:sub>
                  <m:r>
                    <w:rPr>
                      <w:rFonts w:ascii="Cambria Math" w:hAnsi="Cambria Math" w:cs="Times New Roman"/>
                    </w:rPr>
                    <m:t>j = 1</m:t>
                  </m:r>
                </m:sub>
                <m:sup>
                  <m:r>
                    <w:rPr>
                      <w:rFonts w:ascii="Cambria Math" w:hAnsi="Cambria Math" w:cs="Times New Roman"/>
                    </w:rPr>
                    <m:t>N</m:t>
                  </m:r>
                </m:sup>
                <m:e>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j</m:t>
                      </m:r>
                    </m:sub>
                  </m:sSub>
                  <m:r>
                    <w:rPr>
                      <w:rFonts w:ascii="Cambria Math" w:hAnsi="Cambria Math" w:cs="Times New Roman"/>
                    </w:rPr>
                    <m:t xml:space="preserve"> </m:t>
                  </m:r>
                  <m:sSubSup>
                    <m:sSubSupPr>
                      <m:ctrlPr>
                        <w:rPr>
                          <w:rFonts w:ascii="Cambria Math" w:hAnsi="Cambria Math" w:cs="Times New Roman"/>
                        </w:rPr>
                      </m:ctrlPr>
                    </m:sSubSupPr>
                    <m:e>
                      <m:r>
                        <w:rPr>
                          <w:rFonts w:ascii="Cambria Math" w:hAnsi="Cambria Math" w:cs="Times New Roman"/>
                        </w:rPr>
                        <m:t>s</m:t>
                      </m:r>
                    </m:e>
                    <m:sub>
                      <m:r>
                        <w:rPr>
                          <w:rFonts w:ascii="Cambria Math" w:hAnsi="Cambria Math" w:cs="Times New Roman"/>
                        </w:rPr>
                        <m:t>j</m:t>
                      </m:r>
                    </m:sub>
                    <m:sup>
                      <m:r>
                        <w:rPr>
                          <w:rFonts w:ascii="Cambria Math" w:hAnsi="Cambria Math" w:cs="Times New Roman"/>
                        </w:rPr>
                        <m:t>2</m:t>
                      </m:r>
                    </m:sup>
                  </m:sSubSup>
                </m:e>
              </m:nary>
            </m:den>
          </m:f>
        </m:oMath>
      </m:oMathPara>
    </w:p>
    <w:p w14:paraId="67D939C3" w14:textId="77777777" w:rsidR="000323CE" w:rsidRDefault="000323CE" w:rsidP="000323CE">
      <w:pPr>
        <w:jc w:val="both"/>
        <w:rPr>
          <w:rFonts w:ascii="Times New Roman" w:hAnsi="Times New Roman" w:cs="Times New Roman"/>
        </w:rPr>
      </w:pPr>
      <w:r w:rsidRPr="000323CE">
        <w:rPr>
          <w:rFonts w:ascii="Times New Roman" w:hAnsi="Times New Roman" w:cs="Times New Roman"/>
        </w:rPr>
        <w:t xml:space="preserve">The distribution of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e>
        </m:d>
      </m:oMath>
      <w:r w:rsidRPr="000323CE">
        <w:rPr>
          <w:rFonts w:ascii="Times New Roman" w:hAnsi="Times New Roman" w:cs="Times New Roman"/>
        </w:rPr>
        <w:t xml:space="preserve"> is the input for the diversification measures.</w:t>
      </w:r>
    </w:p>
    <w:p w14:paraId="7DEA0210" w14:textId="77777777" w:rsidR="000323CE" w:rsidRDefault="000323CE" w:rsidP="000323CE">
      <w:pPr>
        <w:jc w:val="both"/>
        <w:rPr>
          <w:rFonts w:ascii="Times New Roman" w:hAnsi="Times New Roman" w:cs="Times New Roman"/>
        </w:rPr>
      </w:pPr>
    </w:p>
    <w:p w14:paraId="030A811D" w14:textId="3EC33342" w:rsidR="000323CE" w:rsidRDefault="000323CE" w:rsidP="000323CE">
      <w:pPr>
        <w:pStyle w:val="Heading1"/>
        <w:spacing w:before="260" w:after="120"/>
        <w:rPr>
          <w:rFonts w:ascii="Times New Roman" w:hAnsi="Times New Roman" w:cs="Times New Roman"/>
          <w:b/>
          <w:bCs/>
          <w:color w:val="000000" w:themeColor="text1"/>
          <w:sz w:val="27"/>
          <w:szCs w:val="27"/>
          <w:lang w:val="fr-FR"/>
        </w:rPr>
      </w:pPr>
      <w:r w:rsidRPr="00F6353C">
        <w:rPr>
          <w:rFonts w:ascii="Times New Roman" w:hAnsi="Times New Roman" w:cs="Times New Roman"/>
          <w:b/>
          <w:bCs/>
          <w:color w:val="000000" w:themeColor="text1"/>
          <w:sz w:val="27"/>
          <w:szCs w:val="27"/>
          <w:lang w:val="fr-FR"/>
        </w:rPr>
        <w:t xml:space="preserve">Appendix </w:t>
      </w:r>
      <w:r w:rsidRPr="00F6353C">
        <w:rPr>
          <w:rFonts w:ascii="Times New Roman" w:hAnsi="Times New Roman" w:cs="Times New Roman"/>
          <w:b/>
          <w:bCs/>
          <w:color w:val="000000" w:themeColor="text1"/>
          <w:sz w:val="27"/>
          <w:szCs w:val="27"/>
          <w:lang w:val="fr-FR"/>
        </w:rPr>
        <w:t>C</w:t>
      </w:r>
      <w:r w:rsidRPr="00F6353C">
        <w:rPr>
          <w:rFonts w:ascii="Times New Roman" w:hAnsi="Times New Roman" w:cs="Times New Roman"/>
          <w:b/>
          <w:bCs/>
          <w:color w:val="000000" w:themeColor="text1"/>
          <w:sz w:val="27"/>
          <w:szCs w:val="27"/>
          <w:lang w:val="fr-FR"/>
        </w:rPr>
        <w:t xml:space="preserve">. </w:t>
      </w:r>
      <w:r w:rsidR="00F6353C" w:rsidRPr="00F6353C">
        <w:rPr>
          <w:rFonts w:ascii="Times New Roman" w:hAnsi="Times New Roman" w:cs="Times New Roman"/>
          <w:b/>
          <w:bCs/>
          <w:color w:val="000000" w:themeColor="text1"/>
          <w:sz w:val="27"/>
          <w:szCs w:val="27"/>
          <w:lang w:val="fr-FR"/>
        </w:rPr>
        <w:t>Portfolio Construction Me</w:t>
      </w:r>
      <w:r w:rsidR="00F6353C">
        <w:rPr>
          <w:rFonts w:ascii="Times New Roman" w:hAnsi="Times New Roman" w:cs="Times New Roman"/>
          <w:b/>
          <w:bCs/>
          <w:color w:val="000000" w:themeColor="text1"/>
          <w:sz w:val="27"/>
          <w:szCs w:val="27"/>
          <w:lang w:val="fr-FR"/>
        </w:rPr>
        <w:t>thods</w:t>
      </w:r>
    </w:p>
    <w:p w14:paraId="14A0F62A" w14:textId="77777777" w:rsidR="00D77655" w:rsidRDefault="00D77655" w:rsidP="00D77655">
      <w:pPr>
        <w:rPr>
          <w:rFonts w:ascii="Times New Roman" w:hAnsi="Times New Roman" w:cs="Times New Roman"/>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2500"/>
        <w:gridCol w:w="1900"/>
        <w:gridCol w:w="1580"/>
      </w:tblGrid>
      <w:tr w:rsidR="00D77655" w14:paraId="6E86FB43" w14:textId="77777777" w:rsidTr="008754A3">
        <w:tblPrEx>
          <w:tblCellMar>
            <w:top w:w="0" w:type="dxa"/>
            <w:bottom w:w="0" w:type="dxa"/>
          </w:tblCellMar>
        </w:tblPrEx>
        <w:trPr>
          <w:tblHeader/>
        </w:trPr>
        <w:tc>
          <w:tcPr>
            <w:tcW w:w="1500" w:type="dxa"/>
            <w:shd w:val="clear" w:color="auto" w:fill="CAEDFB" w:themeFill="accent4" w:themeFillTint="33"/>
            <w:vAlign w:val="center"/>
          </w:tcPr>
          <w:p w14:paraId="3D93EFC4" w14:textId="77777777" w:rsidR="00D77655" w:rsidRPr="00B660E0" w:rsidRDefault="00D77655" w:rsidP="008754A3">
            <w:pPr>
              <w:spacing w:before="40" w:after="40"/>
              <w:rPr>
                <w:color w:val="000000" w:themeColor="text1"/>
              </w:rPr>
            </w:pPr>
            <w:r w:rsidRPr="00B660E0">
              <w:rPr>
                <w:b/>
                <w:bCs/>
                <w:color w:val="000000" w:themeColor="text1"/>
                <w:sz w:val="20"/>
                <w:szCs w:val="20"/>
              </w:rPr>
              <w:t>Portfolio</w:t>
            </w:r>
          </w:p>
        </w:tc>
        <w:tc>
          <w:tcPr>
            <w:tcW w:w="2600" w:type="dxa"/>
            <w:shd w:val="clear" w:color="auto" w:fill="CAEDFB" w:themeFill="accent4" w:themeFillTint="33"/>
            <w:vAlign w:val="center"/>
          </w:tcPr>
          <w:p w14:paraId="6F6214BB" w14:textId="77777777" w:rsidR="00D77655" w:rsidRPr="00B660E0" w:rsidRDefault="00D77655" w:rsidP="008754A3">
            <w:pPr>
              <w:spacing w:before="40" w:after="40"/>
              <w:rPr>
                <w:color w:val="000000" w:themeColor="text1"/>
              </w:rPr>
            </w:pPr>
            <w:r w:rsidRPr="00B660E0">
              <w:rPr>
                <w:b/>
                <w:bCs/>
                <w:color w:val="000000" w:themeColor="text1"/>
                <w:sz w:val="20"/>
                <w:szCs w:val="20"/>
              </w:rPr>
              <w:t>Objective Function</w:t>
            </w:r>
          </w:p>
        </w:tc>
        <w:tc>
          <w:tcPr>
            <w:tcW w:w="2500" w:type="dxa"/>
            <w:shd w:val="clear" w:color="auto" w:fill="CAEDFB" w:themeFill="accent4" w:themeFillTint="33"/>
            <w:vAlign w:val="center"/>
          </w:tcPr>
          <w:p w14:paraId="20C244AB" w14:textId="77777777" w:rsidR="00D77655" w:rsidRPr="00B660E0" w:rsidRDefault="00D77655" w:rsidP="008754A3">
            <w:pPr>
              <w:spacing w:before="40" w:after="40"/>
              <w:rPr>
                <w:color w:val="000000" w:themeColor="text1"/>
              </w:rPr>
            </w:pPr>
            <w:r w:rsidRPr="00B660E0">
              <w:rPr>
                <w:b/>
                <w:bCs/>
                <w:color w:val="000000" w:themeColor="text1"/>
                <w:sz w:val="20"/>
                <w:szCs w:val="20"/>
              </w:rPr>
              <w:t>Purpose / Intuition</w:t>
            </w:r>
          </w:p>
        </w:tc>
        <w:tc>
          <w:tcPr>
            <w:tcW w:w="1900" w:type="dxa"/>
            <w:shd w:val="clear" w:color="auto" w:fill="CAEDFB" w:themeFill="accent4" w:themeFillTint="33"/>
            <w:vAlign w:val="center"/>
          </w:tcPr>
          <w:p w14:paraId="57D11BFA" w14:textId="77777777" w:rsidR="00D77655" w:rsidRPr="00B660E0" w:rsidRDefault="00D77655" w:rsidP="008754A3">
            <w:pPr>
              <w:spacing w:before="40" w:after="40"/>
              <w:rPr>
                <w:color w:val="000000" w:themeColor="text1"/>
              </w:rPr>
            </w:pPr>
            <w:r w:rsidRPr="00B660E0">
              <w:rPr>
                <w:b/>
                <w:bCs/>
                <w:color w:val="000000" w:themeColor="text1"/>
                <w:sz w:val="20"/>
                <w:szCs w:val="20"/>
              </w:rPr>
              <w:t>Solution Method</w:t>
            </w:r>
          </w:p>
        </w:tc>
        <w:tc>
          <w:tcPr>
            <w:tcW w:w="1580" w:type="dxa"/>
            <w:shd w:val="clear" w:color="auto" w:fill="CAEDFB" w:themeFill="accent4" w:themeFillTint="33"/>
            <w:vAlign w:val="center"/>
          </w:tcPr>
          <w:p w14:paraId="0C2B2715" w14:textId="77777777" w:rsidR="00D77655" w:rsidRPr="00B660E0" w:rsidRDefault="00D77655" w:rsidP="008754A3">
            <w:pPr>
              <w:spacing w:before="40" w:after="40"/>
              <w:rPr>
                <w:color w:val="000000" w:themeColor="text1"/>
              </w:rPr>
            </w:pPr>
            <w:r w:rsidRPr="00B660E0">
              <w:rPr>
                <w:b/>
                <w:bCs/>
                <w:color w:val="000000" w:themeColor="text1"/>
                <w:sz w:val="20"/>
                <w:szCs w:val="20"/>
              </w:rPr>
              <w:t>Constraints</w:t>
            </w:r>
          </w:p>
        </w:tc>
      </w:tr>
      <w:tr w:rsidR="00D77655" w14:paraId="14CECCA9" w14:textId="77777777" w:rsidTr="008754A3">
        <w:tblPrEx>
          <w:tblCellMar>
            <w:top w:w="0" w:type="dxa"/>
            <w:bottom w:w="0" w:type="dxa"/>
          </w:tblCellMar>
        </w:tblPrEx>
        <w:tc>
          <w:tcPr>
            <w:tcW w:w="1500" w:type="dxa"/>
            <w:vAlign w:val="center"/>
          </w:tcPr>
          <w:p w14:paraId="4B6220BE" w14:textId="77777777" w:rsidR="00D77655" w:rsidRDefault="00D77655" w:rsidP="008754A3">
            <w:pPr>
              <w:spacing w:before="40" w:after="40"/>
            </w:pPr>
            <w:r>
              <w:rPr>
                <w:b/>
                <w:bCs/>
                <w:color w:val="000000"/>
                <w:sz w:val="19"/>
                <w:szCs w:val="19"/>
              </w:rPr>
              <w:t>Equal Weight</w:t>
            </w:r>
          </w:p>
        </w:tc>
        <w:tc>
          <w:tcPr>
            <w:tcW w:w="2600" w:type="dxa"/>
            <w:vAlign w:val="center"/>
          </w:tcPr>
          <w:p w14:paraId="0E8EE5FA" w14:textId="77777777" w:rsidR="00D77655" w:rsidRDefault="00D77655" w:rsidP="008754A3">
            <w:pPr>
              <w:spacing w:before="40" w:after="40"/>
            </w:pPr>
            <w:r>
              <w:rPr>
                <w:color w:val="000000"/>
                <w:sz w:val="19"/>
                <w:szCs w:val="19"/>
              </w:rPr>
              <w:t>wᵢ = 1/N for every stock i</w:t>
            </w:r>
          </w:p>
        </w:tc>
        <w:tc>
          <w:tcPr>
            <w:tcW w:w="2500" w:type="dxa"/>
            <w:vAlign w:val="center"/>
          </w:tcPr>
          <w:p w14:paraId="1B197034" w14:textId="77777777" w:rsidR="00D77655" w:rsidRDefault="00D77655" w:rsidP="008754A3">
            <w:pPr>
              <w:spacing w:before="40" w:after="40"/>
            </w:pPr>
            <w:r>
              <w:rPr>
                <w:color w:val="000000"/>
                <w:sz w:val="19"/>
                <w:szCs w:val="19"/>
              </w:rPr>
              <w:t>Naive diversification benchmark. No optimization, no reliance on estimated covariance or expected returns.</w:t>
            </w:r>
          </w:p>
        </w:tc>
        <w:tc>
          <w:tcPr>
            <w:tcW w:w="1900" w:type="dxa"/>
            <w:vAlign w:val="center"/>
          </w:tcPr>
          <w:p w14:paraId="39F24033" w14:textId="77777777" w:rsidR="00D77655" w:rsidRDefault="00D77655" w:rsidP="008754A3">
            <w:pPr>
              <w:spacing w:before="40" w:after="40"/>
            </w:pPr>
            <w:r>
              <w:rPr>
                <w:color w:val="000000"/>
                <w:sz w:val="19"/>
                <w:szCs w:val="19"/>
              </w:rPr>
              <w:t>Closed form (no solver)</w:t>
            </w:r>
          </w:p>
        </w:tc>
        <w:tc>
          <w:tcPr>
            <w:tcW w:w="1580" w:type="dxa"/>
            <w:vAlign w:val="center"/>
          </w:tcPr>
          <w:p w14:paraId="1D95BF0B" w14:textId="77777777" w:rsidR="00D77655" w:rsidRDefault="00D77655" w:rsidP="008754A3">
            <w:pPr>
              <w:spacing w:before="40" w:after="40"/>
            </w:pPr>
            <w:r>
              <w:rPr>
                <w:color w:val="000000"/>
                <w:sz w:val="19"/>
                <w:szCs w:val="19"/>
              </w:rPr>
              <w:t>Σw = 1, w ≥ 0 (trivially satisfied)</w:t>
            </w:r>
          </w:p>
        </w:tc>
      </w:tr>
      <w:tr w:rsidR="00D77655" w14:paraId="5D84E16C" w14:textId="77777777" w:rsidTr="008754A3">
        <w:tblPrEx>
          <w:tblCellMar>
            <w:top w:w="0" w:type="dxa"/>
            <w:bottom w:w="0" w:type="dxa"/>
          </w:tblCellMar>
        </w:tblPrEx>
        <w:tc>
          <w:tcPr>
            <w:tcW w:w="1500" w:type="dxa"/>
            <w:shd w:val="clear" w:color="auto" w:fill="F2F2F2"/>
            <w:vAlign w:val="center"/>
          </w:tcPr>
          <w:p w14:paraId="5C8E23B1" w14:textId="77777777" w:rsidR="00D77655" w:rsidRDefault="00D77655" w:rsidP="008754A3">
            <w:pPr>
              <w:spacing w:before="40" w:after="40"/>
            </w:pPr>
            <w:r>
              <w:rPr>
                <w:b/>
                <w:bCs/>
                <w:color w:val="000000"/>
                <w:sz w:val="19"/>
                <w:szCs w:val="19"/>
              </w:rPr>
              <w:t>Market-Cap Weighted</w:t>
            </w:r>
          </w:p>
        </w:tc>
        <w:tc>
          <w:tcPr>
            <w:tcW w:w="2600" w:type="dxa"/>
            <w:shd w:val="clear" w:color="auto" w:fill="F2F2F2"/>
            <w:vAlign w:val="center"/>
          </w:tcPr>
          <w:p w14:paraId="53FC3543" w14:textId="77777777" w:rsidR="00D77655" w:rsidRDefault="00D77655" w:rsidP="008754A3">
            <w:pPr>
              <w:spacing w:before="40" w:after="40"/>
            </w:pPr>
            <w:r>
              <w:rPr>
                <w:color w:val="000000"/>
                <w:sz w:val="19"/>
                <w:szCs w:val="19"/>
              </w:rPr>
              <w:t>wᵢ ∝ market cap of stock i</w:t>
            </w:r>
          </w:p>
        </w:tc>
        <w:tc>
          <w:tcPr>
            <w:tcW w:w="2500" w:type="dxa"/>
            <w:shd w:val="clear" w:color="auto" w:fill="F2F2F2"/>
            <w:vAlign w:val="center"/>
          </w:tcPr>
          <w:p w14:paraId="0D941DC4" w14:textId="77777777" w:rsidR="00D77655" w:rsidRDefault="00D77655" w:rsidP="008754A3">
            <w:pPr>
              <w:spacing w:before="40" w:after="40"/>
            </w:pPr>
            <w:r>
              <w:rPr>
                <w:color w:val="000000"/>
                <w:sz w:val="19"/>
                <w:szCs w:val="19"/>
              </w:rPr>
              <w:t>Passive, investable benchmark reflecting the market portfolio. No optimization.</w:t>
            </w:r>
          </w:p>
        </w:tc>
        <w:tc>
          <w:tcPr>
            <w:tcW w:w="1900" w:type="dxa"/>
            <w:shd w:val="clear" w:color="auto" w:fill="F2F2F2"/>
            <w:vAlign w:val="center"/>
          </w:tcPr>
          <w:p w14:paraId="06469431" w14:textId="77777777" w:rsidR="00D77655" w:rsidRDefault="00D77655" w:rsidP="008754A3">
            <w:pPr>
              <w:spacing w:before="40" w:after="40"/>
            </w:pPr>
            <w:r>
              <w:rPr>
                <w:color w:val="000000"/>
                <w:sz w:val="19"/>
                <w:szCs w:val="19"/>
              </w:rPr>
              <w:t>Closed form (no solver)</w:t>
            </w:r>
          </w:p>
        </w:tc>
        <w:tc>
          <w:tcPr>
            <w:tcW w:w="1580" w:type="dxa"/>
            <w:shd w:val="clear" w:color="auto" w:fill="F2F2F2"/>
            <w:vAlign w:val="center"/>
          </w:tcPr>
          <w:p w14:paraId="5CAFC0D0" w14:textId="77777777" w:rsidR="00D77655" w:rsidRDefault="00D77655" w:rsidP="008754A3">
            <w:pPr>
              <w:spacing w:before="40" w:after="40"/>
            </w:pPr>
            <w:r>
              <w:rPr>
                <w:color w:val="000000"/>
                <w:sz w:val="19"/>
                <w:szCs w:val="19"/>
              </w:rPr>
              <w:t>Σw = 1, w ≥ 0 (trivially satisfied)</w:t>
            </w:r>
          </w:p>
        </w:tc>
      </w:tr>
      <w:tr w:rsidR="00D77655" w14:paraId="2101B913" w14:textId="77777777" w:rsidTr="008754A3">
        <w:tblPrEx>
          <w:tblCellMar>
            <w:top w:w="0" w:type="dxa"/>
            <w:bottom w:w="0" w:type="dxa"/>
          </w:tblCellMar>
        </w:tblPrEx>
        <w:tc>
          <w:tcPr>
            <w:tcW w:w="1500" w:type="dxa"/>
            <w:vAlign w:val="center"/>
          </w:tcPr>
          <w:p w14:paraId="4DC8E1B9" w14:textId="77777777" w:rsidR="00D77655" w:rsidRDefault="00D77655" w:rsidP="008754A3">
            <w:pPr>
              <w:spacing w:before="40" w:after="40"/>
            </w:pPr>
            <w:r>
              <w:rPr>
                <w:b/>
                <w:bCs/>
                <w:color w:val="000000"/>
                <w:sz w:val="19"/>
                <w:szCs w:val="19"/>
              </w:rPr>
              <w:t>Minimum Variance</w:t>
            </w:r>
          </w:p>
        </w:tc>
        <w:tc>
          <w:tcPr>
            <w:tcW w:w="2600" w:type="dxa"/>
            <w:vAlign w:val="center"/>
          </w:tcPr>
          <w:p w14:paraId="2E8848DB" w14:textId="77777777" w:rsidR="00D77655" w:rsidRDefault="00D77655" w:rsidP="008754A3">
            <w:pPr>
              <w:spacing w:before="40" w:after="40"/>
            </w:pPr>
            <w:r>
              <w:rPr>
                <w:color w:val="000000"/>
                <w:sz w:val="19"/>
                <w:szCs w:val="19"/>
              </w:rPr>
              <w:t>min wᵀΣw</w:t>
            </w:r>
          </w:p>
        </w:tc>
        <w:tc>
          <w:tcPr>
            <w:tcW w:w="2500" w:type="dxa"/>
            <w:vAlign w:val="center"/>
          </w:tcPr>
          <w:p w14:paraId="3D5FBA72" w14:textId="77777777" w:rsidR="00D77655" w:rsidRDefault="00D77655" w:rsidP="008754A3">
            <w:pPr>
              <w:spacing w:before="40" w:after="40"/>
            </w:pPr>
            <w:r>
              <w:rPr>
                <w:color w:val="000000"/>
                <w:sz w:val="19"/>
                <w:szCs w:val="19"/>
              </w:rPr>
              <w:t>Lowest possible portfolio variance given the estimated covariance structure. Tends to concentrate on low-volatility, low-correlation names.</w:t>
            </w:r>
          </w:p>
        </w:tc>
        <w:tc>
          <w:tcPr>
            <w:tcW w:w="1900" w:type="dxa"/>
            <w:vAlign w:val="center"/>
          </w:tcPr>
          <w:p w14:paraId="1C808CCB" w14:textId="77777777" w:rsidR="00D77655" w:rsidRPr="00B660E0" w:rsidRDefault="00D77655" w:rsidP="008754A3">
            <w:pPr>
              <w:spacing w:before="40" w:after="40"/>
              <w:rPr>
                <w:lang w:val="es-419"/>
              </w:rPr>
            </w:pPr>
            <w:r w:rsidRPr="00B660E0">
              <w:rPr>
                <w:color w:val="000000"/>
                <w:sz w:val="19"/>
                <w:szCs w:val="19"/>
                <w:lang w:val="es-419"/>
              </w:rPr>
              <w:t>Convex QP (OSQP via cvxpy)</w:t>
            </w:r>
          </w:p>
        </w:tc>
        <w:tc>
          <w:tcPr>
            <w:tcW w:w="1580" w:type="dxa"/>
            <w:vAlign w:val="center"/>
          </w:tcPr>
          <w:p w14:paraId="0AA6185F" w14:textId="77777777" w:rsidR="00D77655" w:rsidRDefault="00D77655" w:rsidP="008754A3">
            <w:pPr>
              <w:spacing w:before="40" w:after="40"/>
            </w:pPr>
            <w:r>
              <w:rPr>
                <w:color w:val="000000"/>
                <w:sz w:val="19"/>
                <w:szCs w:val="19"/>
              </w:rPr>
              <w:t>Σw = 1, w ≥ 0</w:t>
            </w:r>
          </w:p>
        </w:tc>
      </w:tr>
      <w:tr w:rsidR="00D77655" w14:paraId="3E66232B" w14:textId="77777777" w:rsidTr="008754A3">
        <w:tblPrEx>
          <w:tblCellMar>
            <w:top w:w="0" w:type="dxa"/>
            <w:bottom w:w="0" w:type="dxa"/>
          </w:tblCellMar>
        </w:tblPrEx>
        <w:tc>
          <w:tcPr>
            <w:tcW w:w="1500" w:type="dxa"/>
            <w:shd w:val="clear" w:color="auto" w:fill="F2F2F2"/>
            <w:vAlign w:val="center"/>
          </w:tcPr>
          <w:p w14:paraId="5A25C918" w14:textId="77777777" w:rsidR="00D77655" w:rsidRDefault="00D77655" w:rsidP="008754A3">
            <w:pPr>
              <w:spacing w:before="40" w:after="40"/>
            </w:pPr>
            <w:r>
              <w:rPr>
                <w:b/>
                <w:bCs/>
                <w:color w:val="000000"/>
                <w:sz w:val="19"/>
                <w:szCs w:val="19"/>
              </w:rPr>
              <w:t>Equal Risk Contribution (ERC)</w:t>
            </w:r>
          </w:p>
        </w:tc>
        <w:tc>
          <w:tcPr>
            <w:tcW w:w="2600" w:type="dxa"/>
            <w:shd w:val="clear" w:color="auto" w:fill="F2F2F2"/>
            <w:vAlign w:val="center"/>
          </w:tcPr>
          <w:p w14:paraId="76A08A96" w14:textId="77777777" w:rsidR="00D77655" w:rsidRDefault="00D77655" w:rsidP="008754A3">
            <w:pPr>
              <w:spacing w:before="40" w:after="40"/>
            </w:pPr>
            <w:r>
              <w:rPr>
                <w:color w:val="000000"/>
                <w:sz w:val="19"/>
                <w:szCs w:val="19"/>
              </w:rPr>
              <w:t>min ½wᵀΣw − Σᵢ log(wᵢ)</w:t>
            </w:r>
          </w:p>
        </w:tc>
        <w:tc>
          <w:tcPr>
            <w:tcW w:w="2500" w:type="dxa"/>
            <w:shd w:val="clear" w:color="auto" w:fill="F2F2F2"/>
            <w:vAlign w:val="center"/>
          </w:tcPr>
          <w:p w14:paraId="07F199C7" w14:textId="77777777" w:rsidR="00D77655" w:rsidRDefault="00D77655" w:rsidP="008754A3">
            <w:pPr>
              <w:spacing w:before="40" w:after="40"/>
            </w:pPr>
            <w:r>
              <w:rPr>
                <w:color w:val="000000"/>
                <w:sz w:val="19"/>
                <w:szCs w:val="19"/>
              </w:rPr>
              <w:t>Every asset contributes equally to total portfolio variance: wᵢ(Σw)ᵢ equal across all i. Log-barrier guarantees every name held (wᵢ &gt; 0 for all i).</w:t>
            </w:r>
          </w:p>
        </w:tc>
        <w:tc>
          <w:tcPr>
            <w:tcW w:w="1900" w:type="dxa"/>
            <w:shd w:val="clear" w:color="auto" w:fill="F2F2F2"/>
            <w:vAlign w:val="center"/>
          </w:tcPr>
          <w:p w14:paraId="5AA50F61" w14:textId="77777777" w:rsidR="00D77655" w:rsidRDefault="00D77655" w:rsidP="008754A3">
            <w:pPr>
              <w:spacing w:before="40" w:after="40"/>
            </w:pPr>
            <w:r>
              <w:rPr>
                <w:color w:val="000000"/>
                <w:sz w:val="19"/>
                <w:szCs w:val="19"/>
              </w:rPr>
              <w:t>Damped Newton's method (Spinu, 2013)</w:t>
            </w:r>
          </w:p>
        </w:tc>
        <w:tc>
          <w:tcPr>
            <w:tcW w:w="1580" w:type="dxa"/>
            <w:shd w:val="clear" w:color="auto" w:fill="F2F2F2"/>
            <w:vAlign w:val="center"/>
          </w:tcPr>
          <w:p w14:paraId="094BDCE6" w14:textId="77777777" w:rsidR="00D77655" w:rsidRDefault="00D77655" w:rsidP="008754A3">
            <w:pPr>
              <w:spacing w:before="40" w:after="40"/>
            </w:pPr>
            <w:r>
              <w:rPr>
                <w:color w:val="000000"/>
                <w:sz w:val="19"/>
                <w:szCs w:val="19"/>
              </w:rPr>
              <w:t>Σw = 1, w &gt; 0 (guaranteed by log barrier, no upper bound needed)</w:t>
            </w:r>
          </w:p>
        </w:tc>
      </w:tr>
      <w:tr w:rsidR="00D77655" w14:paraId="7417B153" w14:textId="77777777" w:rsidTr="008754A3">
        <w:tblPrEx>
          <w:tblCellMar>
            <w:top w:w="0" w:type="dxa"/>
            <w:bottom w:w="0" w:type="dxa"/>
          </w:tblCellMar>
        </w:tblPrEx>
        <w:tc>
          <w:tcPr>
            <w:tcW w:w="1500" w:type="dxa"/>
            <w:vAlign w:val="center"/>
          </w:tcPr>
          <w:p w14:paraId="6F600AA0" w14:textId="77777777" w:rsidR="00D77655" w:rsidRDefault="00D77655" w:rsidP="008754A3">
            <w:pPr>
              <w:spacing w:before="40" w:after="40"/>
            </w:pPr>
            <w:r>
              <w:rPr>
                <w:b/>
                <w:bCs/>
                <w:color w:val="000000"/>
                <w:sz w:val="19"/>
                <w:szCs w:val="19"/>
              </w:rPr>
              <w:lastRenderedPageBreak/>
              <w:t>Maximum Diversification</w:t>
            </w:r>
          </w:p>
        </w:tc>
        <w:tc>
          <w:tcPr>
            <w:tcW w:w="2600" w:type="dxa"/>
            <w:vAlign w:val="center"/>
          </w:tcPr>
          <w:p w14:paraId="52848C71" w14:textId="77777777" w:rsidR="00D77655" w:rsidRDefault="00D77655" w:rsidP="008754A3">
            <w:pPr>
              <w:spacing w:before="40" w:after="40"/>
            </w:pPr>
            <w:r>
              <w:rPr>
                <w:color w:val="000000"/>
                <w:sz w:val="19"/>
                <w:szCs w:val="19"/>
              </w:rPr>
              <w:t>max (wᵀσ) / √(wᵀΣw)</w:t>
            </w:r>
          </w:p>
        </w:tc>
        <w:tc>
          <w:tcPr>
            <w:tcW w:w="2500" w:type="dxa"/>
            <w:vAlign w:val="center"/>
          </w:tcPr>
          <w:p w14:paraId="420CAFAE" w14:textId="77777777" w:rsidR="00D77655" w:rsidRDefault="00D77655" w:rsidP="008754A3">
            <w:pPr>
              <w:spacing w:before="40" w:after="40"/>
            </w:pPr>
            <w:r>
              <w:rPr>
                <w:color w:val="000000"/>
                <w:sz w:val="19"/>
                <w:szCs w:val="19"/>
              </w:rPr>
              <w:t>Maximizes the ratio of weighted-average volatility to portfolio volatility (Choueifaty &amp; Coignard). Rewards low average correlation among held names.</w:t>
            </w:r>
          </w:p>
        </w:tc>
        <w:tc>
          <w:tcPr>
            <w:tcW w:w="1900" w:type="dxa"/>
            <w:vAlign w:val="center"/>
          </w:tcPr>
          <w:p w14:paraId="7BBC7DE0" w14:textId="77777777" w:rsidR="00D77655" w:rsidRDefault="00D77655" w:rsidP="008754A3">
            <w:pPr>
              <w:spacing w:before="40" w:after="40"/>
            </w:pPr>
            <w:r>
              <w:rPr>
                <w:color w:val="000000"/>
                <w:sz w:val="19"/>
                <w:szCs w:val="19"/>
              </w:rPr>
              <w:t>Convex QP on correlation matrix (substitution u = diag(σ)w, solved as min-variance in u, rescaled by σ)</w:t>
            </w:r>
          </w:p>
        </w:tc>
        <w:tc>
          <w:tcPr>
            <w:tcW w:w="1580" w:type="dxa"/>
            <w:vAlign w:val="center"/>
          </w:tcPr>
          <w:p w14:paraId="0935E826" w14:textId="77777777" w:rsidR="00D77655" w:rsidRDefault="00D77655" w:rsidP="008754A3">
            <w:pPr>
              <w:spacing w:before="40" w:after="40"/>
            </w:pPr>
            <w:r>
              <w:rPr>
                <w:color w:val="000000"/>
                <w:sz w:val="19"/>
                <w:szCs w:val="19"/>
              </w:rPr>
              <w:t>Σu = 1, u ≥ 0 (equivalent to Σw = 1, w ≥ 0 after rescaling)</w:t>
            </w:r>
          </w:p>
        </w:tc>
      </w:tr>
    </w:tbl>
    <w:p w14:paraId="7B852F14" w14:textId="77777777" w:rsidR="00D77655" w:rsidRDefault="00D77655" w:rsidP="00D77655"/>
    <w:p w14:paraId="017B2B4C" w14:textId="5C1F7431" w:rsidR="00D77655" w:rsidRDefault="00D77655" w:rsidP="00D77655">
      <w:r>
        <w:t>The final weights are constructed by taking the average of the last 20 days with the purpose of reducing turnover and smoothing the portfolio weights.</w:t>
      </w:r>
    </w:p>
    <w:p w14:paraId="67BD0A75" w14:textId="77777777" w:rsidR="00D77655" w:rsidRPr="00D77655" w:rsidRDefault="00D77655" w:rsidP="00D77655"/>
    <w:p w14:paraId="56BFCE0B" w14:textId="77777777" w:rsidR="000323CE" w:rsidRPr="00D77655" w:rsidRDefault="000323CE" w:rsidP="000323CE">
      <w:pPr>
        <w:jc w:val="both"/>
        <w:rPr>
          <w:rFonts w:ascii="Times New Roman" w:hAnsi="Times New Roman" w:cs="Times New Roman"/>
        </w:rPr>
      </w:pPr>
    </w:p>
    <w:p w14:paraId="4C545AFA" w14:textId="77777777" w:rsidR="00CA140A" w:rsidRPr="00D77655" w:rsidRDefault="00000000">
      <w:pPr>
        <w:pStyle w:val="Heading1"/>
        <w:spacing w:before="260" w:after="120"/>
        <w:rPr>
          <w:rFonts w:ascii="Times New Roman" w:hAnsi="Times New Roman" w:cs="Times New Roman"/>
          <w:color w:val="000000" w:themeColor="text1"/>
        </w:rPr>
      </w:pPr>
      <w:r w:rsidRPr="00D77655">
        <w:rPr>
          <w:rFonts w:ascii="Times New Roman" w:hAnsi="Times New Roman" w:cs="Times New Roman"/>
          <w:b/>
          <w:bCs/>
          <w:color w:val="000000" w:themeColor="text1"/>
          <w:sz w:val="27"/>
          <w:szCs w:val="27"/>
        </w:rPr>
        <w:t>References</w:t>
      </w:r>
    </w:p>
    <w:p w14:paraId="5B3301C2" w14:textId="77777777" w:rsidR="00CA140A" w:rsidRPr="00E571F9" w:rsidRDefault="00000000">
      <w:pPr>
        <w:spacing w:after="60"/>
        <w:ind w:left="360" w:hanging="360"/>
        <w:rPr>
          <w:rFonts w:ascii="Times New Roman" w:hAnsi="Times New Roman" w:cs="Times New Roman"/>
          <w:color w:val="000000" w:themeColor="text1"/>
        </w:rPr>
      </w:pPr>
      <w:r w:rsidRPr="00E571F9">
        <w:rPr>
          <w:rFonts w:ascii="Times New Roman" w:hAnsi="Times New Roman" w:cs="Times New Roman"/>
          <w:color w:val="000000" w:themeColor="text1"/>
        </w:rPr>
        <w:t>Meucci, A. (2009). Managing Diversification. Risk, 22(5), 74–79.</w:t>
      </w:r>
    </w:p>
    <w:p w14:paraId="4ED7609E" w14:textId="77777777" w:rsidR="00CA140A" w:rsidRPr="00E571F9" w:rsidRDefault="00000000">
      <w:pPr>
        <w:spacing w:after="60"/>
        <w:ind w:left="360" w:hanging="360"/>
        <w:rPr>
          <w:rFonts w:ascii="Times New Roman" w:hAnsi="Times New Roman" w:cs="Times New Roman"/>
          <w:color w:val="000000" w:themeColor="text1"/>
        </w:rPr>
      </w:pPr>
      <w:r w:rsidRPr="00E571F9">
        <w:rPr>
          <w:rFonts w:ascii="Times New Roman" w:hAnsi="Times New Roman" w:cs="Times New Roman"/>
          <w:color w:val="000000" w:themeColor="text1"/>
        </w:rPr>
        <w:t>Choueifaty, Y., &amp; Coignard, Y. (2008). Toward Maximum Diversification. Journal of Portfolio Management, 35(1), 40–51.</w:t>
      </w:r>
    </w:p>
    <w:p w14:paraId="37A271E1" w14:textId="77777777" w:rsidR="00CA140A" w:rsidRPr="00E571F9" w:rsidRDefault="00000000">
      <w:pPr>
        <w:spacing w:after="60"/>
        <w:ind w:left="360" w:hanging="360"/>
        <w:rPr>
          <w:rFonts w:ascii="Times New Roman" w:hAnsi="Times New Roman" w:cs="Times New Roman"/>
          <w:color w:val="000000" w:themeColor="text1"/>
        </w:rPr>
      </w:pPr>
      <w:r w:rsidRPr="00E571F9">
        <w:rPr>
          <w:rFonts w:ascii="Times New Roman" w:hAnsi="Times New Roman" w:cs="Times New Roman"/>
          <w:color w:val="000000" w:themeColor="text1"/>
        </w:rPr>
        <w:t>Kritzman, M., Li, Y., Page, S., &amp; Rigobon, R. (2011). Principal Components as a Measure of Systemic Risk. Journal of Portfolio Management, 37(4), 112–126.</w:t>
      </w:r>
    </w:p>
    <w:p w14:paraId="6DF78E77" w14:textId="77777777" w:rsidR="00CA140A" w:rsidRPr="00E571F9" w:rsidRDefault="00000000">
      <w:pPr>
        <w:spacing w:after="60"/>
        <w:ind w:left="360" w:hanging="360"/>
        <w:rPr>
          <w:rFonts w:ascii="Times New Roman" w:hAnsi="Times New Roman" w:cs="Times New Roman"/>
          <w:color w:val="000000" w:themeColor="text1"/>
        </w:rPr>
      </w:pPr>
      <w:r w:rsidRPr="00E571F9">
        <w:rPr>
          <w:rFonts w:ascii="Times New Roman" w:hAnsi="Times New Roman" w:cs="Times New Roman"/>
          <w:color w:val="000000" w:themeColor="text1"/>
        </w:rPr>
        <w:t>Maillard, S., Roncalli, T., &amp; Teïletche, J. (2010). The Properties of Equally Weighted Risk Contribution Portfolios. Journal of Portfolio Management, 36(4), 60–70.</w:t>
      </w:r>
    </w:p>
    <w:p w14:paraId="4D21613E" w14:textId="77777777" w:rsidR="00CA140A" w:rsidRPr="00E571F9" w:rsidRDefault="00000000">
      <w:pPr>
        <w:spacing w:after="60"/>
        <w:ind w:left="360" w:hanging="360"/>
        <w:rPr>
          <w:rFonts w:ascii="Times New Roman" w:hAnsi="Times New Roman" w:cs="Times New Roman"/>
          <w:color w:val="000000" w:themeColor="text1"/>
        </w:rPr>
      </w:pPr>
      <w:r w:rsidRPr="00E571F9">
        <w:rPr>
          <w:rFonts w:ascii="Times New Roman" w:hAnsi="Times New Roman" w:cs="Times New Roman"/>
          <w:color w:val="000000" w:themeColor="text1"/>
        </w:rPr>
        <w:t>Ledoit, O., &amp; Wolf, M. (2004). Honey, I Shrunk the Sample Covariance Matrix. Journal of Portfolio Management, 30(4), 110–119.</w:t>
      </w:r>
    </w:p>
    <w:sectPr w:rsidR="00CA140A" w:rsidRPr="00E571F9">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91098" w14:textId="77777777" w:rsidR="006945DF" w:rsidRDefault="006945DF">
      <w:r>
        <w:separator/>
      </w:r>
    </w:p>
  </w:endnote>
  <w:endnote w:type="continuationSeparator" w:id="0">
    <w:p w14:paraId="6A40818E" w14:textId="77777777" w:rsidR="006945DF" w:rsidRDefault="006945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7D9EA" w14:textId="77777777" w:rsidR="00CA140A" w:rsidRDefault="00000000">
    <w:pPr>
      <w:jc w:val="center"/>
    </w:pPr>
    <w:r>
      <w:rPr>
        <w:color w:val="595959"/>
        <w:sz w:val="16"/>
        <w:szCs w:val="16"/>
      </w:rPr>
      <w:t xml:space="preserve">FINM 33100 · Market Structure Project     Page </w:t>
    </w:r>
    <w:r>
      <w:rPr>
        <w:color w:val="595959"/>
        <w:sz w:val="16"/>
        <w:szCs w:val="16"/>
      </w:rPr>
      <w:fldChar w:fldCharType="begin"/>
    </w:r>
    <w:r>
      <w:rPr>
        <w:color w:val="595959"/>
        <w:sz w:val="16"/>
        <w:szCs w:val="16"/>
      </w:rPr>
      <w:instrText>PAGE</w:instrText>
    </w:r>
    <w:r>
      <w:rPr>
        <w:color w:val="595959"/>
        <w:sz w:val="16"/>
        <w:szCs w:val="16"/>
      </w:rPr>
      <w:fldChar w:fldCharType="separate"/>
    </w:r>
    <w:r w:rsidR="00FD24BA">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FD24BA">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47E38" w14:textId="77777777" w:rsidR="006945DF" w:rsidRDefault="006945DF">
      <w:r>
        <w:separator/>
      </w:r>
    </w:p>
  </w:footnote>
  <w:footnote w:type="continuationSeparator" w:id="0">
    <w:p w14:paraId="4B292002" w14:textId="77777777" w:rsidR="006945DF" w:rsidRDefault="006945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14D1"/>
    <w:multiLevelType w:val="hybridMultilevel"/>
    <w:tmpl w:val="AF76F508"/>
    <w:lvl w:ilvl="0" w:tplc="F60005B0">
      <w:start w:val="1"/>
      <w:numFmt w:val="bullet"/>
      <w:lvlText w:val="●"/>
      <w:lvlJc w:val="left"/>
      <w:pPr>
        <w:ind w:left="720" w:hanging="360"/>
      </w:pPr>
    </w:lvl>
    <w:lvl w:ilvl="1" w:tplc="7FC8B64C">
      <w:start w:val="1"/>
      <w:numFmt w:val="bullet"/>
      <w:lvlText w:val="○"/>
      <w:lvlJc w:val="left"/>
      <w:pPr>
        <w:ind w:left="1440" w:hanging="360"/>
      </w:pPr>
    </w:lvl>
    <w:lvl w:ilvl="2" w:tplc="0DF010D0">
      <w:start w:val="1"/>
      <w:numFmt w:val="bullet"/>
      <w:lvlText w:val="■"/>
      <w:lvlJc w:val="left"/>
      <w:pPr>
        <w:ind w:left="2160" w:hanging="360"/>
      </w:pPr>
    </w:lvl>
    <w:lvl w:ilvl="3" w:tplc="429CE828">
      <w:start w:val="1"/>
      <w:numFmt w:val="bullet"/>
      <w:lvlText w:val="●"/>
      <w:lvlJc w:val="left"/>
      <w:pPr>
        <w:ind w:left="2880" w:hanging="360"/>
      </w:pPr>
    </w:lvl>
    <w:lvl w:ilvl="4" w:tplc="D01C7CC8">
      <w:start w:val="1"/>
      <w:numFmt w:val="bullet"/>
      <w:lvlText w:val="○"/>
      <w:lvlJc w:val="left"/>
      <w:pPr>
        <w:ind w:left="3600" w:hanging="360"/>
      </w:pPr>
    </w:lvl>
    <w:lvl w:ilvl="5" w:tplc="9A6C98DE">
      <w:start w:val="1"/>
      <w:numFmt w:val="bullet"/>
      <w:lvlText w:val="■"/>
      <w:lvlJc w:val="left"/>
      <w:pPr>
        <w:ind w:left="4320" w:hanging="360"/>
      </w:pPr>
    </w:lvl>
    <w:lvl w:ilvl="6" w:tplc="FBB4B0CE">
      <w:start w:val="1"/>
      <w:numFmt w:val="bullet"/>
      <w:lvlText w:val="●"/>
      <w:lvlJc w:val="left"/>
      <w:pPr>
        <w:ind w:left="5040" w:hanging="360"/>
      </w:pPr>
    </w:lvl>
    <w:lvl w:ilvl="7" w:tplc="41B065A8">
      <w:start w:val="1"/>
      <w:numFmt w:val="bullet"/>
      <w:lvlText w:val="●"/>
      <w:lvlJc w:val="left"/>
      <w:pPr>
        <w:ind w:left="5760" w:hanging="360"/>
      </w:pPr>
    </w:lvl>
    <w:lvl w:ilvl="8" w:tplc="6B2CD7C0">
      <w:start w:val="1"/>
      <w:numFmt w:val="bullet"/>
      <w:lvlText w:val="●"/>
      <w:lvlJc w:val="left"/>
      <w:pPr>
        <w:ind w:left="6480" w:hanging="360"/>
      </w:pPr>
    </w:lvl>
  </w:abstractNum>
  <w:abstractNum w:abstractNumId="1" w15:restartNumberingAfterBreak="0">
    <w:nsid w:val="0AE100FD"/>
    <w:multiLevelType w:val="hybridMultilevel"/>
    <w:tmpl w:val="0AA23700"/>
    <w:lvl w:ilvl="0" w:tplc="61880A92">
      <w:start w:val="1"/>
      <w:numFmt w:val="decimal"/>
      <w:lvlText w:val="%1."/>
      <w:lvlJc w:val="left"/>
      <w:pPr>
        <w:ind w:left="504" w:hanging="504"/>
      </w:pPr>
    </w:lvl>
    <w:lvl w:ilvl="1" w:tplc="DC623134">
      <w:numFmt w:val="decimal"/>
      <w:lvlText w:val=""/>
      <w:lvlJc w:val="left"/>
    </w:lvl>
    <w:lvl w:ilvl="2" w:tplc="2910ABE6">
      <w:numFmt w:val="decimal"/>
      <w:lvlText w:val=""/>
      <w:lvlJc w:val="left"/>
    </w:lvl>
    <w:lvl w:ilvl="3" w:tplc="16F4E2AC">
      <w:numFmt w:val="decimal"/>
      <w:lvlText w:val=""/>
      <w:lvlJc w:val="left"/>
    </w:lvl>
    <w:lvl w:ilvl="4" w:tplc="9AD8D154">
      <w:numFmt w:val="decimal"/>
      <w:lvlText w:val=""/>
      <w:lvlJc w:val="left"/>
    </w:lvl>
    <w:lvl w:ilvl="5" w:tplc="1DDCE1E0">
      <w:numFmt w:val="decimal"/>
      <w:lvlText w:val=""/>
      <w:lvlJc w:val="left"/>
    </w:lvl>
    <w:lvl w:ilvl="6" w:tplc="E682A4D6">
      <w:numFmt w:val="decimal"/>
      <w:lvlText w:val=""/>
      <w:lvlJc w:val="left"/>
    </w:lvl>
    <w:lvl w:ilvl="7" w:tplc="35460744">
      <w:numFmt w:val="decimal"/>
      <w:lvlText w:val=""/>
      <w:lvlJc w:val="left"/>
    </w:lvl>
    <w:lvl w:ilvl="8" w:tplc="29449C9E">
      <w:numFmt w:val="decimal"/>
      <w:lvlText w:val=""/>
      <w:lvlJc w:val="left"/>
    </w:lvl>
  </w:abstractNum>
  <w:abstractNum w:abstractNumId="2" w15:restartNumberingAfterBreak="0">
    <w:nsid w:val="3F184B5E"/>
    <w:multiLevelType w:val="hybridMultilevel"/>
    <w:tmpl w:val="14B25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DD4C22"/>
    <w:multiLevelType w:val="hybridMultilevel"/>
    <w:tmpl w:val="EC7E4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8134890">
    <w:abstractNumId w:val="0"/>
    <w:lvlOverride w:ilvl="0">
      <w:startOverride w:val="1"/>
    </w:lvlOverride>
  </w:num>
  <w:num w:numId="2" w16cid:durableId="773476949">
    <w:abstractNumId w:val="3"/>
  </w:num>
  <w:num w:numId="3" w16cid:durableId="436171774">
    <w:abstractNumId w:val="1"/>
    <w:lvlOverride w:ilvl="0">
      <w:startOverride w:val="1"/>
    </w:lvlOverride>
  </w:num>
  <w:num w:numId="4" w16cid:durableId="4475088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40A"/>
    <w:rsid w:val="000323CE"/>
    <w:rsid w:val="00045D71"/>
    <w:rsid w:val="002213EF"/>
    <w:rsid w:val="002578A7"/>
    <w:rsid w:val="00284AF6"/>
    <w:rsid w:val="0029348D"/>
    <w:rsid w:val="002C0475"/>
    <w:rsid w:val="003173A7"/>
    <w:rsid w:val="00331722"/>
    <w:rsid w:val="00331A66"/>
    <w:rsid w:val="003F1419"/>
    <w:rsid w:val="00406471"/>
    <w:rsid w:val="00423CA1"/>
    <w:rsid w:val="0047036D"/>
    <w:rsid w:val="005059D7"/>
    <w:rsid w:val="00524460"/>
    <w:rsid w:val="00541382"/>
    <w:rsid w:val="00583DB2"/>
    <w:rsid w:val="0059334F"/>
    <w:rsid w:val="0061217E"/>
    <w:rsid w:val="006945DF"/>
    <w:rsid w:val="006A4370"/>
    <w:rsid w:val="006A6DC2"/>
    <w:rsid w:val="006B7CEC"/>
    <w:rsid w:val="007755A5"/>
    <w:rsid w:val="00911710"/>
    <w:rsid w:val="0094000E"/>
    <w:rsid w:val="00942024"/>
    <w:rsid w:val="00A31A47"/>
    <w:rsid w:val="00A44677"/>
    <w:rsid w:val="00A6080D"/>
    <w:rsid w:val="00AD3FD9"/>
    <w:rsid w:val="00AD6A36"/>
    <w:rsid w:val="00BC644B"/>
    <w:rsid w:val="00CA140A"/>
    <w:rsid w:val="00CF26F4"/>
    <w:rsid w:val="00D23BC9"/>
    <w:rsid w:val="00D540C7"/>
    <w:rsid w:val="00D7338D"/>
    <w:rsid w:val="00D77655"/>
    <w:rsid w:val="00DB1C67"/>
    <w:rsid w:val="00DC4C34"/>
    <w:rsid w:val="00E125D9"/>
    <w:rsid w:val="00E43261"/>
    <w:rsid w:val="00E571F9"/>
    <w:rsid w:val="00E57364"/>
    <w:rsid w:val="00F6353C"/>
    <w:rsid w:val="00F7387B"/>
    <w:rsid w:val="00F807DF"/>
    <w:rsid w:val="00FD24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8A576"/>
  <w15:docId w15:val="{C2406B3B-8286-2143-A663-9927F1E8B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583DB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TotalTime>
  <Pages>11</Pages>
  <Words>4061</Words>
  <Characters>23148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Comparing Portfolio Construction Methods through a PCA Lens</vt:lpstr>
    </vt:vector>
  </TitlesOfParts>
  <Company/>
  <LinksUpToDate>false</LinksUpToDate>
  <CharactersWithSpaces>27155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Portfolio Construction Methods through a PCA Lens</dc:title>
  <dc:subject>FINM 33100 Market Structure Project</dc:subject>
  <dc:creator>Bangjie Xu</dc:creator>
  <cp:lastModifiedBy>Enrique Zambrano</cp:lastModifiedBy>
  <cp:revision>62</cp:revision>
  <dcterms:created xsi:type="dcterms:W3CDTF">2026-08-12T15:42:00Z</dcterms:created>
  <dcterms:modified xsi:type="dcterms:W3CDTF">2026-08-19T17:03:00Z</dcterms:modified>
</cp:coreProperties>
</file>