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pPr>
      <w:r>
        <w:rPr>
          <w:rFonts w:ascii="Georgia" w:cs="Georgia" w:eastAsia="Georgia" w:hAnsi="Georgia"/>
          <w:b/>
          <w:bCs/>
          <w:color w:val="220E06"/>
          <w:sz w:val="46"/>
          <w:szCs w:val="46"/>
        </w:rPr>
        <w:t xml:space="preserve">BOEKINGSASSISTENT</w:t>
      </w:r>
    </w:p>
    <w:p>
      <w:pPr>
        <w:pBdr>
          <w:bottom w:val="single" w:color="D48C84" w:sz="16" w:space="6"/>
        </w:pBdr>
        <w:spacing w:after="40"/>
      </w:pPr>
      <w:r>
        <w:rPr>
          <w:i/>
          <w:iCs/>
          <w:color w:val="6B6058"/>
          <w:sz w:val="20"/>
          <w:szCs w:val="20"/>
        </w:rPr>
        <w:t xml:space="preserve">Een AI-assistent die naast de bestaande Clinicminds-agenda om afspraken, vragen en spoedgevallen van patiënten opvangt — gebouwd op maat voor Van Dijk Clinic.</w:t>
      </w:r>
    </w:p>
    <w:p>
      <w:pPr>
        <w:spacing w:after="200"/>
      </w:pPr>
      <w:r>
        <w:t xml:space="preserve"/>
      </w:r>
    </w:p>
    <w:p>
      <w:pPr>
        <w:pBdr>
          <w:left w:val="single" w:color="D48C84" w:sz="24" w:space="8"/>
        </w:pBdr>
        <w:spacing w:after="140" w:before="300"/>
      </w:pPr>
      <w:r>
        <w:rPr>
          <w:sz w:val="24"/>
          <w:szCs w:val="24"/>
        </w:rPr>
        <w:t xml:space="preserve">  </w:t>
      </w:r>
      <w:r>
        <w:rPr>
          <w:rFonts w:ascii="Georgia" w:cs="Georgia" w:eastAsia="Georgia" w:hAnsi="Georgia"/>
          <w:b/>
          <w:bCs/>
          <w:color w:val="220E06"/>
          <w:sz w:val="25"/>
          <w:szCs w:val="25"/>
        </w:rPr>
        <w:t xml:space="preserve">Het probleem</w:t>
      </w:r>
    </w:p>
    <w:p>
      <w:pPr>
        <w:spacing w:after="140" w:line="300"/>
      </w:pPr>
      <w:r>
        <w:rPr>
          <w:b w:val="false"/>
          <w:bCs w:val="false"/>
          <w:i w:val="false"/>
          <w:iCs w:val="false"/>
          <w:color w:val="220E06"/>
          <w:sz w:val="20"/>
          <w:szCs w:val="20"/>
        </w:rPr>
        <w:t xml:space="preserve">Een deel van de boekingsvragen komt buiten kantooruren binnen, of via vage, informele berichten die niet meteen in de agenda passen. Elke keer kost dat balietijd: uitzoeken wat iemand precies wil, terugbellen voor ontbrekende gegevens, of een medische vraag beantwoorden die eigenlijk niet telefonisch hoort te worden afgehandeld.</w:t>
      </w:r>
    </w:p>
    <w:p>
      <w:pPr>
        <w:pBdr>
          <w:left w:val="single" w:color="D48C84" w:sz="24" w:space="8"/>
        </w:pBdr>
        <w:spacing w:after="140" w:before="300"/>
      </w:pPr>
      <w:r>
        <w:rPr>
          <w:sz w:val="24"/>
          <w:szCs w:val="24"/>
        </w:rPr>
        <w:t xml:space="preserve">  </w:t>
      </w:r>
      <w:r>
        <w:rPr>
          <w:rFonts w:ascii="Georgia" w:cs="Georgia" w:eastAsia="Georgia" w:hAnsi="Georgia"/>
          <w:b/>
          <w:bCs/>
          <w:color w:val="220E06"/>
          <w:sz w:val="25"/>
          <w:szCs w:val="25"/>
        </w:rPr>
        <w:t xml:space="preserve">Wat de assistent kan</w:t>
      </w:r>
    </w:p>
    <w:p>
      <w:pPr>
        <w:pStyle w:val="ListParagraph"/>
        <w:numPr>
          <w:ilvl w:val="0"/>
          <w:numId w:val="1"/>
        </w:numPr>
        <w:spacing w:after="90" w:line="280"/>
      </w:pPr>
      <w:r>
        <w:rPr>
          <w:b/>
          <w:bCs/>
          <w:color w:val="B76D65"/>
          <w:sz w:val="19"/>
          <w:szCs w:val="19"/>
        </w:rPr>
        <w:t xml:space="preserve">Classificeren —</w:t>
      </w:r>
      <w:r>
        <w:rPr>
          <w:color w:val="220E06"/>
          <w:sz w:val="19"/>
          <w:szCs w:val="19"/>
        </w:rPr>
        <w:t xml:space="preserve"> herkent of iets een boeking, medische vraag, of onduidelijk verzoek is, en handelt daar per geval anders naar.</w:t>
      </w:r>
    </w:p>
    <w:p>
      <w:pPr>
        <w:pStyle w:val="ListParagraph"/>
        <w:numPr>
          <w:ilvl w:val="0"/>
          <w:numId w:val="1"/>
        </w:numPr>
        <w:spacing w:after="90" w:line="280"/>
      </w:pPr>
      <w:r>
        <w:rPr>
          <w:b/>
          <w:bCs/>
          <w:color w:val="B76D65"/>
          <w:sz w:val="19"/>
          <w:szCs w:val="19"/>
        </w:rPr>
        <w:t xml:space="preserve">Datums begrijpen —</w:t>
      </w:r>
      <w:r>
        <w:rPr>
          <w:color w:val="220E06"/>
          <w:sz w:val="19"/>
          <w:szCs w:val="19"/>
        </w:rPr>
        <w:t xml:space="preserve"> "overmorgen", "volgende week woensdag" wordt zelf omgerekend naar een concrete datum.</w:t>
      </w:r>
    </w:p>
    <w:p>
      <w:pPr>
        <w:pStyle w:val="ListParagraph"/>
        <w:numPr>
          <w:ilvl w:val="0"/>
          <w:numId w:val="1"/>
        </w:numPr>
        <w:spacing w:after="90" w:line="280"/>
      </w:pPr>
      <w:r>
        <w:rPr>
          <w:b/>
          <w:bCs/>
          <w:color w:val="B76D65"/>
          <w:sz w:val="19"/>
          <w:szCs w:val="19"/>
        </w:rPr>
        <w:t xml:space="preserve">Gesprekscontext onthouden —</w:t>
      </w:r>
      <w:r>
        <w:rPr>
          <w:color w:val="220E06"/>
          <w:sz w:val="19"/>
          <w:szCs w:val="19"/>
        </w:rPr>
        <w:t xml:space="preserve"> een patiënt kan halverwege van gedachten veranderen of tussendoor iets anders vragen — de assistent verliest de draad niet.</w:t>
      </w:r>
    </w:p>
    <w:p>
      <w:pPr>
        <w:pStyle w:val="ListParagraph"/>
        <w:numPr>
          <w:ilvl w:val="0"/>
          <w:numId w:val="1"/>
        </w:numPr>
        <w:spacing w:after="90" w:line="280"/>
      </w:pPr>
      <w:r>
        <w:rPr>
          <w:b/>
          <w:bCs/>
          <w:color w:val="B76D65"/>
          <w:sz w:val="19"/>
          <w:szCs w:val="19"/>
        </w:rPr>
        <w:t xml:space="preserve">Behandelingen kennen —</w:t>
      </w:r>
      <w:r>
        <w:rPr>
          <w:color w:val="220E06"/>
          <w:sz w:val="19"/>
          <w:szCs w:val="19"/>
        </w:rPr>
        <w:t xml:space="preserve"> kent de exacte behandelingen van de kliniek, inclusief het onderscheid tussen een eerste en een herhaalbehandeling.</w:t>
      </w:r>
    </w:p>
    <w:p>
      <w:pPr>
        <w:pStyle w:val="ListParagraph"/>
        <w:numPr>
          <w:ilvl w:val="0"/>
          <w:numId w:val="1"/>
        </w:numPr>
        <w:spacing w:after="90" w:line="280"/>
      </w:pPr>
      <w:r>
        <w:rPr>
          <w:b/>
          <w:bCs/>
          <w:color w:val="B76D65"/>
          <w:sz w:val="19"/>
          <w:szCs w:val="19"/>
        </w:rPr>
        <w:t xml:space="preserve">Spoed herkennen —</w:t>
      </w:r>
      <w:r>
        <w:rPr>
          <w:color w:val="220E06"/>
          <w:sz w:val="19"/>
          <w:szCs w:val="19"/>
        </w:rPr>
        <w:t xml:space="preserve"> onderscheidt levensbedreigende situaties (verwijst naar 112) van de klachten waarvoor de kliniek al een eigen spoednummer heeft (koorts, heftige pijn, abnormale zwelling).</w:t>
      </w:r>
    </w:p>
    <w:p>
      <w:pPr>
        <w:pStyle w:val="ListParagraph"/>
        <w:numPr>
          <w:ilvl w:val="0"/>
          <w:numId w:val="1"/>
        </w:numPr>
        <w:spacing w:after="90" w:line="280"/>
      </w:pPr>
      <w:r>
        <w:rPr>
          <w:b/>
          <w:bCs/>
          <w:color w:val="B76D65"/>
          <w:sz w:val="19"/>
          <w:szCs w:val="19"/>
        </w:rPr>
        <w:t xml:space="preserve">Intake voorbereiden —</w:t>
      </w:r>
      <w:r>
        <w:rPr>
          <w:color w:val="220E06"/>
          <w:sz w:val="19"/>
          <w:szCs w:val="19"/>
        </w:rPr>
        <w:t xml:space="preserve"> bij een nieuwe patiënt worden naam, telefoon en wensen alvast verzameld, zodat de balie niet opnieuw hoeft te vragen.</w:t>
      </w:r>
    </w:p>
    <w:p>
      <w:pPr>
        <w:pStyle w:val="ListParagraph"/>
        <w:numPr>
          <w:ilvl w:val="0"/>
          <w:numId w:val="1"/>
        </w:numPr>
        <w:spacing w:after="90" w:line="280"/>
      </w:pPr>
      <w:r>
        <w:rPr>
          <w:b/>
          <w:bCs/>
          <w:color w:val="B76D65"/>
          <w:sz w:val="19"/>
          <w:szCs w:val="19"/>
        </w:rPr>
        <w:t xml:space="preserve">Escalatie met context —</w:t>
      </w:r>
      <w:r>
        <w:rPr>
          <w:color w:val="220E06"/>
          <w:sz w:val="19"/>
          <w:szCs w:val="19"/>
        </w:rPr>
        <w:t xml:space="preserve"> elke escalatie naar een medewerker bevat een samenvatting van het hele gesprek, niet alleen het laatste berichtje.</w:t>
      </w:r>
    </w:p>
    <w:p>
      <w:pPr>
        <w:pBdr>
          <w:left w:val="single" w:color="D48C84" w:sz="24" w:space="8"/>
        </w:pBdr>
        <w:spacing w:after="140" w:before="300"/>
      </w:pPr>
      <w:r>
        <w:rPr>
          <w:sz w:val="24"/>
          <w:szCs w:val="24"/>
        </w:rPr>
        <w:t xml:space="preserve">  </w:t>
      </w:r>
      <w:r>
        <w:rPr>
          <w:rFonts w:ascii="Georgia" w:cs="Georgia" w:eastAsia="Georgia" w:hAnsi="Georgia"/>
          <w:b/>
          <w:bCs/>
          <w:color w:val="220E06"/>
          <w:sz w:val="25"/>
          <w:szCs w:val="25"/>
        </w:rPr>
        <w:t xml:space="preserve">Hoe dit aansluit op wat er al staat</w:t>
      </w:r>
    </w:p>
    <w:p>
      <w:pPr>
        <w:spacing w:after="140" w:line="300"/>
      </w:pPr>
      <w:r>
        <w:rPr>
          <w:b w:val="false"/>
          <w:bCs w:val="false"/>
          <w:i w:val="false"/>
          <w:iCs w:val="false"/>
          <w:color w:val="220E06"/>
          <w:sz w:val="20"/>
          <w:szCs w:val="20"/>
        </w:rPr>
        <w:t xml:space="preserve">Dit vervangt niets — het praat via de officiële Clinicminds triggers &amp; actions API met hetzelfde systeem dat nu al gebruikt wordt voor de agenda. De assistent gebruikt de bestaande praktijkgegevens (adres, spoednummer, parkeerinfo) rechtstreeks van de website, en boekt straks in dezelfde Clinicminds-agenda die nu al zichtbaar is op vandijkclinic.nl.</w:t>
      </w:r>
    </w:p>
    <w:p>
      <w:pPr>
        <w:pBdr>
          <w:left w:val="single" w:color="D48C84" w:sz="24" w:space="8"/>
        </w:pBdr>
        <w:spacing w:after="140" w:before="300"/>
      </w:pPr>
      <w:r>
        <w:rPr>
          <w:sz w:val="24"/>
          <w:szCs w:val="24"/>
        </w:rPr>
        <w:t xml:space="preserve">  </w:t>
      </w:r>
      <w:r>
        <w:rPr>
          <w:rFonts w:ascii="Georgia" w:cs="Georgia" w:eastAsia="Georgia" w:hAnsi="Georgia"/>
          <w:b/>
          <w:bCs/>
          <w:color w:val="220E06"/>
          <w:sz w:val="25"/>
          <w:szCs w:val="25"/>
        </w:rPr>
        <w:t xml:space="preserve">Huidige boekingswidget vs. boekingsassistent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48C84" w:val="clear"/>
            <w:tcMar>
              <w:top w:type="dxa" w:w="110"/>
              <w:left w:type="dxa" w:w="140"/>
              <w:bottom w:type="dxa" w:w="110"/>
              <w:right w:type="dxa" w:w="140"/>
            </w:tcMar>
          </w:tcPr>
          <w:p>
            <w:r>
              <w:rPr>
                <w:b w:val="false"/>
                <w:bCs w:val="false"/>
                <w:color w:val="220E06"/>
                <w:sz w:val="18"/>
                <w:szCs w:val="18"/>
              </w:rPr>
              <w:t xml:space="preserve"/>
            </w:r>
          </w:p>
        </w:tc>
        <w:tc>
          <w:tcPr>
            <w:tcW w:type="dxa" w:w="3000"/>
            <w:shd w:fill="D48C84" w:val="clear"/>
            <w:tcMar>
              <w:top w:type="dxa" w:w="110"/>
              <w:left w:type="dxa" w:w="140"/>
              <w:bottom w:type="dxa" w:w="110"/>
              <w:right w:type="dxa" w:w="140"/>
            </w:tcMar>
          </w:tcPr>
          <w:p>
            <w:r>
              <w:rPr>
                <w:b/>
                <w:bCs/>
                <w:color w:val="FFFFFF"/>
                <w:sz w:val="18"/>
                <w:szCs w:val="18"/>
              </w:rPr>
              <w:t xml:space="preserve">Huidige Clinicminds-widget</w:t>
            </w:r>
          </w:p>
        </w:tc>
        <w:tc>
          <w:tcPr>
            <w:tcW w:type="dxa" w:w="3000"/>
            <w:shd w:fill="D48C84" w:val="clear"/>
            <w:tcMar>
              <w:top w:type="dxa" w:w="110"/>
              <w:left w:type="dxa" w:w="140"/>
              <w:bottom w:type="dxa" w:w="110"/>
              <w:right w:type="dxa" w:w="140"/>
            </w:tcMar>
          </w:tcPr>
          <w:p>
            <w:r>
              <w:rPr>
                <w:b/>
                <w:bCs/>
                <w:color w:val="FFFFFF"/>
                <w:sz w:val="18"/>
                <w:szCs w:val="18"/>
              </w:rPr>
              <w:t xml:space="preserve">Boekingsassistent (aanvulling)</w:t>
            </w:r>
          </w:p>
        </w:tc>
      </w:tr>
      <w:tr>
        <w:tc>
          <w:tcPr>
            <w:tcW w:type="dxa" w:w="3000"/>
            <w:shd w:fill="FBF5F2" w:val="clear"/>
            <w:tcMar>
              <w:top w:type="dxa" w:w="110"/>
              <w:left w:type="dxa" w:w="140"/>
              <w:bottom w:type="dxa" w:w="110"/>
              <w:right w:type="dxa" w:w="140"/>
            </w:tcMar>
          </w:tcPr>
          <w:p>
            <w:r>
              <w:rPr>
                <w:b/>
                <w:bCs/>
                <w:color w:val="220E06"/>
                <w:sz w:val="18"/>
                <w:szCs w:val="18"/>
              </w:rPr>
              <w:t xml:space="preserve">Directe boeking</w:t>
            </w:r>
          </w:p>
        </w:tc>
        <w:tc>
          <w:tcPr>
            <w:tcW w:type="dxa" w:w="3000"/>
            <w:tcMar>
              <w:top w:type="dxa" w:w="110"/>
              <w:left w:type="dxa" w:w="140"/>
              <w:bottom w:type="dxa" w:w="110"/>
              <w:right w:type="dxa" w:w="140"/>
            </w:tcMar>
          </w:tcPr>
          <w:p>
            <w:r>
              <w:rPr>
                <w:b w:val="false"/>
                <w:bCs w:val="false"/>
                <w:color w:val="220E06"/>
                <w:sz w:val="18"/>
                <w:szCs w:val="18"/>
              </w:rPr>
              <w:t xml:space="preserve">Ja, als de patiënt al weet wat/wanneer</w:t>
            </w:r>
          </w:p>
        </w:tc>
        <w:tc>
          <w:tcPr>
            <w:tcW w:type="dxa" w:w="3000"/>
            <w:tcMar>
              <w:top w:type="dxa" w:w="110"/>
              <w:left w:type="dxa" w:w="140"/>
              <w:bottom w:type="dxa" w:w="110"/>
              <w:right w:type="dxa" w:w="140"/>
            </w:tcMar>
          </w:tcPr>
          <w:p>
            <w:r>
              <w:rPr>
                <w:b w:val="false"/>
                <w:bCs w:val="false"/>
                <w:color w:val="220E06"/>
                <w:sz w:val="18"/>
                <w:szCs w:val="18"/>
              </w:rPr>
              <w:t xml:space="preserve">Ja, ook bij twijfel of een informeel bericht</w:t>
            </w:r>
          </w:p>
        </w:tc>
      </w:tr>
      <w:tr>
        <w:tc>
          <w:tcPr>
            <w:tcW w:type="dxa" w:w="3000"/>
            <w:shd w:fill="FBF5F2" w:val="clear"/>
            <w:tcMar>
              <w:top w:type="dxa" w:w="110"/>
              <w:left w:type="dxa" w:w="140"/>
              <w:bottom w:type="dxa" w:w="110"/>
              <w:right w:type="dxa" w:w="140"/>
            </w:tcMar>
          </w:tcPr>
          <w:p>
            <w:r>
              <w:rPr>
                <w:b/>
                <w:bCs/>
                <w:color w:val="220E06"/>
                <w:sz w:val="18"/>
                <w:szCs w:val="18"/>
              </w:rPr>
              <w:t xml:space="preserve">Vage/informele vragen</w:t>
            </w:r>
          </w:p>
        </w:tc>
        <w:tc>
          <w:tcPr>
            <w:tcW w:type="dxa" w:w="3000"/>
            <w:tcMar>
              <w:top w:type="dxa" w:w="110"/>
              <w:left w:type="dxa" w:w="140"/>
              <w:bottom w:type="dxa" w:w="110"/>
              <w:right w:type="dxa" w:w="140"/>
            </w:tcMar>
          </w:tcPr>
          <w:p>
            <w:r>
              <w:rPr>
                <w:b w:val="false"/>
                <w:bCs w:val="false"/>
                <w:color w:val="220E06"/>
                <w:sz w:val="18"/>
                <w:szCs w:val="18"/>
              </w:rPr>
              <w:t xml:space="preserve">Nee — patiënt moet zelf uitzoeken wat te kiezen</w:t>
            </w:r>
          </w:p>
        </w:tc>
        <w:tc>
          <w:tcPr>
            <w:tcW w:type="dxa" w:w="3000"/>
            <w:tcMar>
              <w:top w:type="dxa" w:w="110"/>
              <w:left w:type="dxa" w:w="140"/>
              <w:bottom w:type="dxa" w:w="110"/>
              <w:right w:type="dxa" w:w="140"/>
            </w:tcMar>
          </w:tcPr>
          <w:p>
            <w:r>
              <w:rPr>
                <w:b w:val="false"/>
                <w:bCs w:val="false"/>
                <w:color w:val="220E06"/>
                <w:sz w:val="18"/>
                <w:szCs w:val="18"/>
              </w:rPr>
              <w:t xml:space="preserve">Ja — stelt zelf verduidelijkingsvragen</w:t>
            </w:r>
          </w:p>
        </w:tc>
      </w:tr>
      <w:tr>
        <w:tc>
          <w:tcPr>
            <w:tcW w:type="dxa" w:w="3000"/>
            <w:shd w:fill="FBF5F2" w:val="clear"/>
            <w:tcMar>
              <w:top w:type="dxa" w:w="110"/>
              <w:left w:type="dxa" w:w="140"/>
              <w:bottom w:type="dxa" w:w="110"/>
              <w:right w:type="dxa" w:w="140"/>
            </w:tcMar>
          </w:tcPr>
          <w:p>
            <w:r>
              <w:rPr>
                <w:b/>
                <w:bCs/>
                <w:color w:val="220E06"/>
                <w:sz w:val="18"/>
                <w:szCs w:val="18"/>
              </w:rPr>
              <w:t xml:space="preserve">24/7 beschikbaar voor vragen</w:t>
            </w:r>
          </w:p>
        </w:tc>
        <w:tc>
          <w:tcPr>
            <w:tcW w:type="dxa" w:w="3000"/>
            <w:tcMar>
              <w:top w:type="dxa" w:w="110"/>
              <w:left w:type="dxa" w:w="140"/>
              <w:bottom w:type="dxa" w:w="110"/>
              <w:right w:type="dxa" w:w="140"/>
            </w:tcMar>
          </w:tcPr>
          <w:p>
            <w:r>
              <w:rPr>
                <w:b w:val="false"/>
                <w:bCs w:val="false"/>
                <w:color w:val="220E06"/>
                <w:sz w:val="18"/>
                <w:szCs w:val="18"/>
              </w:rPr>
              <w:t xml:space="preserve">Alleen de agenda zelf, geen gesprek</w:t>
            </w:r>
          </w:p>
        </w:tc>
        <w:tc>
          <w:tcPr>
            <w:tcW w:type="dxa" w:w="3000"/>
            <w:tcMar>
              <w:top w:type="dxa" w:w="110"/>
              <w:left w:type="dxa" w:w="140"/>
              <w:bottom w:type="dxa" w:w="110"/>
              <w:right w:type="dxa" w:w="140"/>
            </w:tcMar>
          </w:tcPr>
          <w:p>
            <w:r>
              <w:rPr>
                <w:b w:val="false"/>
                <w:bCs w:val="false"/>
                <w:color w:val="220E06"/>
                <w:sz w:val="18"/>
                <w:szCs w:val="18"/>
              </w:rPr>
              <w:t xml:space="preserve">Ja, volledig gesprek, dag en nacht</w:t>
            </w:r>
          </w:p>
        </w:tc>
      </w:tr>
      <w:tr>
        <w:tc>
          <w:tcPr>
            <w:tcW w:type="dxa" w:w="3000"/>
            <w:shd w:fill="FBF5F2" w:val="clear"/>
            <w:tcMar>
              <w:top w:type="dxa" w:w="110"/>
              <w:left w:type="dxa" w:w="140"/>
              <w:bottom w:type="dxa" w:w="110"/>
              <w:right w:type="dxa" w:w="140"/>
            </w:tcMar>
          </w:tcPr>
          <w:p>
            <w:r>
              <w:rPr>
                <w:b/>
                <w:bCs/>
                <w:color w:val="220E06"/>
                <w:sz w:val="18"/>
                <w:szCs w:val="18"/>
              </w:rPr>
              <w:t xml:space="preserve">Medische vragen</w:t>
            </w:r>
          </w:p>
        </w:tc>
        <w:tc>
          <w:tcPr>
            <w:tcW w:type="dxa" w:w="3000"/>
            <w:tcMar>
              <w:top w:type="dxa" w:w="110"/>
              <w:left w:type="dxa" w:w="140"/>
              <w:bottom w:type="dxa" w:w="110"/>
              <w:right w:type="dxa" w:w="140"/>
            </w:tcMar>
          </w:tcPr>
          <w:p>
            <w:r>
              <w:rPr>
                <w:b w:val="false"/>
                <w:bCs w:val="false"/>
                <w:color w:val="220E06"/>
                <w:sz w:val="18"/>
                <w:szCs w:val="18"/>
              </w:rPr>
              <w:t xml:space="preserve">Geen onderscheid, geen actie</w:t>
            </w:r>
          </w:p>
        </w:tc>
        <w:tc>
          <w:tcPr>
            <w:tcW w:type="dxa" w:w="3000"/>
            <w:tcMar>
              <w:top w:type="dxa" w:w="110"/>
              <w:left w:type="dxa" w:w="140"/>
              <w:bottom w:type="dxa" w:w="110"/>
              <w:right w:type="dxa" w:w="140"/>
            </w:tcMar>
          </w:tcPr>
          <w:p>
            <w:r>
              <w:rPr>
                <w:b w:val="false"/>
                <w:bCs w:val="false"/>
                <w:color w:val="220E06"/>
                <w:sz w:val="18"/>
                <w:szCs w:val="18"/>
              </w:rPr>
              <w:t xml:space="preserve">Herkent en zet met voorrang door</w:t>
            </w:r>
          </w:p>
        </w:tc>
      </w:tr>
      <w:tr>
        <w:tc>
          <w:tcPr>
            <w:tcW w:type="dxa" w:w="3000"/>
            <w:shd w:fill="FBF5F2" w:val="clear"/>
            <w:tcMar>
              <w:top w:type="dxa" w:w="110"/>
              <w:left w:type="dxa" w:w="140"/>
              <w:bottom w:type="dxa" w:w="110"/>
              <w:right w:type="dxa" w:w="140"/>
            </w:tcMar>
          </w:tcPr>
          <w:p>
            <w:r>
              <w:rPr>
                <w:b/>
                <w:bCs/>
                <w:color w:val="220E06"/>
                <w:sz w:val="18"/>
                <w:szCs w:val="18"/>
              </w:rPr>
              <w:t xml:space="preserve">Gesprekscontext</w:t>
            </w:r>
          </w:p>
        </w:tc>
        <w:tc>
          <w:tcPr>
            <w:tcW w:type="dxa" w:w="3000"/>
            <w:tcMar>
              <w:top w:type="dxa" w:w="110"/>
              <w:left w:type="dxa" w:w="140"/>
              <w:bottom w:type="dxa" w:w="110"/>
              <w:right w:type="dxa" w:w="140"/>
            </w:tcMar>
          </w:tcPr>
          <w:p>
            <w:r>
              <w:rPr>
                <w:b w:val="false"/>
                <w:bCs w:val="false"/>
                <w:color w:val="220E06"/>
                <w:sz w:val="18"/>
                <w:szCs w:val="18"/>
              </w:rPr>
              <w:t xml:space="preserve">Niet van toepassing</w:t>
            </w:r>
          </w:p>
        </w:tc>
        <w:tc>
          <w:tcPr>
            <w:tcW w:type="dxa" w:w="3000"/>
            <w:tcMar>
              <w:top w:type="dxa" w:w="110"/>
              <w:left w:type="dxa" w:w="140"/>
              <w:bottom w:type="dxa" w:w="110"/>
              <w:right w:type="dxa" w:w="140"/>
            </w:tcMar>
          </w:tcPr>
          <w:p>
            <w:r>
              <w:rPr>
                <w:b w:val="false"/>
                <w:bCs w:val="false"/>
                <w:color w:val="220E06"/>
                <w:sz w:val="18"/>
                <w:szCs w:val="18"/>
              </w:rPr>
              <w:t xml:space="preserve">Onthoudt het hele gesprek</w:t>
            </w:r>
          </w:p>
        </w:tc>
      </w:tr>
    </w:tbl>
    <w:p>
      <w:pPr>
        <w:spacing w:after="0" w:before="140"/>
      </w:pPr>
      <w:r>
        <w:rPr>
          <w:i/>
          <w:iCs/>
          <w:color w:val="6B6058"/>
          <w:sz w:val="18"/>
          <w:szCs w:val="18"/>
        </w:rPr>
        <w:t xml:space="preserve">De widget blijft voor wie al weet wat hij wil. De assistent vangt alles ervoor en eromheen op.</w:t>
      </w:r>
    </w:p>
    <w:p>
      <w:pPr>
        <w:pBdr>
          <w:left w:val="single" w:color="D48C84" w:sz="24" w:space="8"/>
        </w:pBdr>
        <w:spacing w:after="140" w:before="300"/>
      </w:pPr>
      <w:r>
        <w:rPr>
          <w:sz w:val="24"/>
          <w:szCs w:val="24"/>
        </w:rPr>
        <w:t xml:space="preserve">  </w:t>
      </w:r>
      <w:r>
        <w:rPr>
          <w:rFonts w:ascii="Georgia" w:cs="Georgia" w:eastAsia="Georgia" w:hAnsi="Georgia"/>
          <w:b/>
          <w:bCs/>
          <w:color w:val="220E06"/>
          <w:sz w:val="25"/>
          <w:szCs w:val="25"/>
        </w:rPr>
        <w:t xml:space="preserve">Bewijs uit een getest gesprek</w:t>
      </w:r>
    </w:p>
    <w:p>
      <w:pPr>
        <w:spacing w:after="140" w:line="300"/>
      </w:pPr>
      <w:r>
        <w:rPr>
          <w:b w:val="false"/>
          <w:bCs w:val="false"/>
          <w:i w:val="false"/>
          <w:iCs w:val="false"/>
          <w:color w:val="220E06"/>
          <w:sz w:val="20"/>
          <w:szCs w:val="20"/>
        </w:rPr>
        <w:t xml:space="preserve">Onderstaand een samenvatting van een intern testgesprek (geanonimiseerd) dat de assistent liet zien onder realistische, lastige omstandigheden:</w:t>
      </w:r>
    </w:p>
    <w:p>
      <w:pPr>
        <w:pStyle w:val="ListParagraph"/>
        <w:numPr>
          <w:ilvl w:val="0"/>
          <w:numId w:val="1"/>
        </w:numPr>
        <w:spacing w:after="90" w:line="280"/>
      </w:pPr>
      <w:r>
        <w:rPr>
          <w:b/>
          <w:bCs/>
          <w:color w:val="B76D65"/>
          <w:sz w:val="19"/>
          <w:szCs w:val="19"/>
        </w:rPr>
        <w:t xml:space="preserve">1.</w:t>
      </w:r>
      <w:r>
        <w:rPr>
          <w:color w:val="220E06"/>
          <w:sz w:val="19"/>
          <w:szCs w:val="19"/>
        </w:rPr>
        <w:t xml:space="preserve"> begint vaag ("iets aan mijn lippen") → assistent vraagt gericht door</w:t>
      </w:r>
    </w:p>
    <w:p>
      <w:pPr>
        <w:pStyle w:val="ListParagraph"/>
        <w:numPr>
          <w:ilvl w:val="0"/>
          <w:numId w:val="1"/>
        </w:numPr>
        <w:spacing w:after="90" w:line="280"/>
      </w:pPr>
      <w:r>
        <w:rPr>
          <w:b/>
          <w:bCs/>
          <w:color w:val="B76D65"/>
          <w:sz w:val="19"/>
          <w:szCs w:val="19"/>
        </w:rPr>
        <w:t xml:space="preserve">2.</w:t>
      </w:r>
      <w:r>
        <w:rPr>
          <w:color w:val="220E06"/>
          <w:sz w:val="19"/>
          <w:szCs w:val="19"/>
        </w:rPr>
        <w:t xml:space="preserve"> patiënt verandert van filler naar botox mét nieuwe datum → assistent schakelt volledig mee, geen restanten van het oude verzoek</w:t>
      </w:r>
    </w:p>
    <w:p>
      <w:pPr>
        <w:pStyle w:val="ListParagraph"/>
        <w:numPr>
          <w:ilvl w:val="0"/>
          <w:numId w:val="1"/>
        </w:numPr>
        <w:spacing w:after="90" w:line="280"/>
      </w:pPr>
      <w:r>
        <w:rPr>
          <w:b/>
          <w:bCs/>
          <w:color w:val="B76D65"/>
          <w:sz w:val="19"/>
          <w:szCs w:val="19"/>
        </w:rPr>
        <w:t xml:space="preserve">3.</w:t>
      </w:r>
      <w:r>
        <w:rPr>
          <w:color w:val="220E06"/>
          <w:sz w:val="19"/>
          <w:szCs w:val="19"/>
        </w:rPr>
        <w:t xml:space="preserve"> tussendoor een medische vraag ("mag ik sporten na botox?") → direct doorgezet naar een medewerker, zonder de boeking te laten vallen</w:t>
      </w:r>
    </w:p>
    <w:p>
      <w:pPr>
        <w:pStyle w:val="ListParagraph"/>
        <w:numPr>
          <w:ilvl w:val="0"/>
          <w:numId w:val="1"/>
        </w:numPr>
        <w:spacing w:after="90" w:line="280"/>
      </w:pPr>
      <w:r>
        <w:rPr>
          <w:b/>
          <w:bCs/>
          <w:color w:val="B76D65"/>
          <w:sz w:val="19"/>
          <w:szCs w:val="19"/>
        </w:rPr>
        <w:t xml:space="preserve">4.</w:t>
      </w:r>
      <w:r>
        <w:rPr>
          <w:color w:val="220E06"/>
          <w:sz w:val="19"/>
          <w:szCs w:val="19"/>
        </w:rPr>
        <w:t xml:space="preserve"> patiënt geeft naam en telefoon → assistent rondt de boeking af mét alle eerder verzamelde context, inclusief adres en parkeerinfo</w:t>
      </w:r>
    </w:p>
    <w:p>
      <w:pPr>
        <w:pStyle w:val="ListParagraph"/>
        <w:numPr>
          <w:ilvl w:val="0"/>
          <w:numId w:val="1"/>
        </w:numPr>
        <w:spacing w:after="90" w:line="280"/>
      </w:pPr>
      <w:r>
        <w:rPr>
          <w:b/>
          <w:bCs/>
          <w:color w:val="B76D65"/>
          <w:sz w:val="19"/>
          <w:szCs w:val="19"/>
        </w:rPr>
        <w:t xml:space="preserve">5.</w:t>
      </w:r>
      <w:r>
        <w:rPr>
          <w:color w:val="220E06"/>
          <w:sz w:val="19"/>
          <w:szCs w:val="19"/>
        </w:rPr>
        <w:t xml:space="preserve"> een kortingsvraag en een niet-bestaande behandeling (oksel-botox) → geen giswerk, correcte doorverwijzing</w:t>
      </w:r>
    </w:p>
    <w:p>
      <w:pPr>
        <w:pBdr>
          <w:left w:val="single" w:color="D48C84" w:sz="24" w:space="8"/>
        </w:pBdr>
        <w:spacing w:after="140" w:before="300"/>
      </w:pPr>
      <w:r>
        <w:rPr>
          <w:sz w:val="24"/>
          <w:szCs w:val="24"/>
        </w:rPr>
        <w:t xml:space="preserve">  </w:t>
      </w:r>
      <w:r>
        <w:rPr>
          <w:rFonts w:ascii="Georgia" w:cs="Georgia" w:eastAsia="Georgia" w:hAnsi="Georgia"/>
          <w:b/>
          <w:bCs/>
          <w:color w:val="220E06"/>
          <w:sz w:val="25"/>
          <w:szCs w:val="25"/>
        </w:rPr>
        <w:t xml:space="preserve">Wat dit onderscheidt van generieke AI-chatbots</w:t>
      </w:r>
    </w:p>
    <w:p>
      <w:pPr>
        <w:pStyle w:val="ListParagraph"/>
        <w:numPr>
          <w:ilvl w:val="0"/>
          <w:numId w:val="1"/>
        </w:numPr>
        <w:spacing w:after="90" w:line="280"/>
      </w:pPr>
      <w:r>
        <w:rPr>
          <w:b/>
          <w:bCs/>
          <w:color w:val="B76D65"/>
          <w:sz w:val="19"/>
          <w:szCs w:val="19"/>
        </w:rPr>
        <w:t xml:space="preserve">Spoed-triage op maat —</w:t>
      </w:r>
      <w:r>
        <w:rPr>
          <w:color w:val="220E06"/>
          <w:sz w:val="19"/>
          <w:szCs w:val="19"/>
        </w:rPr>
        <w:t xml:space="preserve"> De meeste Amerikaanse AI-receptionist-tools escaleren plat, zonder onderscheid. Deze assistent gebruikt het spoedcriterium dat Van Dijk Clinic zelf al hanteert (koorts, heftige pijn, abnormale zwelling) en het eigen spoednummer — geen generieke aanname.</w:t>
      </w:r>
    </w:p>
    <w:p>
      <w:pPr>
        <w:pStyle w:val="ListParagraph"/>
        <w:numPr>
          <w:ilvl w:val="0"/>
          <w:numId w:val="1"/>
        </w:numPr>
        <w:spacing w:after="90" w:line="280"/>
      </w:pPr>
      <w:r>
        <w:rPr>
          <w:b/>
          <w:bCs/>
          <w:color w:val="B76D65"/>
          <w:sz w:val="19"/>
          <w:szCs w:val="19"/>
        </w:rPr>
        <w:t xml:space="preserve">Kennis van de eigen praktijk —</w:t>
      </w:r>
      <w:r>
        <w:rPr>
          <w:color w:val="220E06"/>
          <w:sz w:val="19"/>
          <w:szCs w:val="19"/>
        </w:rPr>
        <w:t xml:space="preserve"> Geen generiek behandelmenu, maar de exacte lijst van Van Dijk Clinic, inclusief herhaalbehandeling-varianten voor bestaande patiënten.</w:t>
      </w:r>
    </w:p>
    <w:p>
      <w:pPr>
        <w:pBdr>
          <w:left w:val="single" w:color="D48C84" w:sz="24" w:space="8"/>
        </w:pBdr>
        <w:spacing w:after="140" w:before="300"/>
      </w:pPr>
      <w:r>
        <w:rPr>
          <w:sz w:val="24"/>
          <w:szCs w:val="24"/>
        </w:rPr>
        <w:t xml:space="preserve">  </w:t>
      </w:r>
      <w:r>
        <w:rPr>
          <w:rFonts w:ascii="Georgia" w:cs="Georgia" w:eastAsia="Georgia" w:hAnsi="Georgia"/>
          <w:b/>
          <w:bCs/>
          <w:color w:val="220E06"/>
          <w:sz w:val="25"/>
          <w:szCs w:val="25"/>
        </w:rPr>
        <w:t xml:space="preserve">Wat er nog moet gebeuren voor livegang</w:t>
      </w:r>
    </w:p>
    <w:p>
      <w:pPr>
        <w:pStyle w:val="ListParagraph"/>
        <w:numPr>
          <w:ilvl w:val="0"/>
          <w:numId w:val="1"/>
        </w:numPr>
        <w:spacing w:after="90" w:line="280"/>
      </w:pPr>
      <w:r>
        <w:rPr>
          <w:b/>
          <w:bCs/>
          <w:color w:val="B76D65"/>
          <w:sz w:val="19"/>
          <w:szCs w:val="19"/>
        </w:rPr>
        <w:t xml:space="preserve">Bij Kevin:</w:t>
      </w:r>
      <w:r>
        <w:rPr>
          <w:color w:val="220E06"/>
          <w:sz w:val="19"/>
          <w:szCs w:val="19"/>
        </w:rPr>
        <w:t xml:space="preserve"> Clinicminds API-token activeren (Menu &gt; App settings &gt; Integrations) — nodig om echt te kunnen boeken.</w:t>
      </w:r>
    </w:p>
    <w:p>
      <w:pPr>
        <w:pStyle w:val="ListParagraph"/>
        <w:numPr>
          <w:ilvl w:val="0"/>
          <w:numId w:val="1"/>
        </w:numPr>
        <w:spacing w:after="90" w:line="280"/>
      </w:pPr>
      <w:r>
        <w:rPr>
          <w:b/>
          <w:bCs/>
          <w:color w:val="B76D65"/>
          <w:sz w:val="19"/>
          <w:szCs w:val="19"/>
        </w:rPr>
        <w:t xml:space="preserve">Bij ons:</w:t>
      </w:r>
      <w:r>
        <w:rPr>
          <w:color w:val="220E06"/>
          <w:sz w:val="19"/>
          <w:szCs w:val="19"/>
        </w:rPr>
        <w:t xml:space="preserve"> bredere testronde (30-50 berichten) en een verwerkersovereenkomst voordat er patiëntdata doorheen gaat.</w:t>
      </w:r>
    </w:p>
    <w:p>
      <w:pPr>
        <w:pBdr>
          <w:left w:val="single" w:color="D48C84" w:sz="24" w:space="8"/>
        </w:pBdr>
        <w:spacing w:after="140" w:before="300"/>
      </w:pPr>
      <w:r>
        <w:rPr>
          <w:sz w:val="24"/>
          <w:szCs w:val="24"/>
        </w:rPr>
        <w:t xml:space="preserve">  </w:t>
      </w:r>
      <w:r>
        <w:rPr>
          <w:rFonts w:ascii="Georgia" w:cs="Georgia" w:eastAsia="Georgia" w:hAnsi="Georgia"/>
          <w:b/>
          <w:bCs/>
          <w:color w:val="220E06"/>
          <w:sz w:val="25"/>
          <w:szCs w:val="25"/>
        </w:rPr>
        <w:t xml:space="preserve">Volgende stap</w:t>
      </w:r>
    </w:p>
    <w:p>
      <w:pPr>
        <w:spacing w:after="140" w:line="300"/>
      </w:pPr>
      <w:r>
        <w:rPr>
          <w:b w:val="false"/>
          <w:bCs w:val="false"/>
          <w:i w:val="false"/>
          <w:iCs w:val="false"/>
          <w:color w:val="220E06"/>
          <w:sz w:val="20"/>
          <w:szCs w:val="20"/>
        </w:rPr>
        <w:t xml:space="preserve">Voorstel: de API-koppeling activeren en samen een korte, gecontroleerde testperiode inplannen, zodat we op basis van echte gesprekken kunnen beoordelen of dit klaar is voor patiënten.</w:t>
      </w:r>
    </w:p>
    <w:sectPr>
      <w:headerReference w:type="default" r:id="rId7"/>
      <w:footerReference w:type="default" r:id="rId8"/>
      <w:pgSz w:w="11906" w:h="16838" w:orient="portrait"/>
      <w:pgMar w:top="8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6B6058"/>
        <w:sz w:val="14"/>
        <w:szCs w:val="14"/>
      </w:rPr>
      <w:t xml:space="preserve">Interne testversie · nog niet gekoppeld aan live systemen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8C84" w:sz="4" w:space="6"/>
      </w:pBdr>
      <w:spacing w:after="0"/>
      <w:jc w:val="right"/>
    </w:pPr>
    <w:r>
      <w:rPr>
        <w:rFonts w:ascii="Roboto" w:cs="Roboto" w:eastAsia="Roboto" w:hAnsi="Roboto"/>
        <w:b/>
        <w:bCs/>
        <w:color w:val="B76D65"/>
        <w:sz w:val="16"/>
        <w:szCs w:val="16"/>
      </w:rPr>
      <w:t xml:space="preserve">VAN DIJK CLINIC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2026-07-13T00:54:11.592Z</dcterms:created>
  <dcterms:modified xsi:type="dcterms:W3CDTF">2026-07-13T00:54:11.592Z</dcterms:modified>
</cp:coreProperties>
</file>

<file path=docProps/custom.xml><?xml version="1.0" encoding="utf-8"?>
<Properties xmlns="http://schemas.openxmlformats.org/officeDocument/2006/custom-properties" xmlns:vt="http://schemas.openxmlformats.org/officeDocument/2006/docPropsVTypes"/>
</file>