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200"/>
        <w:jc w:val="center"/>
      </w:pPr>
      <w:r>
        <w:rPr>
          <w:rFonts w:ascii="Arial" w:cs="Arial" w:eastAsia="Arial" w:hAnsi="Arial"/>
          <w:b/>
          <w:bCs/>
          <w:color w:val="8B0000"/>
          <w:sz w:val="56"/>
          <w:szCs w:val="56"/>
        </w:rPr>
        <w:t xml:space="preserve">STC FRAMEWORK</w:t>
      </w:r>
    </w:p>
    <w:p>
      <w:pPr>
        <w:spacing w:after="120"/>
        <w:jc w:val="center"/>
      </w:pPr>
      <w:r>
        <w:rPr>
          <w:rFonts w:ascii="Arial" w:cs="Arial" w:eastAsia="Arial" w:hAnsi="Arial"/>
          <w:color w:val="CC3333"/>
          <w:sz w:val="36"/>
          <w:szCs w:val="36"/>
        </w:rPr>
        <w:t xml:space="preserve">Security Architecture Document</w:t>
      </w:r>
    </w:p>
    <w:p>
      <w:pPr>
        <w:spacing w:after="400"/>
        <w:jc w:val="center"/>
      </w:pPr>
      <w:r>
        <w:rPr>
          <w:rFonts w:ascii="Arial" w:cs="Arial" w:eastAsia="Arial" w:hAnsi="Arial"/>
          <w:color w:val="666666"/>
          <w:sz w:val="24"/>
          <w:szCs w:val="24"/>
        </w:rPr>
        <w:t xml:space="preserve">Threat Model · Controls · Incident Response · Compliance</w:t>
      </w:r>
    </w:p>
    <w:p>
      <w:pPr>
        <w:spacing w:after="80"/>
      </w:pPr>
    </w:p>
    <w:p>
      <w:pPr>
        <w:spacing w:after="80"/>
      </w:pPr>
    </w:p>
    <w:p>
      <w:pPr>
        <w:spacing w:after="80"/>
      </w:pPr>
    </w:p>
    <w:p>
      <w:pPr>
        <w:spacing w:after="60"/>
        <w:jc w:val="center"/>
      </w:pPr>
      <w:r>
        <w:rPr>
          <w:rFonts w:ascii="Arial" w:cs="Arial" w:eastAsia="Arial" w:hAnsi="Arial"/>
          <w:b/>
          <w:bCs/>
          <w:color w:val="8B0000"/>
          <w:sz w:val="24"/>
          <w:szCs w:val="24"/>
        </w:rPr>
        <w:t xml:space="preserve">CLASSIFICATION: INTERNAL</w:t>
      </w:r>
    </w:p>
    <w:p>
      <w:pPr>
        <w:spacing w:after="80"/>
      </w:pPr>
    </w:p>
    <w:p>
      <w:pPr>
        <w:spacing w:after="80"/>
      </w:pPr>
    </w:p>
    <w:p>
      <w:pPr>
        <w:spacing w:after="80"/>
      </w:pPr>
    </w:p>
    <w:p>
      <w:pPr>
        <w:spacing w:after="80"/>
      </w:pPr>
    </w:p>
    <w:p>
      <w:pPr>
        <w:spacing w:after="60"/>
        <w:jc w:val="center"/>
      </w:pPr>
      <w:r>
        <w:rPr>
          <w:rFonts w:ascii="Arial" w:cs="Arial" w:eastAsia="Arial" w:hAnsi="Arial"/>
          <w:color w:val="444444"/>
          <w:sz w:val="22"/>
          <w:szCs w:val="22"/>
        </w:rPr>
        <w:t xml:space="preserve">Author: Nitesh Ambastha</w:t>
      </w:r>
    </w:p>
    <w:p>
      <w:pPr>
        <w:spacing w:after="60"/>
        <w:jc w:val="center"/>
      </w:pPr>
      <w:r>
        <w:rPr>
          <w:rFonts w:ascii="Arial" w:cs="Arial" w:eastAsia="Arial" w:hAnsi="Arial"/>
          <w:color w:val="444444"/>
          <w:sz w:val="22"/>
          <w:szCs w:val="22"/>
        </w:rPr>
        <w:t xml:space="preserve">Version 1.0 — March 2026</w:t>
      </w:r>
    </w:p>
    <w:p>
      <w:pPr>
        <w:jc w:val="center"/>
      </w:pPr>
      <w:r>
        <w:rPr>
          <w:rFonts w:ascii="Arial" w:cs="Arial" w:eastAsia="Arial" w:hAnsi="Arial"/>
          <w:color w:val="888888"/>
          <w:sz w:val="20"/>
          <w:szCs w:val="20"/>
        </w:rPr>
        <w:t xml:space="preserve">For CISO / Security Architecture Review</w:t>
      </w:r>
    </w:p>
    <w:p>
      <w:pPr>
        <w:sectPr>
          <w:pgSz w:w="12240" w:h="15840" w:orient="portrait"/>
          <w:pgMar w:top="3600" w:right="1440" w:bottom="1440" w:left="1440" w:header="708" w:footer="708" w:gutter="0"/>
          <w:pgNumType/>
          <w:docGrid w:linePitch="360"/>
        </w:sectPr>
      </w:pPr>
    </w:p>
    <w:p>
      <w:pPr>
        <w:pStyle w:val="Heading1"/>
        <w:spacing w:before="360" w:after="200"/>
      </w:pPr>
      <w:r>
        <w:rPr>
          <w:rFonts w:ascii="Arial" w:cs="Arial" w:eastAsia="Arial" w:hAnsi="Arial"/>
          <w:b/>
          <w:bCs/>
          <w:color w:val="8B0000"/>
          <w:sz w:val="36"/>
          <w:szCs w:val="36"/>
        </w:rPr>
        <w:t xml:space="preserve">Table of Contents</w:t>
      </w:r>
    </w:p>
    <w:sdt>
      <w:sdtPr>
        <w:alias w:val="TOC"/>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8B0000"/>
          <w:sz w:val="36"/>
          <w:szCs w:val="36"/>
        </w:rPr>
        <w:t xml:space="preserve">1. Threat Model</w:t>
      </w:r>
    </w:p>
    <w:p>
      <w:pPr>
        <w:spacing w:after="120"/>
      </w:pPr>
      <w:r>
        <w:rPr>
          <w:rFonts w:ascii="Arial" w:cs="Arial" w:eastAsia="Arial" w:hAnsi="Arial"/>
          <w:sz w:val="22"/>
          <w:szCs w:val="22"/>
        </w:rPr>
        <w:t xml:space="preserve">This section maps threats specific to AI agent systems to MITRE ATLAS techniques, identifies threat actors, and documents the STC controls that mitigate each threat.</w:t>
      </w:r>
    </w:p>
    <w:p>
      <w:pPr>
        <w:spacing w:after="80"/>
      </w:pPr>
    </w:p>
    <w:p>
      <w:pPr>
        <w:pStyle w:val="Heading2"/>
        <w:spacing w:before="280" w:after="160"/>
      </w:pPr>
      <w:r>
        <w:rPr>
          <w:rFonts w:ascii="Arial" w:cs="Arial" w:eastAsia="Arial" w:hAnsi="Arial"/>
          <w:b/>
          <w:bCs/>
          <w:color w:val="CC3333"/>
          <w:sz w:val="28"/>
          <w:szCs w:val="28"/>
        </w:rPr>
        <w:t xml:space="preserve">1.1 Threat 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rPr>
          <w:tblHeader/>
        </w:trPr>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Actor</w:t>
            </w:r>
          </w:p>
        </w:tc>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Motivation</w:t>
            </w:r>
          </w:p>
        </w:tc>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31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Relevant MITRE ATLAS</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External Attacker</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Data exfiltration, service disruption</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Prompt injection, social engineering</w:t>
            </w:r>
          </w:p>
        </w:tc>
        <w:tc>
          <w:tcPr>
            <w:tcW w:type="dxa" w:w="3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AML.T0051, AML.T0054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Malicious Insider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Unauthorized data access, sabotage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system access, credential theft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AML.T0024, AML.T0035</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Compromised Agent</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Goal hijacking via poisoned tool/data</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Indirect injection through MCP tools</w:t>
            </w:r>
          </w:p>
        </w:tc>
        <w:tc>
          <w:tcPr>
            <w:tcW w:type="dxa" w:w="3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AML.T0043, AML.T0049</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Supply Chain Attack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poisoning, dependency compromise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Tampered models or packages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AML.T0018, AML.T0019</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Shadow AI User</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Bypassing controls for convenience</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Direct LLM API calls bypassing Sentinel</w:t>
            </w:r>
          </w:p>
        </w:tc>
        <w:tc>
          <w:tcPr>
            <w:tcW w:type="dxa" w:w="3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N/A (policy violation)</w:t>
            </w:r>
          </w:p>
        </w:tc>
      </w:tr>
    </w:tbl>
    <w:p>
      <w:pPr>
        <w:spacing w:after="80"/>
      </w:pPr>
    </w:p>
    <w:p>
      <w:pPr>
        <w:pStyle w:val="Heading2"/>
        <w:spacing w:before="280" w:after="160"/>
      </w:pPr>
      <w:r>
        <w:rPr>
          <w:rFonts w:ascii="Arial" w:cs="Arial" w:eastAsia="Arial" w:hAnsi="Arial"/>
          <w:b/>
          <w:bCs/>
          <w:color w:val="CC3333"/>
          <w:sz w:val="28"/>
          <w:szCs w:val="28"/>
        </w:rPr>
        <w:t xml:space="preserve">1.2 Attack Surface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1300"/>
        <w:gridCol w:w="2600"/>
        <w:gridCol w:w="2160"/>
      </w:tblGrid>
      <w:tr>
        <w:trPr>
          <w:tblHeader/>
        </w:trPr>
        <w:tc>
          <w:tcPr>
            <w:tcW w:type="dxa" w:w="15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Attack Surface</w:t>
            </w:r>
          </w:p>
        </w:tc>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Threat</w:t>
            </w:r>
          </w:p>
        </w:tc>
        <w:tc>
          <w:tcPr>
            <w:tcW w:type="dxa" w:w="13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ATLAS Technique</w:t>
            </w:r>
          </w:p>
        </w:tc>
        <w:tc>
          <w:tcPr>
            <w:tcW w:type="dxa" w:w="26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STC Control</w:t>
            </w:r>
          </w:p>
        </w:tc>
        <w:tc>
          <w:tcPr>
            <w:tcW w:type="dxa" w:w="21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Residual Risk</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User Input</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Prompt injection / jailbreak</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AML.T0051</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LlamaFirewall PromptGuard + regex fallback</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Low (97.5% detection)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Input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PII in prompts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Presidio PII masking + surrogate tokens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LLM Output</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Hallucinated data</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AML.T0043</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Critic numerical accuracy + hallucination check</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Medium (context-dependent)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Output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Investment advice generation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Usage policy enforcer + scope validator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LLM Output</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PII leakage in response</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AML.T0024</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Presidio output scan + DLP</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Low</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LLM Output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Agent goal misalignment</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AML.T0049</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LlamaFirewall AlignmentCheck</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Medium (experimental)</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MCP Tools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Tool injection (poisoned response)</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AML.T0049</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MCP Catalog validation + firewall tool scan</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Medium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MCP Tools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Shadow tool usage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Catalog sync + registry governance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 (with Kong/Bifrost)</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Model Supply Chain</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Poisoned model weights</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AML.T0018</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Model provenance verification (see 7.1)</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Medium</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Boundary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Restricted data sent to external LLM</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AML.T0024</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tier classification + routing policy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Auth</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Privilege escalation (persona)</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Casbin RBAC + per-persona key scoping</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Low</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Operator impersonation</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JWT/IdP integration + audit trail</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Low (with IdP)</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 Trail</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Log tampering / evidence destruction</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Append-only JSONL + Parquet export</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Medium (see 6.1)</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Infrastructure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Direct LLM API bypass</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 segmentation (see 5.1)</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High without segmentation</w:t>
            </w:r>
          </w:p>
        </w:tc>
      </w:tr>
      <w:tr>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Cost</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Runaway agent cost attack</w:t>
            </w:r>
          </w:p>
        </w:tc>
        <w:tc>
          <w:tcPr>
            <w:tcW w:type="dxa" w:w="13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N/A</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Cost circuit breaker + burst control</w:t>
            </w:r>
          </w:p>
        </w:tc>
        <w:tc>
          <w:tcPr>
            <w:tcW w:type="dxa" w:w="2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Low</w:t>
            </w:r>
          </w:p>
        </w:tc>
      </w:tr>
    </w:tbl>
    <w:p>
      <w:r>
        <w:br w:type="page"/>
      </w:r>
    </w:p>
    <w:p>
      <w:pPr>
        <w:pStyle w:val="Heading1"/>
        <w:spacing w:before="360" w:after="200"/>
      </w:pPr>
      <w:r>
        <w:rPr>
          <w:rFonts w:ascii="Arial" w:cs="Arial" w:eastAsia="Arial" w:hAnsi="Arial"/>
          <w:b/>
          <w:bCs/>
          <w:color w:val="8B0000"/>
          <w:sz w:val="36"/>
          <w:szCs w:val="36"/>
        </w:rPr>
        <w:t xml:space="preserve">2. Incident Response</w:t>
      </w:r>
    </w:p>
    <w:p>
      <w:pPr>
        <w:spacing w:after="120"/>
      </w:pPr>
      <w:r>
        <w:rPr>
          <w:rFonts w:ascii="Arial" w:cs="Arial" w:eastAsia="Arial" w:hAnsi="Arial"/>
          <w:sz w:val="22"/>
          <w:szCs w:val="22"/>
        </w:rPr>
        <w:t xml:space="preserve">This section defines the incident response playbook for STC system security events. Every enterprise deploying STC should customize this to their organizational structure.</w:t>
      </w:r>
    </w:p>
    <w:p>
      <w:pPr>
        <w:spacing w:after="80"/>
      </w:pPr>
    </w:p>
    <w:p>
      <w:pPr>
        <w:pStyle w:val="Heading2"/>
        <w:spacing w:before="280" w:after="160"/>
      </w:pPr>
      <w:r>
        <w:rPr>
          <w:rFonts w:ascii="Arial" w:cs="Arial" w:eastAsia="Arial" w:hAnsi="Arial"/>
          <w:b/>
          <w:bCs/>
          <w:color w:val="CC3333"/>
          <w:sz w:val="28"/>
          <w:szCs w:val="28"/>
        </w:rPr>
        <w:t xml:space="preserve">2.1 Severity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1800"/>
        <w:gridCol w:w="3160"/>
      </w:tblGrid>
      <w:tr>
        <w:trPr>
          <w:tblHeader/>
        </w:trPr>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Severity</w:t>
            </w:r>
          </w:p>
        </w:tc>
        <w:tc>
          <w:tcPr>
            <w:tcW w:type="dxa" w:w="26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Response Time</w:t>
            </w:r>
          </w:p>
        </w:tc>
        <w:tc>
          <w:tcPr>
            <w:tcW w:type="dxa" w:w="31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SEV-1 (Critical)</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Active data breach, system compromise, or regulatory violation</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Immediate (&lt;15 min)</w:t>
            </w:r>
          </w:p>
        </w:tc>
        <w:tc>
          <w:tcPr>
            <w:tcW w:type="dxa" w:w="3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Restricted data sent to external LLM; audit trail tampered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SEV-2 (High)</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Governance failure requiring human intervention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 hour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Critic suspension triggered; persistent prompt injection campaign</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SEV-3 (Medium)</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Degraded operation, elevated risk</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&lt; 4 hours</w:t>
            </w:r>
          </w:p>
        </w:tc>
        <w:tc>
          <w:tcPr>
            <w:tcW w:type="dxa" w:w="31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Hallucination rate above threshold; tool health degraded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SEV-4 (Low)</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Anomaly detected, monitoring required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24 hours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Cost anomaly; single guardrail failure; rate limit triggered</w:t>
            </w:r>
          </w:p>
        </w:tc>
      </w:tr>
    </w:tbl>
    <w:p>
      <w:pPr>
        <w:spacing w:after="80"/>
      </w:pPr>
    </w:p>
    <w:p>
      <w:pPr>
        <w:pStyle w:val="Heading2"/>
        <w:spacing w:before="280" w:after="160"/>
      </w:pPr>
      <w:r>
        <w:rPr>
          <w:rFonts w:ascii="Arial" w:cs="Arial" w:eastAsia="Arial" w:hAnsi="Arial"/>
          <w:b/>
          <w:bCs/>
          <w:color w:val="CC3333"/>
          <w:sz w:val="28"/>
          <w:szCs w:val="28"/>
        </w:rPr>
        <w:t xml:space="preserve">2.2 Incident Response Playbook</w:t>
      </w:r>
    </w:p>
    <w:p>
      <w:pPr>
        <w:spacing w:before="200" w:after="120"/>
      </w:pPr>
      <w:r>
        <w:rPr>
          <w:rFonts w:ascii="Arial" w:cs="Arial" w:eastAsia="Arial" w:hAnsi="Arial"/>
          <w:b/>
          <w:bCs/>
          <w:color w:val="8B0000"/>
          <w:sz w:val="24"/>
          <w:szCs w:val="24"/>
        </w:rPr>
        <w:t xml:space="preserve">Phase 1: Detection</w:t>
      </w:r>
    </w:p>
    <w:p>
      <w:pPr>
        <w:spacing w:after="120"/>
      </w:pPr>
      <w:r>
        <w:rPr>
          <w:rFonts w:ascii="Arial" w:cs="Arial" w:eastAsia="Arial" w:hAnsi="Arial"/>
          <w:sz w:val="22"/>
          <w:szCs w:val="22"/>
        </w:rPr>
        <w:t xml:space="preserve">Sources of detection: Runtime Firewall alerts (PromptGuard block events), Critic escalation triggers (degraded/quarantine/suspension), Cost circuit breaker alerts, Auth denial spikes, Observability anomaly alerts, MCP Catalog sync violations (shadow tools).</w:t>
      </w:r>
    </w:p>
    <w:p>
      <w:pPr>
        <w:spacing w:after="120"/>
      </w:pPr>
      <w:r>
        <w:rPr>
          <w:rFonts w:ascii="Arial" w:cs="Arial" w:eastAsia="Arial" w:hAnsi="Arial"/>
          <w:sz w:val="22"/>
          <w:szCs w:val="22"/>
        </w:rPr>
        <w:t xml:space="preserve">Automated detection routes to the on-call operator via the notification channel configured in the spec (Slack webhook, PagerDuty, email).</w:t>
      </w:r>
    </w:p>
    <w:p>
      <w:pPr>
        <w:spacing w:after="80"/>
      </w:pPr>
    </w:p>
    <w:p>
      <w:pPr>
        <w:spacing w:before="200" w:after="120"/>
      </w:pPr>
      <w:r>
        <w:rPr>
          <w:rFonts w:ascii="Arial" w:cs="Arial" w:eastAsia="Arial" w:hAnsi="Arial"/>
          <w:b/>
          <w:bCs/>
          <w:color w:val="8B0000"/>
          <w:sz w:val="24"/>
          <w:szCs w:val="24"/>
        </w:rPr>
        <w:t xml:space="preserve">Phase 2: Triage</w:t>
      </w:r>
    </w:p>
    <w:p>
      <w:pPr>
        <w:spacing w:after="120"/>
      </w:pPr>
      <w:r>
        <w:rPr>
          <w:rFonts w:ascii="Arial" w:cs="Arial" w:eastAsia="Arial" w:hAnsi="Arial"/>
          <w:sz w:val="22"/>
          <w:szCs w:val="22"/>
        </w:rPr>
        <w:t xml:space="preserve">The on-call operator authenticates (JWT/IdP) and checks: system health dashboard (observability module), audit trail for the triggering trace ID, escalation level (degraded/quarantine/suspension), scope of impact (single query vs systematic).</w:t>
      </w:r>
    </w:p>
    <w:p>
      <w:pPr>
        <w:spacing w:after="120"/>
      </w:pPr>
      <w:r>
        <w:rPr>
          <w:rFonts w:ascii="Arial" w:cs="Arial" w:eastAsia="Arial" w:hAnsi="Arial"/>
          <w:sz w:val="22"/>
          <w:szCs w:val="22"/>
        </w:rPr>
        <w:t xml:space="preserve">Triage decision: If SEV-1, escalate to CISO and initiate containment. If SEV-2, the operator can reset escalation (requires ‘operator’ role or above). If SEV-3/4, investigate and monitor.</w:t>
      </w:r>
    </w:p>
    <w:p>
      <w:pPr>
        <w:spacing w:after="80"/>
      </w:pPr>
    </w:p>
    <w:p>
      <w:pPr>
        <w:spacing w:before="200" w:after="120"/>
      </w:pPr>
      <w:r>
        <w:rPr>
          <w:rFonts w:ascii="Arial" w:cs="Arial" w:eastAsia="Arial" w:hAnsi="Arial"/>
          <w:b/>
          <w:bCs/>
          <w:color w:val="8B0000"/>
          <w:sz w:val="24"/>
          <w:szCs w:val="24"/>
        </w:rPr>
        <w:t xml:space="preserve">Phase 3: Containment</w:t>
      </w:r>
    </w:p>
    <w:p>
      <w:pPr>
        <w:spacing w:after="120"/>
      </w:pPr>
      <w:r>
        <w:rPr>
          <w:rFonts w:ascii="Arial" w:cs="Arial" w:eastAsia="Arial" w:hAnsi="Arial"/>
          <w:sz w:val="22"/>
          <w:szCs w:val="22"/>
        </w:rPr>
        <w:t xml:space="preserve">Containment actions available to operators (per Casbin RBAC): Suspend system (admin role) — halts all personas, requires admin to resume. Rotate API keys (operator role) — revokes compromised keys, generates new ones. Modify routing (admin role) — switch to local-only models if external LLM is compromised. Revoke MCP tool access (admin role) — remove compromised tool from catalog.</w:t>
      </w:r>
    </w:p>
    <w:p>
      <w:pPr>
        <w:spacing w:after="80"/>
      </w:pPr>
    </w:p>
    <w:p>
      <w:pPr>
        <w:spacing w:before="200" w:after="120"/>
      </w:pPr>
      <w:r>
        <w:rPr>
          <w:rFonts w:ascii="Arial" w:cs="Arial" w:eastAsia="Arial" w:hAnsi="Arial"/>
          <w:b/>
          <w:bCs/>
          <w:color w:val="8B0000"/>
          <w:sz w:val="24"/>
          <w:szCs w:val="24"/>
        </w:rPr>
        <w:t xml:space="preserve">Phase 4: Investigation</w:t>
      </w:r>
    </w:p>
    <w:p>
      <w:pPr>
        <w:spacing w:after="120"/>
      </w:pPr>
      <w:r>
        <w:rPr>
          <w:rFonts w:ascii="Arial" w:cs="Arial" w:eastAsia="Arial" w:hAnsi="Arial"/>
          <w:sz w:val="22"/>
          <w:szCs w:val="22"/>
        </w:rPr>
        <w:t xml:space="preserve">Use the observability module’s query API to reconstruct the incident: query all events for the trace ID, export the full audit trail for the incident window, review firewall decisions, Critic verdicts, auth events, and data boundary crossings. The AIUC-1 evidence generator produces a structured incident report.</w:t>
      </w:r>
    </w:p>
    <w:p>
      <w:pPr>
        <w:spacing w:after="80"/>
      </w:pPr>
    </w:p>
    <w:p>
      <w:pPr>
        <w:spacing w:before="200" w:after="120"/>
      </w:pPr>
      <w:r>
        <w:rPr>
          <w:rFonts w:ascii="Arial" w:cs="Arial" w:eastAsia="Arial" w:hAnsi="Arial"/>
          <w:b/>
          <w:bCs/>
          <w:color w:val="8B0000"/>
          <w:sz w:val="24"/>
          <w:szCs w:val="24"/>
        </w:rPr>
        <w:t xml:space="preserve">Phase 5: Recovery</w:t>
      </w:r>
    </w:p>
    <w:p>
      <w:pPr>
        <w:spacing w:after="120"/>
      </w:pPr>
      <w:r>
        <w:rPr>
          <w:rFonts w:ascii="Arial" w:cs="Arial" w:eastAsia="Arial" w:hAnsi="Arial"/>
          <w:sz w:val="22"/>
          <w:szCs w:val="22"/>
        </w:rPr>
        <w:t xml:space="preserve">Recovery steps: Reset escalation state (operator role), verify system health via health dashboard, run adversarial test suite to confirm defenses are intact, resume normal operation (admin role for full suspension, operator for escalation reset). Post-recovery: update the Declarative Specification if policy changes are needed (admin role only, version-controlled).</w:t>
      </w:r>
    </w:p>
    <w:p>
      <w:pPr>
        <w:spacing w:after="80"/>
      </w:pPr>
    </w:p>
    <w:p>
      <w:pPr>
        <w:spacing w:before="200" w:after="120"/>
      </w:pPr>
      <w:r>
        <w:rPr>
          <w:rFonts w:ascii="Arial" w:cs="Arial" w:eastAsia="Arial" w:hAnsi="Arial"/>
          <w:b/>
          <w:bCs/>
          <w:color w:val="8B0000"/>
          <w:sz w:val="24"/>
          <w:szCs w:val="24"/>
        </w:rPr>
        <w:t xml:space="preserve">Phase 6: Post-Incident Review</w:t>
      </w:r>
    </w:p>
    <w:p>
      <w:pPr>
        <w:spacing w:after="120"/>
      </w:pPr>
      <w:r>
        <w:rPr>
          <w:rFonts w:ascii="Arial" w:cs="Arial" w:eastAsia="Arial" w:hAnsi="Arial"/>
          <w:sz w:val="22"/>
          <w:szCs w:val="22"/>
        </w:rPr>
        <w:t xml:space="preserve">Required outputs: Incident timeline (auto-generated from audit trail), root cause analysis, control gaps identified, specification changes applied, AIUC-1 evidence package for the incident. All post-incident documentation is appended to the audit trail as system events.</w:t>
      </w:r>
    </w:p>
    <w:p>
      <w:r>
        <w:br w:type="page"/>
      </w:r>
    </w:p>
    <w:p>
      <w:pPr>
        <w:pStyle w:val="Heading1"/>
        <w:spacing w:before="360" w:after="200"/>
      </w:pPr>
      <w:r>
        <w:rPr>
          <w:rFonts w:ascii="Arial" w:cs="Arial" w:eastAsia="Arial" w:hAnsi="Arial"/>
          <w:b/>
          <w:bCs/>
          <w:color w:val="8B0000"/>
          <w:sz w:val="36"/>
          <w:szCs w:val="36"/>
        </w:rPr>
        <w:t xml:space="preserve">3. Secret Management</w:t>
      </w:r>
    </w:p>
    <w:p>
      <w:pPr>
        <w:spacing w:after="80"/>
      </w:pPr>
    </w:p>
    <w:p>
      <w:pPr>
        <w:pStyle w:val="Heading2"/>
        <w:spacing w:before="280" w:after="160"/>
      </w:pPr>
      <w:r>
        <w:rPr>
          <w:rFonts w:ascii="Arial" w:cs="Arial" w:eastAsia="Arial" w:hAnsi="Arial"/>
          <w:b/>
          <w:bCs/>
          <w:color w:val="CC3333"/>
          <w:sz w:val="28"/>
          <w:szCs w:val="28"/>
        </w:rPr>
        <w:t xml:space="preserve">3.1 Current State</w:t>
      </w:r>
    </w:p>
    <w:p>
      <w:pPr>
        <w:spacing w:after="120"/>
      </w:pPr>
      <w:r>
        <w:rPr>
          <w:rFonts w:ascii="Arial" w:cs="Arial" w:eastAsia="Arial" w:hAnsi="Arial"/>
          <w:sz w:val="22"/>
          <w:szCs w:val="22"/>
        </w:rPr>
        <w:t xml:space="preserve">The STC reference implementation stores secrets in environment variables (.env file) and generates persona API keys with SHA-256 hashing. This is acceptable for development but not for production.</w:t>
      </w:r>
    </w:p>
    <w:p>
      <w:pPr>
        <w:spacing w:after="80"/>
      </w:pPr>
    </w:p>
    <w:p>
      <w:pPr>
        <w:pStyle w:val="Heading2"/>
        <w:spacing w:before="280" w:after="160"/>
      </w:pPr>
      <w:r>
        <w:rPr>
          <w:rFonts w:ascii="Arial" w:cs="Arial" w:eastAsia="Arial" w:hAnsi="Arial"/>
          <w:b/>
          <w:bCs/>
          <w:color w:val="CC3333"/>
          <w:sz w:val="28"/>
          <w:szCs w:val="28"/>
        </w:rPr>
        <w:t xml:space="preserve">3.2 Production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360"/>
        <w:gridCol w:w="3000"/>
      </w:tblGrid>
      <w:tr>
        <w:trPr>
          <w:tblHeader/>
        </w:trPr>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Secret Type</w:t>
            </w:r>
          </w:p>
        </w:tc>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Current Storage</w:t>
            </w:r>
          </w:p>
        </w:tc>
        <w:tc>
          <w:tcPr>
            <w:tcW w:type="dxa" w:w="2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Production Requirement</w:t>
            </w:r>
          </w:p>
        </w:tc>
        <w:tc>
          <w:tcPr>
            <w:tcW w:type="dxa" w:w="3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Recommended Solution</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LLM Provider API Keys</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.env file</w:t>
            </w:r>
          </w:p>
        </w:tc>
        <w:tc>
          <w:tcPr>
            <w:tcW w:type="dxa" w:w="2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Vault with rotation</w:t>
            </w:r>
          </w:p>
        </w:tc>
        <w:tc>
          <w:tcPr>
            <w:tcW w:type="dxa" w:w="3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HashiCorp Vault / AWS Secrets Manager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Persona API Keys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 JSON (hashed)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Vault with auto-rotation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HashiCorp Vault + Casbin integration</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Database Credentials</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docker-compose env</w:t>
            </w:r>
          </w:p>
        </w:tc>
        <w:tc>
          <w:tcPr>
            <w:tcW w:type="dxa" w:w="2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Vault dynamic secrets</w:t>
            </w:r>
          </w:p>
        </w:tc>
        <w:tc>
          <w:tcPr>
            <w:tcW w:type="dxa" w:w="3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HashiCorp Vault database engine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Certificates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 implemented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Auto-provisioned, rotated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cert-manager (Kubernetes) / Vault PKI</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Encryption Keys</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Not implemented</w:t>
            </w:r>
          </w:p>
        </w:tc>
        <w:tc>
          <w:tcPr>
            <w:tcW w:type="dxa" w:w="2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HSM-backed or Vault transit</w:t>
            </w:r>
          </w:p>
        </w:tc>
        <w:tc>
          <w:tcPr>
            <w:tcW w:type="dxa" w:w="3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Vault transit engine / AWS KMS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IdP Client Secrets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.env file</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Vault with rotation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HashiCorp Vault</w:t>
            </w:r>
          </w:p>
        </w:tc>
      </w:tr>
    </w:tbl>
    <w:p>
      <w:pPr>
        <w:spacing w:after="80"/>
      </w:pPr>
    </w:p>
    <w:p>
      <w:pPr>
        <w:pStyle w:val="Heading2"/>
        <w:spacing w:before="280" w:after="160"/>
      </w:pPr>
      <w:r>
        <w:rPr>
          <w:rFonts w:ascii="Arial" w:cs="Arial" w:eastAsia="Arial" w:hAnsi="Arial"/>
          <w:b/>
          <w:bCs/>
          <w:color w:val="CC3333"/>
          <w:sz w:val="28"/>
          <w:szCs w:val="28"/>
        </w:rPr>
        <w:t xml:space="preserve">3.3 Implementation: Vault Integration</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sentinel/secrets.py (new)</w:t>
      </w:r>
    </w:p>
    <w:p>
      <w:pPr>
        <w:spacing w:after="120"/>
      </w:pPr>
      <w:r>
        <w:rPr>
          <w:rFonts w:ascii="Arial" w:cs="Arial" w:eastAsia="Arial" w:hAnsi="Arial"/>
          <w:sz w:val="22"/>
          <w:szCs w:val="22"/>
        </w:rPr>
        <w:t xml:space="preserve">The secrets module provides a VaultClient that: reads all secrets from HashiCorp Vault (or AWS Secrets Manager) at startup, injects them into the Sentinel gateway configuration, rotates persona API keys on the schedule defined in the spec (sentinel.auth.key_rotation_days), provides a secrets_health_check() for the system health dashboard.</w:t>
      </w:r>
    </w:p>
    <w:p>
      <w:pPr>
        <w:spacing w:after="80"/>
      </w:pPr>
    </w:p>
    <w:p>
      <w:pPr>
        <w:shd w:fill="F5F5F5" w:val="clear"/>
        <w:spacing w:after="80"/>
        <w:ind w:left="360"/>
      </w:pPr>
      <w:r>
        <w:rPr>
          <w:rFonts w:ascii="Courier New" w:cs="Courier New" w:eastAsia="Courier New" w:hAnsi="Courier New"/>
          <w:sz w:val="18"/>
          <w:szCs w:val="18"/>
        </w:rPr>
        <w:t xml:space="preserve"># stc-spec.yaml</w:t>
      </w:r>
    </w:p>
    <w:p>
      <w:pPr>
        <w:shd w:fill="F5F5F5" w:val="clear"/>
        <w:spacing w:after="80"/>
        <w:ind w:left="360"/>
      </w:pPr>
      <w:r>
        <w:rPr>
          <w:rFonts w:ascii="Courier New" w:cs="Courier New" w:eastAsia="Courier New" w:hAnsi="Courier New"/>
          <w:sz w:val="18"/>
          <w:szCs w:val="18"/>
        </w:rPr>
        <w:t xml:space="preserve">sentinel:</w:t>
      </w:r>
    </w:p>
    <w:p>
      <w:pPr>
        <w:shd w:fill="F5F5F5" w:val="clear"/>
        <w:spacing w:after="80"/>
        <w:ind w:left="360"/>
      </w:pPr>
      <w:r>
        <w:rPr>
          <w:rFonts w:ascii="Courier New" w:cs="Courier New" w:eastAsia="Courier New" w:hAnsi="Courier New"/>
          <w:sz w:val="18"/>
          <w:szCs w:val="18"/>
        </w:rPr>
        <w:t xml:space="preserve">  secrets:</w:t>
      </w:r>
    </w:p>
    <w:p>
      <w:pPr>
        <w:shd w:fill="F5F5F5" w:val="clear"/>
        <w:spacing w:after="80"/>
        <w:ind w:left="360"/>
      </w:pPr>
      <w:r>
        <w:rPr>
          <w:rFonts w:ascii="Courier New" w:cs="Courier New" w:eastAsia="Courier New" w:hAnsi="Courier New"/>
          <w:sz w:val="18"/>
          <w:szCs w:val="18"/>
        </w:rPr>
        <w:t xml:space="preserve">    engine: vault  # vault | aws_secrets_manager | env (default)</w:t>
      </w:r>
    </w:p>
    <w:p>
      <w:pPr>
        <w:shd w:fill="F5F5F5" w:val="clear"/>
        <w:spacing w:after="80"/>
        <w:ind w:left="360"/>
      </w:pPr>
      <w:r>
        <w:rPr>
          <w:rFonts w:ascii="Courier New" w:cs="Courier New" w:eastAsia="Courier New" w:hAnsi="Courier New"/>
          <w:sz w:val="18"/>
          <w:szCs w:val="18"/>
        </w:rPr>
        <w:t xml:space="preserve">    vault_addr: https://vault.internal:8200</w:t>
      </w:r>
    </w:p>
    <w:p>
      <w:pPr>
        <w:shd w:fill="F5F5F5" w:val="clear"/>
        <w:spacing w:after="80"/>
        <w:ind w:left="360"/>
      </w:pPr>
      <w:r>
        <w:rPr>
          <w:rFonts w:ascii="Courier New" w:cs="Courier New" w:eastAsia="Courier New" w:hAnsi="Courier New"/>
          <w:sz w:val="18"/>
          <w:szCs w:val="18"/>
        </w:rPr>
        <w:t xml:space="preserve">    vault_path: secret/data/stc</w:t>
      </w:r>
    </w:p>
    <w:p>
      <w:pPr>
        <w:shd w:fill="F5F5F5" w:val="clear"/>
        <w:spacing w:after="80"/>
        <w:ind w:left="360"/>
      </w:pPr>
      <w:r>
        <w:rPr>
          <w:rFonts w:ascii="Courier New" w:cs="Courier New" w:eastAsia="Courier New" w:hAnsi="Courier New"/>
          <w:sz w:val="18"/>
          <w:szCs w:val="18"/>
        </w:rPr>
        <w:t xml:space="preserve">    auto_rotate: true</w:t>
      </w:r>
    </w:p>
    <w:p>
      <w:r>
        <w:br w:type="page"/>
      </w:r>
    </w:p>
    <w:p>
      <w:pPr>
        <w:pStyle w:val="Heading1"/>
        <w:spacing w:before="360" w:after="200"/>
      </w:pPr>
      <w:r>
        <w:rPr>
          <w:rFonts w:ascii="Arial" w:cs="Arial" w:eastAsia="Arial" w:hAnsi="Arial"/>
          <w:b/>
          <w:bCs/>
          <w:color w:val="8B0000"/>
          <w:sz w:val="36"/>
          <w:szCs w:val="36"/>
        </w:rPr>
        <w:t xml:space="preserve">4. Data Retention &amp; Destruction</w:t>
      </w:r>
    </w:p>
    <w:p>
      <w:pPr>
        <w:spacing w:after="80"/>
      </w:pPr>
    </w:p>
    <w:p>
      <w:pPr>
        <w:pStyle w:val="Heading2"/>
        <w:spacing w:before="280" w:after="160"/>
      </w:pPr>
      <w:r>
        <w:rPr>
          <w:rFonts w:ascii="Arial" w:cs="Arial" w:eastAsia="Arial" w:hAnsi="Arial"/>
          <w:b/>
          <w:bCs/>
          <w:color w:val="CC3333"/>
          <w:sz w:val="28"/>
          <w:szCs w:val="28"/>
        </w:rPr>
        <w:t xml:space="preserve">4.1 Retention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500"/>
        <w:gridCol w:w="1800"/>
        <w:gridCol w:w="2260"/>
      </w:tblGrid>
      <w:tr>
        <w:trPr>
          <w:tblHeader/>
        </w:trPr>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Data Type</w:t>
            </w:r>
          </w:p>
        </w:tc>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Storage Location</w:t>
            </w:r>
          </w:p>
        </w:tc>
        <w:tc>
          <w:tcPr>
            <w:tcW w:type="dxa" w:w="15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Default Retention</w:t>
            </w:r>
          </w:p>
        </w:tc>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Regulatory Driver</w:t>
            </w:r>
          </w:p>
        </w:tc>
        <w:tc>
          <w:tcPr>
            <w:tcW w:type="dxa" w:w="22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Destruction Method</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 Trail (JSONL/Parquet)</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audit-logs/</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365 days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FINRA 17a-4, SOX</w:t>
            </w:r>
          </w:p>
        </w:tc>
        <w:tc>
          <w:tcPr>
            <w:tcW w:type="dxa" w:w="22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Secure deletion after retention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 Embeddings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Qdrant vector store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 collection TTL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policy</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Collection purge + verification</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Prompt Versions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Langfuse</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365 days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AIUC-1 E (Accountability)</w:t>
            </w:r>
          </w:p>
        </w:tc>
        <w:tc>
          <w:tcPr>
            <w:tcW w:type="dxa" w:w="22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Version archival then deletion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Surrogate Token Maps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Local encrypted store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only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GDPR minimization</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Destroyed at session end</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Conversation Memory</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Session memory</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Session only</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GDPR, internal policy</w:t>
            </w:r>
          </w:p>
        </w:tc>
        <w:tc>
          <w:tcPr>
            <w:tcW w:type="dxa" w:w="22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Cleared at session end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Performance Traces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Arize Phoenix</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90 days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Operational</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Auto-purge after retention</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API Key Records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.stc_keys/</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Until revocation + 90 days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SOX audit trail</w:t>
            </w:r>
          </w:p>
        </w:tc>
        <w:tc>
          <w:tcPr>
            <w:tcW w:type="dxa" w:w="22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Secure deletion after retention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Firewall Event Logs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trail</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365 days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FINRA, AIUC-1 B</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Follows audit trail policy</w:t>
            </w:r>
          </w:p>
        </w:tc>
      </w:tr>
    </w:tbl>
    <w:p>
      <w:pPr>
        <w:spacing w:after="80"/>
      </w:pPr>
    </w:p>
    <w:p>
      <w:pPr>
        <w:pStyle w:val="Heading2"/>
        <w:spacing w:before="280" w:after="160"/>
      </w:pPr>
      <w:r>
        <w:rPr>
          <w:rFonts w:ascii="Arial" w:cs="Arial" w:eastAsia="Arial" w:hAnsi="Arial"/>
          <w:b/>
          <w:bCs/>
          <w:color w:val="CC3333"/>
          <w:sz w:val="28"/>
          <w:szCs w:val="28"/>
        </w:rPr>
        <w:t xml:space="preserve">4.2 Implementation: Retention Manager</w:t>
      </w:r>
    </w:p>
    <w:p>
      <w:pPr>
        <w:spacing w:after="120"/>
      </w:pPr>
      <w:r>
        <w:rPr>
          <w:rFonts w:ascii="Arial" w:cs="Arial" w:eastAsia="Arial" w:hAnsi="Arial"/>
          <w:b/>
          <w:bCs/>
          <w:sz w:val="22"/>
          <w:szCs w:val="22"/>
        </w:rPr>
        <w:t xml:space="preserve">Module: </w:t>
      </w:r>
      <w:r>
        <w:rPr>
          <w:rFonts w:ascii="Arial" w:cs="Arial" w:eastAsia="Arial" w:hAnsi="Arial"/>
          <w:sz w:val="22"/>
          <w:szCs w:val="22"/>
        </w:rPr>
        <w:t xml:space="preserve">operational/retention_manager.py (new)</w:t>
      </w:r>
    </w:p>
    <w:p>
      <w:pPr>
        <w:spacing w:after="120"/>
      </w:pPr>
      <w:r>
        <w:rPr>
          <w:rFonts w:ascii="Arial" w:cs="Arial" w:eastAsia="Arial" w:hAnsi="Arial"/>
          <w:sz w:val="22"/>
          <w:szCs w:val="22"/>
        </w:rPr>
        <w:t xml:space="preserve">The retention manager: runs on a configurable schedule (daily by default), checks all data stores against their retention policies, securely deletes expired data (overwrite + delete, not just unlink), logs all destruction events to the audit trail (the destruction record itself is retained), verifies destruction by attempting to read deleted data, provides a retention_report() for compliance evidence.</w:t>
      </w:r>
    </w:p>
    <w:p>
      <w:pPr>
        <w:spacing w:after="80"/>
      </w:pPr>
    </w:p>
    <w:p>
      <w:pPr>
        <w:shd w:fill="F5F5F5" w:val="clear"/>
        <w:spacing w:after="80"/>
        <w:ind w:left="360"/>
      </w:pPr>
      <w:r>
        <w:rPr>
          <w:rFonts w:ascii="Courier New" w:cs="Courier New" w:eastAsia="Courier New" w:hAnsi="Courier New"/>
          <w:sz w:val="18"/>
          <w:szCs w:val="18"/>
        </w:rPr>
        <w:t xml:space="preserve"># stc-spec.yaml</w:t>
      </w:r>
    </w:p>
    <w:p>
      <w:pPr>
        <w:shd w:fill="F5F5F5" w:val="clear"/>
        <w:spacing w:after="80"/>
        <w:ind w:left="360"/>
      </w:pPr>
      <w:r>
        <w:rPr>
          <w:rFonts w:ascii="Courier New" w:cs="Courier New" w:eastAsia="Courier New" w:hAnsi="Courier New"/>
          <w:sz w:val="18"/>
          <w:szCs w:val="18"/>
        </w:rPr>
        <w:t xml:space="preserve">data_retention:</w:t>
      </w:r>
    </w:p>
    <w:p>
      <w:pPr>
        <w:shd w:fill="F5F5F5" w:val="clear"/>
        <w:spacing w:after="80"/>
        <w:ind w:left="360"/>
      </w:pPr>
      <w:r>
        <w:rPr>
          <w:rFonts w:ascii="Courier New" w:cs="Courier New" w:eastAsia="Courier New" w:hAnsi="Courier New"/>
          <w:sz w:val="18"/>
          <w:szCs w:val="18"/>
        </w:rPr>
        <w:t xml:space="preserve">  audit_trail_days: 365</w:t>
      </w:r>
    </w:p>
    <w:p>
      <w:pPr>
        <w:shd w:fill="F5F5F5" w:val="clear"/>
        <w:spacing w:after="80"/>
        <w:ind w:left="360"/>
      </w:pPr>
      <w:r>
        <w:rPr>
          <w:rFonts w:ascii="Courier New" w:cs="Courier New" w:eastAsia="Courier New" w:hAnsi="Courier New"/>
          <w:sz w:val="18"/>
          <w:szCs w:val="18"/>
        </w:rPr>
        <w:t xml:space="preserve">  embeddings_days: 730</w:t>
      </w:r>
    </w:p>
    <w:p>
      <w:pPr>
        <w:shd w:fill="F5F5F5" w:val="clear"/>
        <w:spacing w:after="80"/>
        <w:ind w:left="360"/>
      </w:pPr>
      <w:r>
        <w:rPr>
          <w:rFonts w:ascii="Courier New" w:cs="Courier New" w:eastAsia="Courier New" w:hAnsi="Courier New"/>
          <w:sz w:val="18"/>
          <w:szCs w:val="18"/>
        </w:rPr>
        <w:t xml:space="preserve">  prompt_versions_days: 365</w:t>
      </w:r>
    </w:p>
    <w:p>
      <w:pPr>
        <w:shd w:fill="F5F5F5" w:val="clear"/>
        <w:spacing w:after="80"/>
        <w:ind w:left="360"/>
      </w:pPr>
      <w:r>
        <w:rPr>
          <w:rFonts w:ascii="Courier New" w:cs="Courier New" w:eastAsia="Courier New" w:hAnsi="Courier New"/>
          <w:sz w:val="18"/>
          <w:szCs w:val="18"/>
        </w:rPr>
        <w:t xml:space="preserve">  token_maps: session_only</w:t>
      </w:r>
    </w:p>
    <w:p>
      <w:pPr>
        <w:shd w:fill="F5F5F5" w:val="clear"/>
        <w:spacing w:after="80"/>
        <w:ind w:left="360"/>
      </w:pPr>
      <w:r>
        <w:rPr>
          <w:rFonts w:ascii="Courier New" w:cs="Courier New" w:eastAsia="Courier New" w:hAnsi="Courier New"/>
          <w:sz w:val="18"/>
          <w:szCs w:val="18"/>
        </w:rPr>
        <w:t xml:space="preserve">  performance_traces_days: 90</w:t>
      </w:r>
    </w:p>
    <w:p>
      <w:pPr>
        <w:shd w:fill="F5F5F5" w:val="clear"/>
        <w:spacing w:after="80"/>
        <w:ind w:left="360"/>
      </w:pPr>
      <w:r>
        <w:rPr>
          <w:rFonts w:ascii="Courier New" w:cs="Courier New" w:eastAsia="Courier New" w:hAnsi="Courier New"/>
          <w:sz w:val="18"/>
          <w:szCs w:val="18"/>
        </w:rPr>
        <w:t xml:space="preserve">  destruction_verification: true</w:t>
      </w:r>
    </w:p>
    <w:p>
      <w:pPr>
        <w:shd w:fill="F5F5F5" w:val="clear"/>
        <w:spacing w:after="80"/>
        <w:ind w:left="360"/>
      </w:pPr>
      <w:r>
        <w:rPr>
          <w:rFonts w:ascii="Courier New" w:cs="Courier New" w:eastAsia="Courier New" w:hAnsi="Courier New"/>
          <w:sz w:val="18"/>
          <w:szCs w:val="18"/>
        </w:rPr>
        <w:t xml:space="preserve">  destruction_method: secure_overwrite  # secure_overwrite | crypto_erase</w:t>
      </w:r>
    </w:p>
    <w:p>
      <w:r>
        <w:br w:type="page"/>
      </w:r>
    </w:p>
    <w:p>
      <w:pPr>
        <w:pStyle w:val="Heading1"/>
        <w:spacing w:before="360" w:after="200"/>
      </w:pPr>
      <w:r>
        <w:rPr>
          <w:rFonts w:ascii="Arial" w:cs="Arial" w:eastAsia="Arial" w:hAnsi="Arial"/>
          <w:b/>
          <w:bCs/>
          <w:color w:val="8B0000"/>
          <w:sz w:val="36"/>
          <w:szCs w:val="36"/>
        </w:rPr>
        <w:t xml:space="preserve">5. Network Segmentation</w:t>
      </w:r>
    </w:p>
    <w:p>
      <w:pPr>
        <w:spacing w:after="80"/>
      </w:pPr>
    </w:p>
    <w:p>
      <w:pPr>
        <w:pStyle w:val="Heading2"/>
        <w:spacing w:before="280" w:after="160"/>
      </w:pPr>
      <w:r>
        <w:rPr>
          <w:rFonts w:ascii="Arial" w:cs="Arial" w:eastAsia="Arial" w:hAnsi="Arial"/>
          <w:b/>
          <w:bCs/>
          <w:color w:val="CC3333"/>
          <w:sz w:val="28"/>
          <w:szCs w:val="28"/>
        </w:rPr>
        <w:t xml:space="preserve">5.1 Reference Network Architecture</w:t>
      </w:r>
    </w:p>
    <w:p>
      <w:pPr>
        <w:spacing w:after="120"/>
      </w:pPr>
      <w:r>
        <w:rPr>
          <w:rFonts w:ascii="Arial" w:cs="Arial" w:eastAsia="Arial" w:hAnsi="Arial"/>
          <w:sz w:val="22"/>
          <w:szCs w:val="22"/>
        </w:rPr>
        <w:t xml:space="preserve">In production, STC components should be deployed on isolated network segments: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960"/>
      </w:tblGrid>
      <w:tr>
        <w:trPr>
          <w:tblHeader/>
        </w:trPr>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Segment</w:t>
            </w:r>
          </w:p>
        </w:tc>
        <w:tc>
          <w:tcPr>
            <w:tcW w:type="dxa" w:w="24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Allowed Inbound</w:t>
            </w:r>
          </w:p>
        </w:tc>
        <w:tc>
          <w:tcPr>
            <w:tcW w:type="dxa" w:w="29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Allowed Outbound</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DMZ / Edge</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Runtime Firewall, Load Balancer</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Users (HTTPS)</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Application Tier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Application Tier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Stalwart, Critic, Trainer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DMZ only</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Sentinel Tier, Data Tier</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Sentinel Tier</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Gateway, Auth, Data Security</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Application Tier</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External LLM APIs (filtered), Data Tier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Tier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Qdrant, Langfuse DB, Audit Store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Sentinel Tier, Application Tier</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(no egress)</w:t>
            </w:r>
          </w:p>
        </w:tc>
      </w:tr>
      <w:tr>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Observability Tier</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Phoenix, Langfuse UI</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Application Tier (trace ingestion)</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 export (S3/NFS)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Management Tier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Operator dashboards, Vault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Operator workstations (VPN)</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tiers (read-only)</w:t>
            </w:r>
          </w:p>
        </w:tc>
      </w:tr>
    </w:tbl>
    <w:p>
      <w:pPr>
        <w:spacing w:after="80"/>
      </w:pPr>
    </w:p>
    <w:p>
      <w:pPr>
        <w:spacing w:before="200" w:after="120"/>
      </w:pPr>
      <w:r>
        <w:rPr>
          <w:rFonts w:ascii="Arial" w:cs="Arial" w:eastAsia="Arial" w:hAnsi="Arial"/>
          <w:b/>
          <w:bCs/>
          <w:color w:val="8B0000"/>
          <w:sz w:val="24"/>
          <w:szCs w:val="24"/>
        </w:rPr>
        <w:t xml:space="preserve">Critical Segmentation Rules</w:t>
      </w:r>
    </w:p>
    <w:p>
      <w:pPr>
        <w:spacing w:after="120"/>
      </w:pPr>
      <w:r>
        <w:rPr>
          <w:rFonts w:ascii="Arial" w:cs="Arial" w:eastAsia="Arial" w:hAnsi="Arial"/>
          <w:sz w:val="22"/>
          <w:szCs w:val="22"/>
        </w:rPr>
        <w:t xml:space="preserve">The Data Tier has NO outbound internet access. This is the architectural guarantee that proprietary data cannot leave the boundary through any path.</w:t>
      </w:r>
    </w:p>
    <w:p>
      <w:pPr>
        <w:spacing w:after="120"/>
      </w:pPr>
      <w:r>
        <w:rPr>
          <w:rFonts w:ascii="Arial" w:cs="Arial" w:eastAsia="Arial" w:hAnsi="Arial"/>
          <w:sz w:val="22"/>
          <w:szCs w:val="22"/>
        </w:rPr>
        <w:t xml:space="preserve">The Stalwart cannot directly reach external LLM providers. All LLM traffic flows through the Sentinel Tier’s gateway, which enforces data tier classification and PII redaction.</w:t>
      </w:r>
    </w:p>
    <w:p>
      <w:pPr>
        <w:spacing w:after="120"/>
      </w:pPr>
      <w:r>
        <w:rPr>
          <w:rFonts w:ascii="Arial" w:cs="Arial" w:eastAsia="Arial" w:hAnsi="Arial"/>
          <w:sz w:val="22"/>
          <w:szCs w:val="22"/>
        </w:rPr>
        <w:t xml:space="preserve">The Audit Store is append-only from the Application and Sentinel tiers. No component can delete audit records through the network.</w:t>
      </w:r>
    </w:p>
    <w:p>
      <w:r>
        <w:br w:type="page"/>
      </w:r>
    </w:p>
    <w:p>
      <w:pPr>
        <w:pStyle w:val="Heading1"/>
        <w:spacing w:before="360" w:after="200"/>
      </w:pPr>
      <w:r>
        <w:rPr>
          <w:rFonts w:ascii="Arial" w:cs="Arial" w:eastAsia="Arial" w:hAnsi="Arial"/>
          <w:b/>
          <w:bCs/>
          <w:color w:val="8B0000"/>
          <w:sz w:val="36"/>
          <w:szCs w:val="36"/>
        </w:rPr>
        <w:t xml:space="preserve">6. Encryption Requirements</w:t>
      </w:r>
    </w:p>
    <w:p>
      <w:pPr>
        <w:spacing w:after="80"/>
      </w:pPr>
    </w:p>
    <w:p>
      <w:pPr>
        <w:pStyle w:val="Heading2"/>
        <w:spacing w:before="280" w:after="160"/>
      </w:pPr>
      <w:r>
        <w:rPr>
          <w:rFonts w:ascii="Arial" w:cs="Arial" w:eastAsia="Arial" w:hAnsi="Arial"/>
          <w:b/>
          <w:bCs/>
          <w:color w:val="CC3333"/>
          <w:sz w:val="28"/>
          <w:szCs w:val="28"/>
        </w:rPr>
        <w:t xml:space="preserve">6.1 Encryption at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400"/>
        <w:gridCol w:w="2760"/>
      </w:tblGrid>
      <w:tr>
        <w:trPr>
          <w:tblHeader/>
        </w:trPr>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Data Store</w:t>
            </w:r>
          </w:p>
        </w:tc>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c>
          <w:tcPr>
            <w:tcW w:type="dxa" w:w="24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27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 Trail (JSONL)</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Plaintext on disk</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AES-256 encrypted filesystem</w:t>
            </w:r>
          </w:p>
        </w:tc>
        <w:tc>
          <w:tcPr>
            <w:tcW w:type="dxa" w:w="27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LUKS / dm-crypt or cloud KMS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Vector Store (Qdrant)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Plaintext on disk</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Encrypted volume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Qdrant on encrypted EBS/PV</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Surrogate Token Map</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Plaintext JSON</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AES-256 encrypted file</w:t>
            </w:r>
          </w:p>
        </w:tc>
        <w:tc>
          <w:tcPr>
            <w:tcW w:type="dxa" w:w="27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sentinel/secrets.py encryption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API Key Store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SHA-256 hashed (good)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Hashed + encrypted file</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Vault storage or encrypted FS</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Langfuse Database</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PostgreSQL default</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TDE or encrypted volume</w:t>
            </w:r>
          </w:p>
        </w:tc>
        <w:tc>
          <w:tcPr>
            <w:tcW w:type="dxa" w:w="27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PostgreSQL pgcrypto / encrypted EBS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Casbin Policy Files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Plaintext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Encrypted or Vault-backed</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Vault KV or encrypted FS</w:t>
            </w:r>
          </w:p>
        </w:tc>
      </w:tr>
    </w:tbl>
    <w:p>
      <w:pPr>
        <w:spacing w:after="80"/>
      </w:pPr>
    </w:p>
    <w:p>
      <w:pPr>
        <w:pStyle w:val="Heading2"/>
        <w:spacing w:before="280" w:after="160"/>
      </w:pPr>
      <w:r>
        <w:rPr>
          <w:rFonts w:ascii="Arial" w:cs="Arial" w:eastAsia="Arial" w:hAnsi="Arial"/>
          <w:b/>
          <w:bCs/>
          <w:color w:val="CC3333"/>
          <w:sz w:val="28"/>
          <w:szCs w:val="28"/>
        </w:rPr>
        <w:t xml:space="preserve">6.2 Encryption in Transit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200"/>
        <w:gridCol w:w="2960"/>
      </w:tblGrid>
      <w:tr>
        <w:trPr>
          <w:tblHeader/>
        </w:trPr>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Connection</w:t>
            </w:r>
          </w:p>
        </w:tc>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29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User → STC</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HTTP (dev)</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TLS 1.3</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Reverse proxy (nginx/envoy) with TLS termination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STC → LLM Provider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HTTPS (via SDK)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1.2+ (already met)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Enforced by provider SDKs</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STC → Qdrant</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HTTP (local)</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TLS if remote</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Qdrant TLS configuration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STC → Phoenix</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 (local)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TLS if remote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Phoenix OTLP/HTTPS endpoint</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STC → Langfuse</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HTTP (local)</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TLS if remote</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Langfuse HTTPS configuration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STC → Vault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mTLS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Vault TLS + client certificates</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Inter-component</w:t>
            </w:r>
          </w:p>
        </w:tc>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Plaintext (docker network)</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mTLS in production</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Service mesh (Istio/Linkerd) or manual TLS</w:t>
            </w:r>
          </w:p>
        </w:tc>
      </w:tr>
    </w:tbl>
    <w:p>
      <w:r>
        <w:br w:type="page"/>
      </w:r>
    </w:p>
    <w:p>
      <w:pPr>
        <w:pStyle w:val="Heading1"/>
        <w:spacing w:before="360" w:after="200"/>
      </w:pPr>
      <w:r>
        <w:rPr>
          <w:rFonts w:ascii="Arial" w:cs="Arial" w:eastAsia="Arial" w:hAnsi="Arial"/>
          <w:b/>
          <w:bCs/>
          <w:color w:val="8B0000"/>
          <w:sz w:val="36"/>
          <w:szCs w:val="36"/>
        </w:rPr>
        <w:t xml:space="preserve">7. Supply Chain Security</w:t>
      </w:r>
    </w:p>
    <w:p>
      <w:pPr>
        <w:spacing w:after="80"/>
      </w:pPr>
    </w:p>
    <w:p>
      <w:pPr>
        <w:pStyle w:val="Heading2"/>
        <w:spacing w:before="280" w:after="160"/>
      </w:pPr>
      <w:r>
        <w:rPr>
          <w:rFonts w:ascii="Arial" w:cs="Arial" w:eastAsia="Arial" w:hAnsi="Arial"/>
          <w:b/>
          <w:bCs/>
          <w:color w:val="CC3333"/>
          <w:sz w:val="28"/>
          <w:szCs w:val="28"/>
        </w:rPr>
        <w:t xml:space="preserve">7.1 Model Provenance</w:t>
      </w:r>
    </w:p>
    <w:p>
      <w:pPr>
        <w:spacing w:after="120"/>
      </w:pPr>
      <w:r>
        <w:rPr>
          <w:rFonts w:ascii="Arial" w:cs="Arial" w:eastAsia="Arial" w:hAnsi="Arial"/>
          <w:sz w:val="22"/>
          <w:szCs w:val="22"/>
        </w:rPr>
        <w:t xml:space="preserve">Every ML model used in STC (PromptGuard, BGE embeddings, local LLMs) should be verified before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860"/>
        <w:gridCol w:w="3000"/>
      </w:tblGrid>
      <w:tr>
        <w:trPr>
          <w:tblHeader/>
        </w:trPr>
        <w:tc>
          <w:tcPr>
            <w:tcW w:type="dxa" w:w="25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Verification</w:t>
            </w:r>
          </w:p>
        </w:tc>
        <w:tc>
          <w:tcPr>
            <w:tcW w:type="dxa" w:w="38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What It Checks</w:t>
            </w:r>
          </w:p>
        </w:tc>
        <w:tc>
          <w:tcPr>
            <w:tcW w:type="dxa" w:w="3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Tool</w:t>
            </w:r>
          </w:p>
        </w:tc>
      </w:tr>
      <w:tr>
        <w:tc>
          <w:tcPr>
            <w:tcW w:type="dxa" w:w="2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Checksum Validation</w:t>
            </w:r>
          </w:p>
        </w:tc>
        <w:tc>
          <w:tcPr>
            <w:tcW w:type="dxa" w:w="38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Model file matches published hash</w:t>
            </w:r>
          </w:p>
        </w:tc>
        <w:tc>
          <w:tcPr>
            <w:tcW w:type="dxa" w:w="3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sha256sum against HuggingFace model card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 Verification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downloaded from official repository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HuggingFace Hub verified organizations</w:t>
            </w:r>
          </w:p>
        </w:tc>
      </w:tr>
      <w:tr>
        <w:tc>
          <w:tcPr>
            <w:tcW w:type="dxa" w:w="2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Model Card Review</w:t>
            </w:r>
          </w:p>
        </w:tc>
        <w:tc>
          <w:tcPr>
            <w:tcW w:type="dxa" w:w="38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Training data, known biases, limitations documented</w:t>
            </w:r>
          </w:p>
        </w:tc>
        <w:tc>
          <w:tcPr>
            <w:tcW w:type="dxa" w:w="3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Manual review before deployment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Signature Verification</w:t>
            </w:r>
          </w:p>
        </w:tc>
        <w:tc>
          <w:tcPr>
            <w:tcW w:type="dxa" w:w="3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Cryptographic signature from model publisher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Sigstore / cosign (where available)</w:t>
            </w:r>
          </w:p>
        </w:tc>
      </w:tr>
    </w:tbl>
    <w:p>
      <w:pPr>
        <w:spacing w:after="80"/>
      </w:pPr>
    </w:p>
    <w:p>
      <w:pPr>
        <w:pStyle w:val="Heading2"/>
        <w:spacing w:before="280" w:after="160"/>
      </w:pPr>
      <w:r>
        <w:rPr>
          <w:rFonts w:ascii="Arial" w:cs="Arial" w:eastAsia="Arial" w:hAnsi="Arial"/>
          <w:b/>
          <w:bCs/>
          <w:color w:val="CC3333"/>
          <w:sz w:val="28"/>
          <w:szCs w:val="28"/>
        </w:rPr>
        <w:t xml:space="preserve">7.2 Dependency Security</w:t>
      </w:r>
    </w:p>
    <w:p>
      <w:pPr>
        <w:spacing w:after="120"/>
      </w:pPr>
      <w:r>
        <w:rPr>
          <w:rFonts w:ascii="Arial" w:cs="Arial" w:eastAsia="Arial" w:hAnsi="Arial"/>
          <w:sz w:val="22"/>
          <w:szCs w:val="22"/>
        </w:rPr>
        <w:t xml:space="preserve">SBOM Generation: Generate a Software Bill of Materials for every STC deployment using syft or cyclonedx-python. Vulnerability Scanning: Scan all dependencies with trivy, grype, or Dependabot. Pin all dependency versions in requirements.txt (already done). Run pip-audit on every CI/CD build.</w:t>
      </w:r>
    </w:p>
    <w:p>
      <w:pPr>
        <w:spacing w:after="80"/>
      </w:pPr>
    </w:p>
    <w:p>
      <w:pPr>
        <w:shd w:fill="F5F5F5" w:val="clear"/>
        <w:spacing w:after="80"/>
        <w:ind w:left="360"/>
      </w:pPr>
      <w:r>
        <w:rPr>
          <w:rFonts w:ascii="Courier New" w:cs="Courier New" w:eastAsia="Courier New" w:hAnsi="Courier New"/>
          <w:sz w:val="18"/>
          <w:szCs w:val="18"/>
        </w:rPr>
        <w:t xml:space="preserve"># Generate SBOM</w:t>
      </w:r>
    </w:p>
    <w:p>
      <w:pPr>
        <w:shd w:fill="F5F5F5" w:val="clear"/>
        <w:spacing w:after="80"/>
        <w:ind w:left="360"/>
      </w:pPr>
      <w:r>
        <w:rPr>
          <w:rFonts w:ascii="Courier New" w:cs="Courier New" w:eastAsia="Courier New" w:hAnsi="Courier New"/>
          <w:sz w:val="18"/>
          <w:szCs w:val="18"/>
        </w:rPr>
        <w:t xml:space="preserve">syft dir:. -o cyclonedx-json &gt; sbom.json</w:t>
      </w:r>
    </w:p>
    <w:p>
      <w:pPr>
        <w:shd w:fill="F5F5F5" w:val="clear"/>
        <w:spacing w:after="80"/>
        <w:ind w:left="360"/>
      </w:pPr>
      <w:r>
        <w:rPr>
          <w:rFonts w:ascii="Courier New" w:cs="Courier New" w:eastAsia="Courier New" w:hAnsi="Courier New"/>
          <w:sz w:val="18"/>
          <w:szCs w:val="18"/>
        </w:rPr>
        <w:t xml:space="preserve"/>
      </w:r>
    </w:p>
    <w:p>
      <w:pPr>
        <w:shd w:fill="F5F5F5" w:val="clear"/>
        <w:spacing w:after="80"/>
        <w:ind w:left="360"/>
      </w:pPr>
      <w:r>
        <w:rPr>
          <w:rFonts w:ascii="Courier New" w:cs="Courier New" w:eastAsia="Courier New" w:hAnsi="Courier New"/>
          <w:sz w:val="18"/>
          <w:szCs w:val="18"/>
        </w:rPr>
        <w:t xml:space="preserve"># Scan for vulnerabilities</w:t>
      </w:r>
    </w:p>
    <w:p>
      <w:pPr>
        <w:shd w:fill="F5F5F5" w:val="clear"/>
        <w:spacing w:after="80"/>
        <w:ind w:left="360"/>
      </w:pPr>
      <w:r>
        <w:rPr>
          <w:rFonts w:ascii="Courier New" w:cs="Courier New" w:eastAsia="Courier New" w:hAnsi="Courier New"/>
          <w:sz w:val="18"/>
          <w:szCs w:val="18"/>
        </w:rPr>
        <w:t xml:space="preserve">grype sbom:sbom.json</w:t>
      </w:r>
    </w:p>
    <w:p>
      <w:pPr>
        <w:shd w:fill="F5F5F5" w:val="clear"/>
        <w:spacing w:after="80"/>
        <w:ind w:left="360"/>
      </w:pPr>
      <w:r>
        <w:rPr>
          <w:rFonts w:ascii="Courier New" w:cs="Courier New" w:eastAsia="Courier New" w:hAnsi="Courier New"/>
          <w:sz w:val="18"/>
          <w:szCs w:val="18"/>
        </w:rPr>
        <w:t xml:space="preserve"/>
      </w:r>
    </w:p>
    <w:p>
      <w:pPr>
        <w:shd w:fill="F5F5F5" w:val="clear"/>
        <w:spacing w:after="80"/>
        <w:ind w:left="360"/>
      </w:pPr>
      <w:r>
        <w:rPr>
          <w:rFonts w:ascii="Courier New" w:cs="Courier New" w:eastAsia="Courier New" w:hAnsi="Courier New"/>
          <w:sz w:val="18"/>
          <w:szCs w:val="18"/>
        </w:rPr>
        <w:t xml:space="preserve"># Audit Python dependencies</w:t>
      </w:r>
    </w:p>
    <w:p>
      <w:pPr>
        <w:shd w:fill="F5F5F5" w:val="clear"/>
        <w:spacing w:after="80"/>
        <w:ind w:left="360"/>
      </w:pPr>
      <w:r>
        <w:rPr>
          <w:rFonts w:ascii="Courier New" w:cs="Courier New" w:eastAsia="Courier New" w:hAnsi="Courier New"/>
          <w:sz w:val="18"/>
          <w:szCs w:val="18"/>
        </w:rPr>
        <w:t xml:space="preserve">pip-audit -r requirements.txt</w:t>
      </w:r>
    </w:p>
    <w:p>
      <w:r>
        <w:br w:type="page"/>
      </w:r>
    </w:p>
    <w:p>
      <w:pPr>
        <w:pStyle w:val="Heading1"/>
        <w:spacing w:before="360" w:after="200"/>
      </w:pPr>
      <w:r>
        <w:rPr>
          <w:rFonts w:ascii="Arial" w:cs="Arial" w:eastAsia="Arial" w:hAnsi="Arial"/>
          <w:b/>
          <w:bCs/>
          <w:color w:val="8B0000"/>
          <w:sz w:val="36"/>
          <w:szCs w:val="36"/>
        </w:rPr>
        <w:t xml:space="preserve">8. Session Isolation</w:t>
      </w:r>
    </w:p>
    <w:p>
      <w:pPr>
        <w:spacing w:after="120"/>
      </w:pPr>
      <w:r>
        <w:rPr>
          <w:rFonts w:ascii="Arial" w:cs="Arial" w:eastAsia="Arial" w:hAnsi="Arial"/>
          <w:sz w:val="22"/>
          <w:szCs w:val="22"/>
        </w:rPr>
        <w:t xml:space="preserve">STC must guarantee that data from one user’s session cannot leak into another user’s response. This requires isolation at three levels: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60"/>
        <w:gridCol w:w="3800"/>
      </w:tblGrid>
      <w:tr>
        <w:trPr>
          <w:tblHeader/>
        </w:trPr>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Isolation Level</w:t>
            </w:r>
          </w:p>
        </w:tc>
        <w:tc>
          <w:tcPr>
            <w:tcW w:type="dxa" w:w="3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What It Protects</w:t>
            </w:r>
          </w:p>
        </w:tc>
        <w:tc>
          <w:tcPr>
            <w:tcW w:type="dxa" w:w="3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Memory Isolation</w:t>
            </w:r>
          </w:p>
        </w:tc>
        <w:tc>
          <w:tcPr>
            <w:tcW w:type="dxa" w:w="3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Conversation context doesn’t cross sessions</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Per-session state in LangGraph; memory cleared at session end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Vector Store Isolation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A’s documents not retrieved for User B</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Per-tenant collections in Qdrant or metadata filtering</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Surrogate Token Isolation</w:t>
            </w:r>
          </w:p>
        </w:tc>
        <w:tc>
          <w:tcPr>
            <w:tcW w:type="dxa" w:w="3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Token maps are session-scoped</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Token map created and destroyed per session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Trace Isolation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events tagged with session/user 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Session ID in all OTel span attributes</w:t>
            </w:r>
          </w:p>
        </w:tc>
      </w:tr>
      <w:tr>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Gateway Key Isolation</w:t>
            </w:r>
          </w:p>
        </w:tc>
        <w:tc>
          <w:tcPr>
            <w:tcW w:type="dxa" w:w="3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Per-user or per-session virtual keys</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LiteLLM/Kong virtual keys per session</w:t>
            </w:r>
          </w:p>
        </w:tc>
      </w:tr>
    </w:tbl>
    <w:p>
      <w:pPr>
        <w:spacing w:after="80"/>
      </w:pPr>
    </w:p>
    <w:p>
      <w:pPr>
        <w:spacing w:after="120"/>
      </w:pPr>
      <w:r>
        <w:rPr>
          <w:rFonts w:ascii="Arial" w:cs="Arial" w:eastAsia="Arial" w:hAnsi="Arial"/>
          <w:sz w:val="22"/>
          <w:szCs w:val="22"/>
        </w:rPr>
        <w:t xml:space="preserve">For multi-tenant deployments: use Qdrant’s collection-per-tenant or payload filtering with tenant_id. Configure the Sentinel gateway with per-tenant virtual keys. Tag all audit events with tenant_id for compliance isolation.</w:t>
      </w:r>
    </w:p>
    <w:p>
      <w:r>
        <w:br w:type="page"/>
      </w:r>
    </w:p>
    <w:p>
      <w:pPr>
        <w:pStyle w:val="Heading1"/>
        <w:spacing w:before="360" w:after="200"/>
      </w:pPr>
      <w:r>
        <w:rPr>
          <w:rFonts w:ascii="Arial" w:cs="Arial" w:eastAsia="Arial" w:hAnsi="Arial"/>
          <w:b/>
          <w:bCs/>
          <w:color w:val="8B0000"/>
          <w:sz w:val="36"/>
          <w:szCs w:val="36"/>
        </w:rPr>
        <w:t xml:space="preserve">9. Business Continuity &amp; Disaster Recovery</w:t>
      </w:r>
    </w:p>
    <w:p>
      <w:pPr>
        <w:spacing w:after="80"/>
      </w:pPr>
    </w:p>
    <w:p>
      <w:pPr>
        <w:pStyle w:val="Heading2"/>
        <w:spacing w:before="280" w:after="160"/>
      </w:pPr>
      <w:r>
        <w:rPr>
          <w:rFonts w:ascii="Arial" w:cs="Arial" w:eastAsia="Arial" w:hAnsi="Arial"/>
          <w:b/>
          <w:bCs/>
          <w:color w:val="CC3333"/>
          <w:sz w:val="28"/>
          <w:szCs w:val="28"/>
        </w:rPr>
        <w:t xml:space="preserve">9.1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600"/>
        <w:gridCol w:w="2560"/>
      </w:tblGrid>
      <w:tr>
        <w:trPr>
          <w:tblHeader/>
        </w:trPr>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Component Failure</w:t>
            </w:r>
          </w:p>
        </w:tc>
        <w:tc>
          <w:tcPr>
            <w:tcW w:type="dxa" w:w="2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26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STC Response</w:t>
            </w:r>
          </w:p>
        </w:tc>
        <w:tc>
          <w:tcPr>
            <w:tcW w:type="dxa" w:w="25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Recovery</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Critic service down</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No governance on outputs</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MUST halt Stalwart (fail-closed)</w:t>
            </w:r>
          </w:p>
        </w:tc>
        <w:tc>
          <w:tcPr>
            <w:tcW w:type="dxa" w:w="25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Restart Critic, verify health, resume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Gateway down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LLM access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Stalwart returns service unavailable</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Gateway auto-restart, fallback chain</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Vector store down</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No document retrieval</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Stalwart returns “no context available”</w:t>
            </w:r>
          </w:p>
        </w:tc>
        <w:tc>
          <w:tcPr>
            <w:tcW w:type="dxa" w:w="25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Qdrant snapshot restore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Phoenix down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trace collection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Stalwart continues but traces are lost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Buffer traces locally, replay on recovery</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Vault down</w:t>
            </w:r>
          </w:p>
        </w:tc>
        <w:tc>
          <w:tcPr>
            <w:tcW w:type="dxa" w:w="2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No secret rotation</w:t>
            </w:r>
          </w:p>
        </w:tc>
        <w:tc>
          <w:tcPr>
            <w:tcW w:type="dxa" w:w="26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Continue with cached secrets (time-limited)</w:t>
            </w:r>
          </w:p>
        </w:tc>
        <w:tc>
          <w:tcPr>
            <w:tcW w:type="dxa" w:w="25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Vault HA cluster, auto-unseal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infrastructure down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Full outage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Circuit breaker, graceful shutdown</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 site activation, restore from backups</w:t>
            </w:r>
          </w:p>
        </w:tc>
      </w:tr>
    </w:tbl>
    <w:p>
      <w:pPr>
        <w:spacing w:after="80"/>
      </w:pPr>
    </w:p>
    <w:p>
      <w:pPr>
        <w:spacing w:before="200" w:after="120"/>
      </w:pPr>
      <w:r>
        <w:rPr>
          <w:rFonts w:ascii="Arial" w:cs="Arial" w:eastAsia="Arial" w:hAnsi="Arial"/>
          <w:b/>
          <w:bCs/>
          <w:color w:val="8B0000"/>
          <w:sz w:val="24"/>
          <w:szCs w:val="24"/>
        </w:rPr>
        <w:t xml:space="preserve">Fail-Closed Principle</w:t>
      </w:r>
    </w:p>
    <w:p>
      <w:pPr>
        <w:spacing w:after="120"/>
      </w:pPr>
      <w:r>
        <w:rPr>
          <w:rFonts w:ascii="Arial" w:cs="Arial" w:eastAsia="Arial" w:hAnsi="Arial"/>
          <w:sz w:val="22"/>
          <w:szCs w:val="22"/>
        </w:rPr>
        <w:t xml:space="preserve">If the Critic is unavailable, the Stalwart MUST NOT continue serving responses without governance. This is the fail-closed principle — the system fails safe rather than failing open. The same applies to the Runtime Firewall: if LlamaFirewall is down, the regex fallback activates but the system logs a degraded-security warning.</w:t>
      </w:r>
    </w:p>
    <w:p>
      <w:pPr>
        <w:spacing w:after="80"/>
      </w:pPr>
    </w:p>
    <w:p>
      <w:pPr>
        <w:pStyle w:val="Heading2"/>
        <w:spacing w:before="280" w:after="160"/>
      </w:pPr>
      <w:r>
        <w:rPr>
          <w:rFonts w:ascii="Arial" w:cs="Arial" w:eastAsia="Arial" w:hAnsi="Arial"/>
          <w:b/>
          <w:bCs/>
          <w:color w:val="CC3333"/>
          <w:sz w:val="28"/>
          <w:szCs w:val="28"/>
        </w:rPr>
        <w:t xml:space="preserve">9.2 Backup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200"/>
        <w:gridCol w:w="1400"/>
        <w:gridCol w:w="2360"/>
      </w:tblGrid>
      <w:tr>
        <w:trPr>
          <w:tblHeader/>
        </w:trPr>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Data</w:t>
            </w:r>
          </w:p>
        </w:tc>
        <w:tc>
          <w:tcPr>
            <w:tcW w:type="dxa" w:w="24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Backup Method</w:t>
            </w:r>
          </w:p>
        </w:tc>
        <w:tc>
          <w:tcPr>
            <w:tcW w:type="dxa" w:w="1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14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RTO</w:t>
            </w:r>
          </w:p>
        </w:tc>
        <w:tc>
          <w:tcPr>
            <w:tcW w:type="dxa" w:w="23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RPO</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 Trail</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Parquet export to S3/NFS</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Daily</w:t>
            </w:r>
          </w:p>
        </w:tc>
        <w:tc>
          <w:tcPr>
            <w:tcW w:type="dxa" w:w="1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&lt; 1 hour</w:t>
            </w:r>
          </w:p>
        </w:tc>
        <w:tc>
          <w:tcPr>
            <w:tcW w:type="dxa" w:w="2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&lt; 24 hours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Vector Store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Qdrant snapshots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Daily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 hours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24 hours</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Declarative Spec</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Git version control</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Every change</w:t>
            </w:r>
          </w:p>
        </w:tc>
        <w:tc>
          <w:tcPr>
            <w:tcW w:type="dxa" w:w="1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&lt; 5 min</w:t>
            </w:r>
          </w:p>
        </w:tc>
        <w:tc>
          <w:tcPr>
            <w:tcW w:type="dxa" w:w="2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Zero (git history)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Prompt Registry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Langfuse DB backup</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Daily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1 hour</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&lt; 24 hours</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Casbin Policies</w:t>
            </w:r>
          </w:p>
        </w:tc>
        <w:tc>
          <w:tcPr>
            <w:tcW w:type="dxa" w:w="2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Git version control</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Every change</w:t>
            </w:r>
          </w:p>
        </w:tc>
        <w:tc>
          <w:tcPr>
            <w:tcW w:type="dxa" w:w="14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&lt; 5 min</w:t>
            </w:r>
          </w:p>
        </w:tc>
        <w:tc>
          <w:tcPr>
            <w:tcW w:type="dxa" w:w="23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Zero</w:t>
            </w:r>
          </w:p>
        </w:tc>
      </w:tr>
    </w:tbl>
    <w:p>
      <w:r>
        <w:br w:type="page"/>
      </w:r>
    </w:p>
    <w:p>
      <w:pPr>
        <w:pStyle w:val="Heading1"/>
        <w:spacing w:before="360" w:after="200"/>
      </w:pPr>
      <w:r>
        <w:rPr>
          <w:rFonts w:ascii="Arial" w:cs="Arial" w:eastAsia="Arial" w:hAnsi="Arial"/>
          <w:b/>
          <w:bCs/>
          <w:color w:val="8B0000"/>
          <w:sz w:val="36"/>
          <w:szCs w:val="36"/>
        </w:rPr>
        <w:t xml:space="preserve">10. Infrastructure Security Testing</w:t>
      </w:r>
    </w:p>
    <w:p>
      <w:pPr>
        <w:spacing w:after="120"/>
      </w:pPr>
      <w:r>
        <w:rPr>
          <w:rFonts w:ascii="Arial" w:cs="Arial" w:eastAsia="Arial" w:hAnsi="Arial"/>
          <w:sz w:val="22"/>
          <w:szCs w:val="22"/>
        </w:rPr>
        <w:t xml:space="preserve">Beyond LLM-specific adversarial testing (covered in the adversarial/ module), STC requires infrastructure-level security testing:</w:t>
      </w:r>
    </w:p>
    <w:p>
      <w:pPr>
        <w:spacing w:after="80"/>
      </w:pPr>
    </w:p>
    <w:p>
      <w:pPr>
        <w:pStyle w:val="Heading2"/>
        <w:spacing w:before="280" w:after="160"/>
      </w:pPr>
      <w:r>
        <w:rPr>
          <w:rFonts w:ascii="Arial" w:cs="Arial" w:eastAsia="Arial" w:hAnsi="Arial"/>
          <w:b/>
          <w:bCs/>
          <w:color w:val="CC3333"/>
          <w:sz w:val="28"/>
          <w:szCs w:val="28"/>
        </w:rPr>
        <w:t xml:space="preserve">10.1 Penetration Testing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1200"/>
        <w:gridCol w:w="2660"/>
      </w:tblGrid>
      <w:tr>
        <w:trPr>
          <w:tblHeader/>
        </w:trPr>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35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What It Validates</w:t>
            </w:r>
          </w:p>
        </w:tc>
        <w:tc>
          <w:tcPr>
            <w:tcW w:type="dxa" w:w="1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26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Tool</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Sentinel Bypass</w:t>
            </w:r>
          </w:p>
        </w:tc>
        <w:tc>
          <w:tcPr>
            <w:tcW w:type="dxa" w:w="3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Can Stalwart reach LLM providers without going through gateway?</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nmap, curl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Audit Tampering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 any component modify or delete audit trail records?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Manual + file integrity monitoring</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Privilege Escalation</w:t>
            </w:r>
          </w:p>
        </w:tc>
        <w:tc>
          <w:tcPr>
            <w:tcW w:type="dxa" w:w="3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Can a viewer-role operator perform admin actions?</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Custom scripts against auth API</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Vector Store Direct Access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 external clients access Qdrant without auth?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Network scan, direct API probe</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Secret Extraction</w:t>
            </w:r>
          </w:p>
        </w:tc>
        <w:tc>
          <w:tcPr>
            <w:tcW w:type="dxa" w:w="3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Can environment variables be read from container?</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Container breakout testing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Cross-Session Leakage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 User A’s data appear in User B’s response?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Monthly</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Concurrent session testing</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Cost Attack</w:t>
            </w:r>
          </w:p>
        </w:tc>
        <w:tc>
          <w:tcPr>
            <w:tcW w:type="dxa" w:w="3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Can a single user exhaust the daily budget?</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Load testing with cost monitoring</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MCP Tool Injection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 a poisoned MCP tool response manipulate the agent?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Quarterly</w:t>
            </w:r>
          </w:p>
        </w:tc>
        <w:tc>
          <w:tcPr>
            <w:tcW w:type="dxa" w:w="2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Custom MCP server with injection payloads</w:t>
            </w:r>
          </w:p>
        </w:tc>
      </w:tr>
    </w:tbl>
    <w:p>
      <w:pPr>
        <w:spacing w:after="80"/>
      </w:pPr>
    </w:p>
    <w:p>
      <w:pPr>
        <w:pStyle w:val="Heading2"/>
        <w:spacing w:before="280" w:after="160"/>
      </w:pPr>
      <w:r>
        <w:rPr>
          <w:rFonts w:ascii="Arial" w:cs="Arial" w:eastAsia="Arial" w:hAnsi="Arial"/>
          <w:b/>
          <w:bCs/>
          <w:color w:val="CC3333"/>
          <w:sz w:val="28"/>
          <w:szCs w:val="28"/>
        </w:rPr>
        <w:t xml:space="preserve">10.2 Continuous Security Monitoring</w:t>
      </w:r>
    </w:p>
    <w:p>
      <w:pPr>
        <w:spacing w:after="120"/>
      </w:pPr>
      <w:r>
        <w:rPr>
          <w:rFonts w:ascii="Arial" w:cs="Arial" w:eastAsia="Arial" w:hAnsi="Arial"/>
          <w:sz w:val="22"/>
          <w:szCs w:val="22"/>
        </w:rPr>
        <w:t xml:space="preserve">In production, deploy: File integrity monitoring on audit trail directories (OSSEC/Wazuh), container runtime security (Falco) for anomalous process execution, network flow monitoring for unexpected egress from the Data Tier, dependency vulnerability scanning in CI/CD (Dependabot/Renovate), regular SBOM generation and archival.</w:t>
      </w:r>
    </w:p>
    <w:p>
      <w:r>
        <w:br w:type="page"/>
      </w:r>
    </w:p>
    <w:p>
      <w:pPr>
        <w:pStyle w:val="Heading1"/>
        <w:spacing w:before="360" w:after="200"/>
      </w:pPr>
      <w:r>
        <w:rPr>
          <w:rFonts w:ascii="Arial" w:cs="Arial" w:eastAsia="Arial" w:hAnsi="Arial"/>
          <w:b/>
          <w:bCs/>
          <w:color w:val="8B0000"/>
          <w:sz w:val="36"/>
          <w:szCs w:val="36"/>
        </w:rPr>
        <w:t xml:space="preserve">11. Compliance Matrix</w:t>
      </w:r>
    </w:p>
    <w:p>
      <w:pPr>
        <w:spacing w:after="120"/>
      </w:pPr>
      <w:r>
        <w:rPr>
          <w:rFonts w:ascii="Arial" w:cs="Arial" w:eastAsia="Arial" w:hAnsi="Arial"/>
          <w:sz w:val="22"/>
          <w:szCs w:val="22"/>
        </w:rPr>
        <w:t xml:space="preserve">This matrix maps STC security controls to multiple regulatory frameworks: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500"/>
        <w:gridCol w:w="1500"/>
        <w:gridCol w:w="1100"/>
        <w:gridCol w:w="2060"/>
      </w:tblGrid>
      <w:tr>
        <w:trPr>
          <w:tblHeader/>
        </w:trPr>
        <w:tc>
          <w:tcPr>
            <w:tcW w:type="dxa" w:w="20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STC Control</w:t>
            </w:r>
          </w:p>
        </w:tc>
        <w:tc>
          <w:tcPr>
            <w:tcW w:type="dxa" w:w="12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AIUC-1</w:t>
            </w:r>
          </w:p>
        </w:tc>
        <w:tc>
          <w:tcPr>
            <w:tcW w:type="dxa" w:w="15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NIST AI RMF</w:t>
            </w:r>
          </w:p>
        </w:tc>
        <w:tc>
          <w:tcPr>
            <w:tcW w:type="dxa" w:w="15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EU AI Act</w:t>
            </w:r>
          </w:p>
        </w:tc>
        <w:tc>
          <w:tcPr>
            <w:tcW w:type="dxa" w:w="11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SOC 2</w:t>
            </w:r>
          </w:p>
        </w:tc>
        <w:tc>
          <w:tcPr>
            <w:tcW w:type="dxa" w:w="20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FINRA</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Runtime Firewall</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B (Security)</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GOVERN 1.1</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Art. 9 (Robustness)</w:t>
            </w:r>
          </w:p>
        </w:tc>
        <w:tc>
          <w:tcPr>
            <w:tcW w:type="dxa" w:w="11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CC6.1</w:t>
            </w:r>
          </w:p>
        </w:tc>
        <w:tc>
          <w:tcPr>
            <w:tcW w:type="dxa" w:w="20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Reg SP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PII Redaction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A006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 2.1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Art. 10 (Data)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CC6.5</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Reg S-P</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Data Sovereignty</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A004, A005</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GOVERN 1.6</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Art. 10</w:t>
            </w:r>
          </w:p>
        </w:tc>
        <w:tc>
          <w:tcPr>
            <w:tcW w:type="dxa" w:w="11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CC6.1</w:t>
            </w:r>
          </w:p>
        </w:tc>
        <w:tc>
          <w:tcPr>
            <w:tcW w:type="dxa" w:w="20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FINRA 4512</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RBAC Auth</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A003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 1.3</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Art. 14 (Human)</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CC6.3</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FINRA 3110</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Audit Trail</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 (Account.)</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GOVERN 1.5</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Art. 12 (Record)</w:t>
            </w:r>
          </w:p>
        </w:tc>
        <w:tc>
          <w:tcPr>
            <w:tcW w:type="dxa" w:w="11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CC7.2</w:t>
            </w:r>
          </w:p>
        </w:tc>
        <w:tc>
          <w:tcPr>
            <w:tcW w:type="dxa" w:w="20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17a-4</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Incident Response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(Reliability)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 3.1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Art. 62</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CC7.3</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FINRA 4370</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Secret Management</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B (Security)</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MANAGE 2.3</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Art. 15</w:t>
            </w:r>
          </w:p>
        </w:tc>
        <w:tc>
          <w:tcPr>
            <w:tcW w:type="dxa" w:w="11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CC6.1</w:t>
            </w:r>
          </w:p>
        </w:tc>
        <w:tc>
          <w:tcPr>
            <w:tcW w:type="dxa" w:w="20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Reg SP</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Cost Controls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 (Reliability)</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MANAGE 3.1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CC8.1</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r>
      <w:tr>
        <w:tc>
          <w:tcPr>
            <w:tcW w:type="dxa" w:w="20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Model Provenance</w:t>
            </w:r>
          </w:p>
        </w:tc>
        <w:tc>
          <w:tcPr>
            <w:tcW w:type="dxa" w:w="12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B (Security)</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MAP 2.3</w:t>
            </w:r>
          </w:p>
        </w:tc>
        <w:tc>
          <w:tcPr>
            <w:tcW w:type="dxa" w:w="15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Art. 11</w:t>
            </w:r>
          </w:p>
        </w:tc>
        <w:tc>
          <w:tcPr>
            <w:tcW w:type="dxa" w:w="11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CC8.1</w:t>
            </w:r>
          </w:p>
        </w:tc>
        <w:tc>
          <w:tcPr>
            <w:tcW w:type="dxa" w:w="20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Retention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A001, A002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GOVERN 1.6</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Art. 12, GDPR 5(1)(e)</w:t>
            </w:r>
          </w:p>
        </w:tc>
        <w:tc>
          <w:tcPr>
            <w:tcW w:type="dxa" w:w="1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CC6.5</w:t>
            </w:r>
          </w:p>
        </w:tc>
        <w:tc>
          <w:tcPr>
            <w:tcW w:type="dxa" w:w="2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17a-4</w:t>
            </w:r>
          </w:p>
        </w:tc>
      </w:tr>
    </w:tbl>
    <w:p>
      <w:r>
        <w:br w:type="page"/>
      </w:r>
    </w:p>
    <w:p>
      <w:pPr>
        <w:pStyle w:val="Heading1"/>
        <w:spacing w:before="360" w:after="200"/>
      </w:pPr>
      <w:r>
        <w:rPr>
          <w:rFonts w:ascii="Arial" w:cs="Arial" w:eastAsia="Arial" w:hAnsi="Arial"/>
          <w:b/>
          <w:bCs/>
          <w:color w:val="8B0000"/>
          <w:sz w:val="36"/>
          <w:szCs w:val="36"/>
        </w:rPr>
        <w:t xml:space="preserve">12. Security Roadmap</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1800"/>
        <w:gridCol w:w="2960"/>
      </w:tblGrid>
      <w:tr>
        <w:trPr>
          <w:tblHeader/>
        </w:trPr>
        <w:tc>
          <w:tcPr>
            <w:tcW w:type="dxa" w:w="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80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960"/>
            <w:tcBorders>
              <w:top w:val="single" w:color="CCCCCC" w:sz="1"/>
              <w:left w:val="single" w:color="CCCCCC" w:sz="1"/>
              <w:bottom w:val="single" w:color="CCCCCC" w:sz="1"/>
              <w:right w:val="single" w:color="CCCCCC" w:sz="1"/>
            </w:tcBorders>
            <w:shd w:fill="8B0000"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P0</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Runtime AI Firewall (LlamaFirewall)</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PII Masking with Surrogate Tokenization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P0</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Casbin RBAC (Persona + Operator)</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Cost Circuit Breakers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P0</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Immutable Audit Trail</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P0</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AIUC-1 Evidence Generator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P1</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Secret Management (Vault Integration)</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v1.1</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Data Retention &amp; Destruction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v1.1</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P1</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Incident Response Playbook</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Documented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P1</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Model Provenance Verification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Implemented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v1.1</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P2</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Network Segmentation (Kubernetes)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Reference Architecture</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P2</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mTLS Between Components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v1.2</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P2</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Encryption at Rest (all stores)</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Documented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v1.2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P2</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SBOM Generation in CI/CD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v1.2</w:t>
            </w:r>
          </w:p>
        </w:tc>
      </w:tr>
      <w:tr>
        <w:tc>
          <w:tcPr>
            <w:tcW w:type="dxa" w:w="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P3</w:t>
            </w:r>
          </w:p>
        </w:tc>
        <w:tc>
          <w:tcPr>
            <w:tcW w:type="dxa" w:w="3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Session Isolation (multi-tenant)</w:t>
            </w:r>
          </w:p>
        </w:tc>
        <w:tc>
          <w:tcPr>
            <w:tcW w:type="dxa" w:w="180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Documented</w:t>
            </w:r>
          </w:p>
        </w:tc>
        <w:tc>
          <w:tcPr>
            <w:tcW w:type="dxa" w:w="2960"/>
            <w:tcBorders>
              <w:top w:val="single" w:color="CCCCCC" w:sz="1"/>
              <w:left w:val="single" w:color="CCCCCC" w:sz="1"/>
              <w:bottom w:val="single" w:color="CCCCCC" w:sz="1"/>
              <w:right w:val="single" w:color="CCCCCC" w:sz="1"/>
            </w:tcBorders>
            <w:shd w:fill="FFF8F0" w:val="clear"/>
            <w:tcMar>
              <w:top w:type="dxa" w:w="80"/>
              <w:left w:type="dxa" w:w="120"/>
              <w:bottom w:type="dxa" w:w="80"/>
              <w:right w:type="dxa" w:w="120"/>
            </w:tcMar>
          </w:tcPr>
          <w:p>
            <w:r>
              <w:rPr>
                <w:rFonts w:ascii="Arial" w:cs="Arial" w:eastAsia="Arial" w:hAnsi="Arial"/>
                <w:sz w:val="20"/>
                <w:szCs w:val="20"/>
              </w:rPr>
              <w:t xml:space="preserve">v2.0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P3</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Infrastructure Pen Test Automation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v2.0</w:t>
            </w:r>
          </w:p>
        </w:tc>
      </w:tr>
    </w:tbl>
    <w:p>
      <w:pPr>
        <w:spacing w:after="80"/>
      </w:pPr>
    </w:p>
    <w:p>
      <w:pPr>
        <w:spacing w:after="80"/>
      </w:pPr>
    </w:p>
    <w:p>
      <w:pPr>
        <w:spacing w:before="400"/>
        <w:jc w:val="center"/>
      </w:pPr>
      <w:r>
        <w:rPr>
          <w:rFonts w:ascii="Arial" w:cs="Arial" w:eastAsia="Arial" w:hAnsi="Arial"/>
          <w:i/>
          <w:iCs/>
          <w:color w:val="999999"/>
          <w:sz w:val="22"/>
          <w:szCs w:val="22"/>
        </w:rP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8B0000"/>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CC33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2026-03-10T00:59:57.538Z</dcterms:created>
  <dcterms:modified xsi:type="dcterms:W3CDTF">2026-03-10T00:59:57.539Z</dcterms:modified>
</cp:coreProperties>
</file>

<file path=docProps/custom.xml><?xml version="1.0" encoding="utf-8"?>
<Properties xmlns="http://schemas.openxmlformats.org/officeDocument/2006/custom-properties" xmlns:vt="http://schemas.openxmlformats.org/officeDocument/2006/docPropsVTypes"/>
</file>