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0D47A1"/>
          <w:sz w:val="56"/>
          <w:szCs w:val="56"/>
        </w:rPr>
        <w:t xml:space="preserve">STC FRAMEWORK</w:t>
      </w:r>
    </w:p>
    <w:p>
      <w:pPr>
        <w:spacing w:after="120"/>
        <w:jc w:val="center"/>
      </w:pPr>
      <w:r>
        <w:rPr>
          <w:rFonts w:ascii="Arial" w:cs="Arial" w:eastAsia="Arial" w:hAnsi="Arial"/>
          <w:color w:val="1565C0"/>
          <w:sz w:val="36"/>
          <w:szCs w:val="36"/>
        </w:rPr>
        <w:t xml:space="preserve">Multi-Agent Orchestration</w:t>
      </w:r>
    </w:p>
    <w:p>
      <w:pPr>
        <w:spacing w:after="80"/>
        <w:jc w:val="center"/>
      </w:pPr>
      <w:r>
        <w:rPr>
          <w:rFonts w:ascii="Arial" w:cs="Arial" w:eastAsia="Arial" w:hAnsi="Arial"/>
          <w:color w:val="FF6F00"/>
          <w:sz w:val="28"/>
          <w:szCs w:val="28"/>
        </w:rPr>
        <w:t xml:space="preserve">Team of Stalwarts Architecture</w:t>
      </w:r>
    </w:p>
    <w:p>
      <w:pPr>
        <w:spacing w:after="400"/>
        <w:jc w:val="center"/>
      </w:pPr>
      <w:r>
        <w:rPr>
          <w:rFonts w:ascii="Arial" w:cs="Arial" w:eastAsia="Arial" w:hAnsi="Arial"/>
          <w:color w:val="757575"/>
          <w:sz w:val="22"/>
          <w:szCs w:val="22"/>
        </w:rPr>
        <w:t xml:space="preserve">Workflows · Task Decomposition · Shared Context · Parallel Execution · Workflow Governance</w:t>
      </w:r>
    </w:p>
    <w:p>
      <w:pPr>
        <w:spacing w:after="80"/>
      </w:pPr>
    </w:p>
    <w:p>
      <w:pPr>
        <w:spacing w:after="80"/>
      </w:pPr>
    </w:p>
    <w:p>
      <w:pPr>
        <w:spacing w:after="80"/>
      </w:pPr>
    </w:p>
    <w:p>
      <w:pPr>
        <w:spacing w:after="80"/>
      </w:pPr>
    </w:p>
    <w:p>
      <w:pPr>
        <w:spacing w:after="60"/>
        <w:jc w:val="center"/>
      </w:pPr>
      <w:r>
        <w:rPr>
          <w:rFonts w:ascii="Arial" w:cs="Arial" w:eastAsia="Arial" w:hAnsi="Arial"/>
          <w:color w:val="444444"/>
          <w:sz w:val="22"/>
          <w:szCs w:val="22"/>
        </w:rPr>
        <w:t xml:space="preserve">Author: Nitesh Ambastha</w:t>
      </w:r>
    </w:p>
    <w:p>
      <w:pPr>
        <w:spacing w:after="60"/>
        <w:jc w:val="center"/>
      </w:pPr>
      <w:r>
        <w:rPr>
          <w:rFonts w:ascii="Arial" w:cs="Arial" w:eastAsia="Arial" w:hAnsi="Arial"/>
          <w:color w:val="444444"/>
          <w:sz w:val="22"/>
          <w:szCs w:val="22"/>
        </w:rPr>
        <w:t xml:space="preserve">Version 1.0 — March 2026</w:t>
      </w:r>
    </w:p>
    <w:p>
      <w:r>
        <w:br w:type="page"/>
      </w:r>
    </w:p>
    <w:p>
      <w:pPr>
        <w:pStyle w:val="Heading1"/>
        <w:spacing w:before="360" w:after="200"/>
      </w:pPr>
      <w:r>
        <w:rPr>
          <w:rFonts w:ascii="Arial" w:cs="Arial" w:eastAsia="Arial" w:hAnsi="Arial"/>
          <w:b/>
          <w:bCs/>
          <w:color w:val="0D47A1"/>
          <w:sz w:val="36"/>
          <w:szCs w:val="36"/>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0D47A1"/>
          <w:sz w:val="36"/>
          <w:szCs w:val="36"/>
        </w:rPr>
        <w:t xml:space="preserve">1. The Orchestration Problem</w:t>
      </w:r>
    </w:p>
    <w:p>
      <w:pPr>
        <w:spacing w:after="120"/>
      </w:pPr>
      <w:r>
        <w:rPr>
          <w:rFonts w:ascii="Arial" w:cs="Arial" w:eastAsia="Arial" w:hAnsi="Arial"/>
          <w:sz w:val="22"/>
          <w:szCs w:val="22"/>
        </w:rPr>
        <w:t xml:space="preserve">The STC Framework as originally designed assumes a single Stalwart executing a single goal. This works for straightforward queries (“What was ACME’s revenue?”) but breaks down for complex, multi-step workflows that require different capabilities, parallel execution, and result aggregation.</w:t>
      </w:r>
    </w:p>
    <w:p>
      <w:pPr>
        <w:spacing w:after="80"/>
      </w:pPr>
    </w:p>
    <w:p>
      <w:pPr>
        <w:spacing w:before="200" w:after="120"/>
      </w:pPr>
      <w:r>
        <w:rPr>
          <w:rFonts w:ascii="Arial" w:cs="Arial" w:eastAsia="Arial" w:hAnsi="Arial"/>
          <w:b/>
          <w:bCs/>
          <w:color w:val="0D47A1"/>
          <w:sz w:val="24"/>
          <w:szCs w:val="24"/>
        </w:rPr>
        <w:t xml:space="preserve">Why Single-Stalwart Falls Short</w:t>
      </w:r>
    </w:p>
    <w:p>
      <w:pPr>
        <w:spacing w:after="100"/>
      </w:pPr>
      <w:r>
        <w:rPr>
          <w:rFonts w:ascii="Arial" w:cs="Arial" w:eastAsia="Arial" w:hAnsi="Arial"/>
          <w:b/>
          <w:bCs/>
          <w:sz w:val="22"/>
          <w:szCs w:val="22"/>
        </w:rPr>
        <w:t xml:space="preserve">Capability mismatch: </w:t>
      </w:r>
      <w:r>
        <w:rPr>
          <w:rFonts w:ascii="Arial" w:cs="Arial" w:eastAsia="Arial" w:hAnsi="Arial"/>
          <w:sz w:val="22"/>
          <w:szCs w:val="22"/>
        </w:rPr>
        <w:t xml:space="preserve">A document Q&amp;A Stalwart uses RAG; a data analysis Stalwart needs code execution; a writing Stalwart needs long-form generation. No single Stalwart configuration optimizes for all three.</w:t>
      </w:r>
    </w:p>
    <w:p>
      <w:pPr>
        <w:spacing w:after="100"/>
      </w:pPr>
      <w:r>
        <w:rPr>
          <w:rFonts w:ascii="Arial" w:cs="Arial" w:eastAsia="Arial" w:hAnsi="Arial"/>
          <w:b/>
          <w:bCs/>
          <w:sz w:val="22"/>
          <w:szCs w:val="22"/>
        </w:rPr>
        <w:t xml:space="preserve">Sequential bottleneck: </w:t>
      </w:r>
      <w:r>
        <w:rPr>
          <w:rFonts w:ascii="Arial" w:cs="Arial" w:eastAsia="Arial" w:hAnsi="Arial"/>
          <w:sz w:val="22"/>
          <w:szCs w:val="22"/>
        </w:rPr>
        <w:t xml:space="preserve">Complex requests processed as a single chain wait for each step. Research + analysis + writing takes 3× as long as they could in parallel.</w:t>
      </w:r>
    </w:p>
    <w:p>
      <w:pPr>
        <w:spacing w:after="100"/>
      </w:pPr>
      <w:r>
        <w:rPr>
          <w:rFonts w:ascii="Arial" w:cs="Arial" w:eastAsia="Arial" w:hAnsi="Arial"/>
          <w:b/>
          <w:bCs/>
          <w:sz w:val="22"/>
          <w:szCs w:val="22"/>
        </w:rPr>
        <w:t xml:space="preserve">Blast radius: </w:t>
      </w:r>
      <w:r>
        <w:rPr>
          <w:rFonts w:ascii="Arial" w:cs="Arial" w:eastAsia="Arial" w:hAnsi="Arial"/>
          <w:sz w:val="22"/>
          <w:szCs w:val="22"/>
        </w:rPr>
        <w:t xml:space="preserve">If a single Stalwart handles everything, one failure mode (e.g., a hallucinated number) corrupts the entire output.</w:t>
      </w:r>
    </w:p>
    <w:p>
      <w:pPr>
        <w:spacing w:after="100"/>
      </w:pPr>
      <w:r>
        <w:rPr>
          <w:rFonts w:ascii="Arial" w:cs="Arial" w:eastAsia="Arial" w:hAnsi="Arial"/>
          <w:b/>
          <w:bCs/>
          <w:sz w:val="22"/>
          <w:szCs w:val="22"/>
        </w:rPr>
        <w:t xml:space="preserve">Context limits: </w:t>
      </w:r>
      <w:r>
        <w:rPr>
          <w:rFonts w:ascii="Arial" w:cs="Arial" w:eastAsia="Arial" w:hAnsi="Arial"/>
          <w:sz w:val="22"/>
          <w:szCs w:val="22"/>
        </w:rPr>
        <w:t xml:space="preserve">A single Stalwart’s context window can’t hold all documents, analysis results, and writing instructions simultaneously.</w:t>
      </w:r>
    </w:p>
    <w:p>
      <w:pPr>
        <w:spacing w:after="80"/>
      </w:pPr>
    </w:p>
    <w:p>
      <w:pPr>
        <w:spacing w:before="200" w:after="120"/>
      </w:pPr>
      <w:r>
        <w:rPr>
          <w:rFonts w:ascii="Arial" w:cs="Arial" w:eastAsia="Arial" w:hAnsi="Arial"/>
          <w:b/>
          <w:bCs/>
          <w:color w:val="0D47A1"/>
          <w:sz w:val="24"/>
          <w:szCs w:val="24"/>
        </w:rPr>
        <w:t xml:space="preserve">Design Principle</w:t>
      </w:r>
    </w:p>
    <w:p>
      <w:pPr>
        <w:spacing w:after="120"/>
      </w:pPr>
      <w:r>
        <w:rPr>
          <w:rFonts w:ascii="Arial" w:cs="Arial" w:eastAsia="Arial" w:hAnsi="Arial"/>
          <w:sz w:val="22"/>
          <w:szCs w:val="22"/>
        </w:rPr>
        <w:t xml:space="preserve">The orchestration layer sits ABOVE the Stalwart but BELOW the user interface. It decomposes complex goals into sub-tasks, assigns each to the appropriate specialized Stalwart, manages dependencies and shared context, and aggregates results. Critically, each Stalwart still operates within the full STC governance pipeline — Sentinel + Critic apply to every sub-task independently, and a workflow-level Critic validates the assembled result.</w:t>
      </w:r>
    </w:p>
    <w:p>
      <w:r>
        <w:br w:type="page"/>
      </w:r>
    </w:p>
    <w:p>
      <w:pPr>
        <w:pStyle w:val="Heading1"/>
        <w:spacing w:before="360" w:after="200"/>
      </w:pPr>
      <w:r>
        <w:rPr>
          <w:rFonts w:ascii="Arial" w:cs="Arial" w:eastAsia="Arial" w:hAnsi="Arial"/>
          <w:b/>
          <w:bCs/>
          <w:color w:val="0D47A1"/>
          <w:sz w:val="36"/>
          <w:szCs w:val="36"/>
        </w:rPr>
        <w:t xml:space="preserve">2. Orchestration Architecture</w:t>
      </w:r>
    </w:p>
    <w:p>
      <w:pPr>
        <w:spacing w:after="80"/>
      </w:pPr>
    </w:p>
    <w:p>
      <w:pPr>
        <w:pStyle w:val="Heading2"/>
        <w:spacing w:before="280" w:after="160"/>
      </w:pPr>
      <w:r>
        <w:rPr>
          <w:rFonts w:ascii="Arial" w:cs="Arial" w:eastAsia="Arial" w:hAnsi="Arial"/>
          <w:b/>
          <w:bCs/>
          <w:color w:val="1565C0"/>
          <w:sz w:val="28"/>
          <w:szCs w:val="28"/>
        </w:rPr>
        <w:t xml:space="preserve">2.1 Component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640"/>
        <w:gridCol w:w="2160"/>
        <w:gridCol w:w="2880"/>
      </w:tblGrid>
      <w:tr>
        <w:trPr>
          <w:tblHeader/>
        </w:trPr>
        <w:tc>
          <w:tcPr>
            <w:tcW w:type="dxa" w:w="1680"/>
            <w:tcBorders>
              <w:top w:val="single" w:color="90CAF9" w:sz="1"/>
              <w:left w:val="single" w:color="90CAF9" w:sz="1"/>
              <w:bottom w:val="single" w:color="90CAF9" w:sz="1"/>
              <w:right w:val="single" w:color="90CAF9"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640"/>
            <w:tcBorders>
              <w:top w:val="single" w:color="90CAF9" w:sz="1"/>
              <w:left w:val="single" w:color="90CAF9" w:sz="1"/>
              <w:bottom w:val="single" w:color="90CAF9" w:sz="1"/>
              <w:right w:val="single" w:color="90CAF9"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160"/>
            <w:tcBorders>
              <w:top w:val="single" w:color="90CAF9" w:sz="1"/>
              <w:left w:val="single" w:color="90CAF9" w:sz="1"/>
              <w:bottom w:val="single" w:color="90CAF9" w:sz="1"/>
              <w:right w:val="single" w:color="90CAF9"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STC Mapping</w:t>
            </w:r>
          </w:p>
        </w:tc>
        <w:tc>
          <w:tcPr>
            <w:tcW w:type="dxa" w:w="2880"/>
            <w:tcBorders>
              <w:top w:val="single" w:color="90CAF9" w:sz="1"/>
              <w:left w:val="single" w:color="90CAF9" w:sz="1"/>
              <w:bottom w:val="single" w:color="90CAF9" w:sz="1"/>
              <w:right w:val="single" w:color="90CAF9"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168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Workflow Engine</w:t>
            </w:r>
          </w:p>
        </w:tc>
        <w:tc>
          <w:tcPr>
            <w:tcW w:type="dxa" w:w="264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Defines and executes multi-step workflows with dependencies</w:t>
            </w:r>
          </w:p>
        </w:tc>
        <w:tc>
          <w:tcPr>
            <w:tcW w:type="dxa" w:w="216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New layer above Stalwart</w:t>
            </w:r>
          </w:p>
        </w:tc>
        <w:tc>
          <w:tcPr>
            <w:tcW w:type="dxa" w:w="288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LangGraph StateGraph with conditional routing</w:t>
            </w:r>
          </w:p>
        </w:tc>
      </w:tr>
      <w:tr>
        <w:tc>
          <w:tcPr>
            <w:tcW w:type="dxa" w:w="1680"/>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Task Planner</w:t>
            </w:r>
          </w:p>
        </w:tc>
        <w:tc>
          <w:tcPr>
            <w:tcW w:type="dxa" w:w="2640"/>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Decomposes complex goals into sub-tasks</w:t>
            </w:r>
          </w:p>
        </w:tc>
        <w:tc>
          <w:tcPr>
            <w:tcW w:type="dxa" w:w="2160"/>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Uses an LLM to plan (itself governed by Critic)</w:t>
            </w:r>
          </w:p>
        </w:tc>
        <w:tc>
          <w:tcPr>
            <w:tcW w:type="dxa" w:w="2880"/>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Planner Stalwart with structured output</w:t>
            </w:r>
          </w:p>
        </w:tc>
      </w:tr>
      <w:tr>
        <w:tc>
          <w:tcPr>
            <w:tcW w:type="dxa" w:w="168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Stalwart Registry</w:t>
            </w:r>
          </w:p>
        </w:tc>
        <w:tc>
          <w:tcPr>
            <w:tcW w:type="dxa" w:w="264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Catalogs specialized Stalwarts with capabilities, tools, and model preferences</w:t>
            </w:r>
          </w:p>
        </w:tc>
        <w:tc>
          <w:tcPr>
            <w:tcW w:type="dxa" w:w="216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Extension of Data Catalog</w:t>
            </w:r>
          </w:p>
        </w:tc>
        <w:tc>
          <w:tcPr>
            <w:tcW w:type="dxa" w:w="288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Registry with capability matching</w:t>
            </w:r>
          </w:p>
        </w:tc>
      </w:tr>
      <w:tr>
        <w:tc>
          <w:tcPr>
            <w:tcW w:type="dxa" w:w="1680"/>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Shared Workspace</w:t>
            </w:r>
          </w:p>
        </w:tc>
        <w:tc>
          <w:tcPr>
            <w:tcW w:type="dxa" w:w="2640"/>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Cross-Stalwart context sharing (blackboard pattern)</w:t>
            </w:r>
          </w:p>
        </w:tc>
        <w:tc>
          <w:tcPr>
            <w:tcW w:type="dxa" w:w="2160"/>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Extension of Session State (Redis)</w:t>
            </w:r>
          </w:p>
        </w:tc>
        <w:tc>
          <w:tcPr>
            <w:tcW w:type="dxa" w:w="2880"/>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Redis hash map per workflow</w:t>
            </w:r>
          </w:p>
        </w:tc>
      </w:tr>
      <w:tr>
        <w:tc>
          <w:tcPr>
            <w:tcW w:type="dxa" w:w="168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Result Aggregator</w:t>
            </w:r>
          </w:p>
        </w:tc>
        <w:tc>
          <w:tcPr>
            <w:tcW w:type="dxa" w:w="264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Combines sub-task outputs into final response</w:t>
            </w:r>
          </w:p>
        </w:tc>
        <w:tc>
          <w:tcPr>
            <w:tcW w:type="dxa" w:w="216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Part of Workflow Engine</w:t>
            </w:r>
          </w:p>
        </w:tc>
        <w:tc>
          <w:tcPr>
            <w:tcW w:type="dxa" w:w="288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Configurable: merge, summarize, or structured assembly</w:t>
            </w:r>
          </w:p>
        </w:tc>
      </w:tr>
      <w:tr>
        <w:tc>
          <w:tcPr>
            <w:tcW w:type="dxa" w:w="1680"/>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Workflow Critic</w:t>
            </w:r>
          </w:p>
        </w:tc>
        <w:tc>
          <w:tcPr>
            <w:tcW w:type="dxa" w:w="2640"/>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Validates the assembled multi-task result (beyond per-task validation)</w:t>
            </w:r>
          </w:p>
        </w:tc>
        <w:tc>
          <w:tcPr>
            <w:tcW w:type="dxa" w:w="2160"/>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Extension of Critic</w:t>
            </w:r>
          </w:p>
        </w:tc>
        <w:tc>
          <w:tcPr>
            <w:tcW w:type="dxa" w:w="2880"/>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Additional NeMo Guardrails flow for cross-task consistency</w:t>
            </w:r>
          </w:p>
        </w:tc>
      </w:tr>
      <w:tr>
        <w:tc>
          <w:tcPr>
            <w:tcW w:type="dxa" w:w="168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Budget Allocator</w:t>
            </w:r>
          </w:p>
        </w:tc>
        <w:tc>
          <w:tcPr>
            <w:tcW w:type="dxa" w:w="264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Distributes cost budget across sub-tasks</w:t>
            </w:r>
          </w:p>
        </w:tc>
        <w:tc>
          <w:tcPr>
            <w:tcW w:type="dxa" w:w="216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Extension of Cost Controls</w:t>
            </w:r>
          </w:p>
        </w:tc>
        <w:tc>
          <w:tcPr>
            <w:tcW w:type="dxa" w:w="288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Per-task budget with workflow-level ceiling</w:t>
            </w:r>
          </w:p>
        </w:tc>
      </w:tr>
    </w:tbl>
    <w:p>
      <w:pPr>
        <w:spacing w:after="80"/>
      </w:pPr>
    </w:p>
    <w:p>
      <w:pPr>
        <w:pStyle w:val="Heading2"/>
        <w:spacing w:before="280" w:after="160"/>
      </w:pPr>
      <w:r>
        <w:rPr>
          <w:rFonts w:ascii="Arial" w:cs="Arial" w:eastAsia="Arial" w:hAnsi="Arial"/>
          <w:b/>
          <w:bCs/>
          <w:color w:val="1565C0"/>
          <w:sz w:val="28"/>
          <w:szCs w:val="28"/>
        </w:rPr>
        <w:t xml:space="preserve">2.2 Execution Model</w:t>
      </w:r>
    </w:p>
    <w:p>
      <w:pPr>
        <w:spacing w:after="120"/>
      </w:pPr>
      <w:r>
        <w:rPr>
          <w:rFonts w:ascii="Arial" w:cs="Arial" w:eastAsia="Arial" w:hAnsi="Arial"/>
          <w:sz w:val="22"/>
          <w:szCs w:val="22"/>
        </w:rPr>
        <w:t xml:space="preserve">The orchestration engine supports three execution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880"/>
        <w:gridCol w:w="3360"/>
        <w:gridCol w:w="1440"/>
      </w:tblGrid>
      <w:tr>
        <w:trPr>
          <w:tblHeader/>
        </w:trPr>
        <w:tc>
          <w:tcPr>
            <w:tcW w:type="dxa" w:w="1680"/>
            <w:tcBorders>
              <w:top w:val="single" w:color="90CAF9" w:sz="1"/>
              <w:left w:val="single" w:color="90CAF9" w:sz="1"/>
              <w:bottom w:val="single" w:color="90CAF9" w:sz="1"/>
              <w:right w:val="single" w:color="90CAF9"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2880"/>
            <w:tcBorders>
              <w:top w:val="single" w:color="90CAF9" w:sz="1"/>
              <w:left w:val="single" w:color="90CAF9" w:sz="1"/>
              <w:bottom w:val="single" w:color="90CAF9" w:sz="1"/>
              <w:right w:val="single" w:color="90CAF9"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c>
          <w:tcPr>
            <w:tcW w:type="dxa" w:w="3360"/>
            <w:tcBorders>
              <w:top w:val="single" w:color="90CAF9" w:sz="1"/>
              <w:left w:val="single" w:color="90CAF9" w:sz="1"/>
              <w:bottom w:val="single" w:color="90CAF9" w:sz="1"/>
              <w:right w:val="single" w:color="90CAF9"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1440"/>
            <w:tcBorders>
              <w:top w:val="single" w:color="90CAF9" w:sz="1"/>
              <w:left w:val="single" w:color="90CAF9" w:sz="1"/>
              <w:bottom w:val="single" w:color="90CAF9" w:sz="1"/>
              <w:right w:val="single" w:color="90CAF9"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Parallelism</w:t>
            </w:r>
          </w:p>
        </w:tc>
      </w:tr>
      <w:tr>
        <w:tc>
          <w:tcPr>
            <w:tcW w:type="dxa" w:w="168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Sequential Chain</w:t>
            </w:r>
          </w:p>
        </w:tc>
        <w:tc>
          <w:tcPr>
            <w:tcW w:type="dxa" w:w="288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Tasks have strict dependencies (output of A is input to B)</w:t>
            </w:r>
          </w:p>
        </w:tc>
        <w:tc>
          <w:tcPr>
            <w:tcW w:type="dxa" w:w="336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Research financials → Analyze trends → Draft memo</w:t>
            </w:r>
          </w:p>
        </w:tc>
        <w:tc>
          <w:tcPr>
            <w:tcW w:type="dxa" w:w="144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None (pipeline)</w:t>
            </w:r>
          </w:p>
        </w:tc>
      </w:tr>
      <w:tr>
        <w:tc>
          <w:tcPr>
            <w:tcW w:type="dxa" w:w="1680"/>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Parallel Fan-Out / Fan-In</w:t>
            </w:r>
          </w:p>
        </w:tc>
        <w:tc>
          <w:tcPr>
            <w:tcW w:type="dxa" w:w="2880"/>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Independent tasks that can run simultaneously, results merged</w:t>
            </w:r>
          </w:p>
        </w:tc>
        <w:tc>
          <w:tcPr>
            <w:tcW w:type="dxa" w:w="3360"/>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Research ACME + Research competitor + Research industry (in parallel) → Compare</w:t>
            </w:r>
          </w:p>
        </w:tc>
        <w:tc>
          <w:tcPr>
            <w:tcW w:type="dxa" w:w="1440"/>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Full parallelism</w:t>
            </w:r>
          </w:p>
        </w:tc>
      </w:tr>
      <w:tr>
        <w:tc>
          <w:tcPr>
            <w:tcW w:type="dxa" w:w="168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Dynamic DAG</w:t>
            </w:r>
          </w:p>
        </w:tc>
        <w:tc>
          <w:tcPr>
            <w:tcW w:type="dxa" w:w="288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Complex workflows with conditional branches and partial dependencies</w:t>
            </w:r>
          </w:p>
        </w:tc>
        <w:tc>
          <w:tcPr>
            <w:tcW w:type="dxa" w:w="336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Research → IF data sufficient THEN analyze ELSE request more data → Draft</w:t>
            </w:r>
          </w:p>
        </w:tc>
        <w:tc>
          <w:tcPr>
            <w:tcW w:type="dxa" w:w="144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Mixed</w:t>
            </w:r>
          </w:p>
        </w:tc>
      </w:tr>
    </w:tbl>
    <w:p>
      <w:pPr>
        <w:spacing w:after="80"/>
      </w:pPr>
    </w:p>
    <w:p>
      <w:pPr>
        <w:spacing w:after="120"/>
      </w:pPr>
      <w:r>
        <w:rPr>
          <w:rFonts w:ascii="Arial" w:cs="Arial" w:eastAsia="Arial" w:hAnsi="Arial"/>
          <w:sz w:val="22"/>
          <w:szCs w:val="22"/>
        </w:rPr>
        <w:t xml:space="preserve">All three patterns are implemented using LangGraph’s StateGraph, which natively supports conditional edges, parallel branches (via Send API), and cycles. The workflow definition is declarative — specified in YAML as part of the Declarative Specification or constructed dynamically by the Task Planner.</w:t>
      </w:r>
    </w:p>
    <w:p>
      <w:r>
        <w:br w:type="page"/>
      </w:r>
    </w:p>
    <w:p>
      <w:pPr>
        <w:pStyle w:val="Heading1"/>
        <w:spacing w:before="360" w:after="200"/>
      </w:pPr>
      <w:r>
        <w:rPr>
          <w:rFonts w:ascii="Arial" w:cs="Arial" w:eastAsia="Arial" w:hAnsi="Arial"/>
          <w:b/>
          <w:bCs/>
          <w:color w:val="0D47A1"/>
          <w:sz w:val="36"/>
          <w:szCs w:val="36"/>
        </w:rPr>
        <w:t xml:space="preserve">3. Why LangGraph</w:t>
      </w:r>
    </w:p>
    <w:p>
      <w:pPr>
        <w:spacing w:after="120"/>
      </w:pPr>
      <w:r>
        <w:rPr>
          <w:rFonts w:ascii="Arial" w:cs="Arial" w:eastAsia="Arial" w:hAnsi="Arial"/>
          <w:sz w:val="22"/>
          <w:szCs w:val="22"/>
        </w:rPr>
        <w:t xml:space="preserve">After evaluating LangGraph, CrewAI, AutoGen, OpenAI Agents SDK, and OpenAgents, LangGraph was selected as the orchestration backbone for the STC Framework for the following reasons: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70"/>
        <w:gridCol w:w="2055"/>
        <w:gridCol w:w="1826"/>
        <w:gridCol w:w="2055"/>
        <w:gridCol w:w="2054"/>
      </w:tblGrid>
      <w:tr>
        <w:trPr>
          <w:tblHeader/>
        </w:trPr>
        <w:tc>
          <w:tcPr>
            <w:tcW w:type="dxa" w:w="1370"/>
            <w:tcBorders>
              <w:top w:val="single" w:color="90CAF9" w:sz="1"/>
              <w:left w:val="single" w:color="90CAF9" w:sz="1"/>
              <w:bottom w:val="single" w:color="90CAF9" w:sz="1"/>
              <w:right w:val="single" w:color="90CAF9"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2055"/>
            <w:tcBorders>
              <w:top w:val="single" w:color="90CAF9" w:sz="1"/>
              <w:left w:val="single" w:color="90CAF9" w:sz="1"/>
              <w:bottom w:val="single" w:color="90CAF9" w:sz="1"/>
              <w:right w:val="single" w:color="90CAF9"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LangGraph</w:t>
            </w:r>
          </w:p>
        </w:tc>
        <w:tc>
          <w:tcPr>
            <w:tcW w:type="dxa" w:w="1826"/>
            <w:tcBorders>
              <w:top w:val="single" w:color="90CAF9" w:sz="1"/>
              <w:left w:val="single" w:color="90CAF9" w:sz="1"/>
              <w:bottom w:val="single" w:color="90CAF9" w:sz="1"/>
              <w:right w:val="single" w:color="90CAF9"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CrewAI</w:t>
            </w:r>
          </w:p>
        </w:tc>
        <w:tc>
          <w:tcPr>
            <w:tcW w:type="dxa" w:w="2055"/>
            <w:tcBorders>
              <w:top w:val="single" w:color="90CAF9" w:sz="1"/>
              <w:left w:val="single" w:color="90CAF9" w:sz="1"/>
              <w:bottom w:val="single" w:color="90CAF9" w:sz="1"/>
              <w:right w:val="single" w:color="90CAF9"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AutoGen</w:t>
            </w:r>
          </w:p>
        </w:tc>
        <w:tc>
          <w:tcPr>
            <w:tcW w:type="dxa" w:w="2054"/>
            <w:tcBorders>
              <w:top w:val="single" w:color="90CAF9" w:sz="1"/>
              <w:left w:val="single" w:color="90CAF9" w:sz="1"/>
              <w:bottom w:val="single" w:color="90CAF9" w:sz="1"/>
              <w:right w:val="single" w:color="90CAF9"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Verdict</w:t>
            </w:r>
          </w:p>
        </w:tc>
      </w:tr>
      <w:tr>
        <w:tc>
          <w:tcPr>
            <w:tcW w:type="dxa" w:w="137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Execution model</w:t>
            </w:r>
          </w:p>
        </w:tc>
        <w:tc>
          <w:tcPr>
            <w:tcW w:type="dxa" w:w="2055"/>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Deterministic graph (nodes + edges)</w:t>
            </w:r>
          </w:p>
        </w:tc>
        <w:tc>
          <w:tcPr>
            <w:tcW w:type="dxa" w:w="1826"/>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Role-based teams (conversational)</w:t>
            </w:r>
          </w:p>
        </w:tc>
        <w:tc>
          <w:tcPr>
            <w:tcW w:type="dxa" w:w="2055"/>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Conversation between agents (non-deterministic)</w:t>
            </w:r>
          </w:p>
        </w:tc>
        <w:tc>
          <w:tcPr>
            <w:tcW w:type="dxa" w:w="2054"/>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Graph model is auditable and predictable</w:t>
            </w:r>
          </w:p>
        </w:tc>
      </w:tr>
      <w:tr>
        <w:tc>
          <w:tcPr>
            <w:tcW w:type="dxa" w:w="1370"/>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Parallel execution</w:t>
            </w:r>
          </w:p>
        </w:tc>
        <w:tc>
          <w:tcPr>
            <w:tcW w:type="dxa" w:w="2055"/>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Native fan-out via Send API + supersteps</w:t>
            </w:r>
          </w:p>
        </w:tc>
        <w:tc>
          <w:tcPr>
            <w:tcW w:type="dxa" w:w="1826"/>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Limited</w:t>
            </w:r>
          </w:p>
        </w:tc>
        <w:tc>
          <w:tcPr>
            <w:tcW w:type="dxa" w:w="2055"/>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Async conversations</w:t>
            </w:r>
          </w:p>
        </w:tc>
        <w:tc>
          <w:tcPr>
            <w:tcW w:type="dxa" w:w="2054"/>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Send API is purpose-built for parallel tasks</w:t>
            </w:r>
          </w:p>
        </w:tc>
      </w:tr>
      <w:tr>
        <w:tc>
          <w:tcPr>
            <w:tcW w:type="dxa" w:w="137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State management</w:t>
            </w:r>
          </w:p>
        </w:tc>
        <w:tc>
          <w:tcPr>
            <w:tcW w:type="dxa" w:w="2055"/>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Typed state with Annotated reducers, checkpointing</w:t>
            </w:r>
          </w:p>
        </w:tc>
        <w:tc>
          <w:tcPr>
            <w:tcW w:type="dxa" w:w="1826"/>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No native persistence</w:t>
            </w:r>
          </w:p>
        </w:tc>
        <w:tc>
          <w:tcPr>
            <w:tcW w:type="dxa" w:w="2055"/>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Conversation history (token-heavy)</w:t>
            </w:r>
          </w:p>
        </w:tc>
        <w:tc>
          <w:tcPr>
            <w:tcW w:type="dxa" w:w="2054"/>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Checkpointing enables resume-after-failure</w:t>
            </w:r>
          </w:p>
        </w:tc>
      </w:tr>
      <w:tr>
        <w:tc>
          <w:tcPr>
            <w:tcW w:type="dxa" w:w="1370"/>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Governance hooks</w:t>
            </w:r>
          </w:p>
        </w:tc>
        <w:tc>
          <w:tcPr>
            <w:tcW w:type="dxa" w:w="2055"/>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Conditional edges act as governance gates; interrupt_before for human approval</w:t>
            </w:r>
          </w:p>
        </w:tc>
        <w:tc>
          <w:tcPr>
            <w:tcW w:type="dxa" w:w="1826"/>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Post-hoc callbacks</w:t>
            </w:r>
          </w:p>
        </w:tc>
        <w:tc>
          <w:tcPr>
            <w:tcW w:type="dxa" w:w="2055"/>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Conversation-level only</w:t>
            </w:r>
          </w:p>
        </w:tc>
        <w:tc>
          <w:tcPr>
            <w:tcW w:type="dxa" w:w="2054"/>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Conditional edges = Critic gates at every step</w:t>
            </w:r>
          </w:p>
        </w:tc>
      </w:tr>
      <w:tr>
        <w:tc>
          <w:tcPr>
            <w:tcW w:type="dxa" w:w="137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Audit trail</w:t>
            </w:r>
          </w:p>
        </w:tc>
        <w:tc>
          <w:tcPr>
            <w:tcW w:type="dxa" w:w="2055"/>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Every state transition is checkpointed and reproducible</w:t>
            </w:r>
          </w:p>
        </w:tc>
        <w:tc>
          <w:tcPr>
            <w:tcW w:type="dxa" w:w="1826"/>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Logging only</w:t>
            </w:r>
          </w:p>
        </w:tc>
        <w:tc>
          <w:tcPr>
            <w:tcW w:type="dxa" w:w="2055"/>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Conversation logs</w:t>
            </w:r>
          </w:p>
        </w:tc>
        <w:tc>
          <w:tcPr>
            <w:tcW w:type="dxa" w:w="2054"/>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Deterministic replay for regulatory audit</w:t>
            </w:r>
          </w:p>
        </w:tc>
      </w:tr>
      <w:tr>
        <w:tc>
          <w:tcPr>
            <w:tcW w:type="dxa" w:w="1370"/>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Performance</w:t>
            </w:r>
          </w:p>
        </w:tc>
        <w:tc>
          <w:tcPr>
            <w:tcW w:type="dxa" w:w="2055"/>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30–40% lower latency in benchmarks (2026)</w:t>
            </w:r>
          </w:p>
        </w:tc>
        <w:tc>
          <w:tcPr>
            <w:tcW w:type="dxa" w:w="1826"/>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Moderate (role overhead)</w:t>
            </w:r>
          </w:p>
        </w:tc>
        <w:tc>
          <w:tcPr>
            <w:tcW w:type="dxa" w:w="2055"/>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Variable (conversation loops)</w:t>
            </w:r>
          </w:p>
        </w:tc>
        <w:tc>
          <w:tcPr>
            <w:tcW w:type="dxa" w:w="2054"/>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Graph execution avoids unnecessary LLM turns</w:t>
            </w:r>
          </w:p>
        </w:tc>
      </w:tr>
      <w:tr>
        <w:tc>
          <w:tcPr>
            <w:tcW w:type="dxa" w:w="137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Ecosystem</w:t>
            </w:r>
          </w:p>
        </w:tc>
        <w:tc>
          <w:tcPr>
            <w:tcW w:type="dxa" w:w="2055"/>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LangChain ecosystem (47M+ PyPI downloads), LangSmith for observability</w:t>
            </w:r>
          </w:p>
        </w:tc>
        <w:tc>
          <w:tcPr>
            <w:tcW w:type="dxa" w:w="1826"/>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Growing, smaller community</w:t>
            </w:r>
          </w:p>
        </w:tc>
        <w:tc>
          <w:tcPr>
            <w:tcW w:type="dxa" w:w="2055"/>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Microsoft ecosystem (Azure lock-in)</w:t>
            </w:r>
          </w:p>
        </w:tc>
        <w:tc>
          <w:tcPr>
            <w:tcW w:type="dxa" w:w="2054"/>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Largest open-source agent ecosystem</w:t>
            </w:r>
          </w:p>
        </w:tc>
      </w:tr>
    </w:tbl>
    <w:p>
      <w:pPr>
        <w:spacing w:after="80"/>
      </w:pPr>
    </w:p>
    <w:p>
      <w:pPr>
        <w:spacing w:after="100"/>
      </w:pPr>
      <w:r>
        <w:rPr>
          <w:rFonts w:ascii="Arial" w:cs="Arial" w:eastAsia="Arial" w:hAnsi="Arial"/>
          <w:b/>
          <w:bCs/>
          <w:sz w:val="22"/>
          <w:szCs w:val="22"/>
        </w:rPr>
        <w:t xml:space="preserve">Key principle: </w:t>
      </w:r>
      <w:r>
        <w:rPr>
          <w:rFonts w:ascii="Arial" w:cs="Arial" w:eastAsia="Arial" w:hAnsi="Arial"/>
          <w:sz w:val="22"/>
          <w:szCs w:val="22"/>
        </w:rPr>
        <w:t xml:space="preserve">Governance requires deterministic control. In a regulated financial services environment where the Critic must validate every step and an auditor must reconstruct exactly what happened, non-deterministic conversation-based execution (AutoGen, CrewAI) is unacceptable. LangGraph’s graph model guarantees that the same plan always executes the same way.</w:t>
      </w:r>
    </w:p>
    <w:p>
      <w:pPr>
        <w:spacing w:after="80"/>
      </w:pPr>
    </w:p>
    <w:p>
      <w:pPr>
        <w:spacing w:after="100"/>
      </w:pPr>
      <w:r>
        <w:rPr>
          <w:rFonts w:ascii="Arial" w:cs="Arial" w:eastAsia="Arial" w:hAnsi="Arial"/>
          <w:b/>
          <w:bCs/>
          <w:sz w:val="22"/>
          <w:szCs w:val="22"/>
        </w:rPr>
        <w:t xml:space="preserve">Framework-agnostic tasks: </w:t>
      </w:r>
      <w:r>
        <w:rPr>
          <w:rFonts w:ascii="Arial" w:cs="Arial" w:eastAsia="Arial" w:hAnsi="Arial"/>
          <w:sz w:val="22"/>
          <w:szCs w:val="22"/>
        </w:rPr>
        <w:t xml:space="preserve">While LangGraph owns the orchestration graph, individual task executors are framework-agnostic. A task could be executed by a LangGraph sub-graph (default), a CrewAI crew, or an external A2A agent. The orchestrator enforces the workflow contract; the intelligence lives in the Stalwarts.</w:t>
      </w:r>
    </w:p>
    <w:p>
      <w:r>
        <w:br w:type="page"/>
      </w:r>
    </w:p>
    <w:p>
      <w:pPr>
        <w:pStyle w:val="Heading1"/>
        <w:spacing w:before="360" w:after="200"/>
      </w:pPr>
      <w:r>
        <w:rPr>
          <w:rFonts w:ascii="Arial" w:cs="Arial" w:eastAsia="Arial" w:hAnsi="Arial"/>
          <w:b/>
          <w:bCs/>
          <w:color w:val="0D47A1"/>
          <w:sz w:val="36"/>
          <w:szCs w:val="36"/>
        </w:rPr>
        <w:t xml:space="preserve">4. LangGraph Implementation Detail</w:t>
      </w:r>
    </w:p>
    <w:p>
      <w:pPr>
        <w:spacing w:after="80"/>
      </w:pPr>
    </w:p>
    <w:p>
      <w:pPr>
        <w:pStyle w:val="Heading2"/>
        <w:spacing w:before="280" w:after="160"/>
      </w:pPr>
      <w:r>
        <w:rPr>
          <w:rFonts w:ascii="Arial" w:cs="Arial" w:eastAsia="Arial" w:hAnsi="Arial"/>
          <w:b/>
          <w:bCs/>
          <w:color w:val="1565C0"/>
          <w:sz w:val="28"/>
          <w:szCs w:val="28"/>
        </w:rPr>
        <w:t xml:space="preserve">4.1 State Model</w:t>
      </w:r>
    </w:p>
    <w:p>
      <w:pPr>
        <w:spacing w:after="120"/>
      </w:pPr>
      <w:r>
        <w:rPr>
          <w:rFonts w:ascii="Arial" w:cs="Arial" w:eastAsia="Arial" w:hAnsi="Arial"/>
          <w:sz w:val="22"/>
          <w:szCs w:val="22"/>
        </w:rPr>
        <w:t xml:space="preserve">The workflow state is a TypedDict with Annotated fields that use operator.add as reducers. This allows parallel branches (via Send) to independently append task results that are automatically merged when branches converge:</w:t>
      </w:r>
    </w:p>
    <w:p>
      <w:pPr>
        <w:shd w:fill="ECEFF1" w:val="clear"/>
        <w:spacing w:after="60"/>
        <w:ind w:left="360"/>
      </w:pPr>
      <w:r>
        <w:rPr>
          <w:rFonts w:ascii="Courier New" w:cs="Courier New" w:eastAsia="Courier New" w:hAnsi="Courier New"/>
          <w:sz w:val="18"/>
          <w:szCs w:val="18"/>
        </w:rPr>
        <w:t xml:space="preserve">class WorkflowState(TypedDict, total=False):</w:t>
      </w:r>
    </w:p>
    <w:p>
      <w:pPr>
        <w:shd w:fill="ECEFF1" w:val="clear"/>
        <w:spacing w:after="60"/>
        <w:ind w:left="360"/>
      </w:pPr>
      <w:r>
        <w:rPr>
          <w:rFonts w:ascii="Courier New" w:cs="Courier New" w:eastAsia="Courier New" w:hAnsi="Courier New"/>
          <w:sz w:val="18"/>
          <w:szCs w:val="18"/>
        </w:rPr>
        <w:t xml:space="preserve">    workflow_id: str</w:t>
      </w:r>
    </w:p>
    <w:p>
      <w:pPr>
        <w:shd w:fill="ECEFF1" w:val="clear"/>
        <w:spacing w:after="60"/>
        <w:ind w:left="360"/>
      </w:pPr>
      <w:r>
        <w:rPr>
          <w:rFonts w:ascii="Courier New" w:cs="Courier New" w:eastAsia="Courier New" w:hAnsi="Courier New"/>
          <w:sz w:val="18"/>
          <w:szCs w:val="18"/>
        </w:rPr>
        <w:t xml:space="preserve">    goal: str</w:t>
      </w:r>
    </w:p>
    <w:p>
      <w:pPr>
        <w:shd w:fill="ECEFF1" w:val="clear"/>
        <w:spacing w:after="60"/>
        <w:ind w:left="360"/>
      </w:pPr>
      <w:r>
        <w:rPr>
          <w:rFonts w:ascii="Courier New" w:cs="Courier New" w:eastAsia="Courier New" w:hAnsi="Courier New"/>
          <w:sz w:val="18"/>
          <w:szCs w:val="18"/>
        </w:rPr>
        <w:t xml:space="preserve">    plan: List[dict]</w:t>
      </w:r>
    </w:p>
    <w:p>
      <w:pPr>
        <w:shd w:fill="ECEFF1" w:val="clear"/>
        <w:spacing w:after="60"/>
        <w:ind w:left="360"/>
      </w:pPr>
      <w:r>
        <w:rPr>
          <w:rFonts w:ascii="Courier New" w:cs="Courier New" w:eastAsia="Courier New" w:hAnsi="Courier New"/>
          <w:sz w:val="18"/>
          <w:szCs w:val="18"/>
        </w:rPr>
        <w:t xml:space="preserve">    task_results: Annotated[List[TaskResult], operator.add]  # parallel merge</w:t>
      </w:r>
    </w:p>
    <w:p>
      <w:pPr>
        <w:shd w:fill="ECEFF1" w:val="clear"/>
        <w:spacing w:after="60"/>
        <w:ind w:left="360"/>
      </w:pPr>
      <w:r>
        <w:rPr>
          <w:rFonts w:ascii="Courier New" w:cs="Courier New" w:eastAsia="Courier New" w:hAnsi="Courier New"/>
          <w:sz w:val="18"/>
          <w:szCs w:val="18"/>
        </w:rPr>
        <w:t xml:space="preserve">    current_task: dict          # set per-branch by Send</w:t>
      </w:r>
    </w:p>
    <w:p>
      <w:pPr>
        <w:shd w:fill="ECEFF1" w:val="clear"/>
        <w:spacing w:after="60"/>
        <w:ind w:left="360"/>
      </w:pPr>
      <w:r>
        <w:rPr>
          <w:rFonts w:ascii="Courier New" w:cs="Courier New" w:eastAsia="Courier New" w:hAnsi="Courier New"/>
          <w:sz w:val="18"/>
          <w:szCs w:val="18"/>
        </w:rPr>
        <w:t xml:space="preserve">    dep_context: dict           # set per-branch by Send</w:t>
      </w:r>
    </w:p>
    <w:p>
      <w:pPr>
        <w:shd w:fill="ECEFF1" w:val="clear"/>
        <w:spacing w:after="60"/>
        <w:ind w:left="360"/>
      </w:pPr>
      <w:r>
        <w:rPr>
          <w:rFonts w:ascii="Courier New" w:cs="Courier New" w:eastAsia="Courier New" w:hAnsi="Courier New"/>
          <w:sz w:val="18"/>
          <w:szCs w:val="18"/>
        </w:rPr>
        <w:t xml:space="preserve">    final_output: str</w:t>
      </w:r>
    </w:p>
    <w:p>
      <w:pPr>
        <w:shd w:fill="ECEFF1" w:val="clear"/>
        <w:spacing w:after="60"/>
        <w:ind w:left="360"/>
      </w:pPr>
      <w:r>
        <w:rPr>
          <w:rFonts w:ascii="Courier New" w:cs="Courier New" w:eastAsia="Courier New" w:hAnsi="Courier New"/>
          <w:sz w:val="18"/>
          <w:szCs w:val="18"/>
        </w:rPr>
        <w:t xml:space="preserve">    workflow_critic_verdict: str</w:t>
      </w:r>
    </w:p>
    <w:p>
      <w:pPr>
        <w:shd w:fill="ECEFF1" w:val="clear"/>
        <w:spacing w:after="60"/>
        <w:ind w:left="360"/>
      </w:pPr>
      <w:r>
        <w:rPr>
          <w:rFonts w:ascii="Courier New" w:cs="Courier New" w:eastAsia="Courier New" w:hAnsi="Courier New"/>
          <w:sz w:val="18"/>
          <w:szCs w:val="18"/>
        </w:rPr>
        <w:t xml:space="preserve">    total_budget: float</w:t>
      </w:r>
    </w:p>
    <w:p>
      <w:pPr>
        <w:shd w:fill="ECEFF1" w:val="clear"/>
        <w:spacing w:after="60"/>
        <w:ind w:left="360"/>
      </w:pPr>
      <w:r>
        <w:rPr>
          <w:rFonts w:ascii="Courier New" w:cs="Courier New" w:eastAsia="Courier New" w:hAnsi="Courier New"/>
          <w:sz w:val="18"/>
          <w:szCs w:val="18"/>
        </w:rPr>
        <w:t xml:space="preserve">    spent: Annotated[float, operator.add]  # parallel merge</w:t>
      </w:r>
    </w:p>
    <w:p>
      <w:pPr>
        <w:shd w:fill="ECEFF1" w:val="clear"/>
        <w:spacing w:after="60"/>
        <w:ind w:left="360"/>
      </w:pPr>
      <w:r>
        <w:rPr>
          <w:rFonts w:ascii="Courier New" w:cs="Courier New" w:eastAsia="Courier New" w:hAnsi="Courier New"/>
          <w:sz w:val="18"/>
          <w:szCs w:val="18"/>
        </w:rPr>
        <w:t xml:space="preserve">    status: str</w:t>
      </w:r>
    </w:p>
    <w:p>
      <w:pPr>
        <w:spacing w:after="80"/>
      </w:pPr>
    </w:p>
    <w:p>
      <w:pPr>
        <w:pStyle w:val="Heading2"/>
        <w:spacing w:before="280" w:after="160"/>
      </w:pPr>
      <w:r>
        <w:rPr>
          <w:rFonts w:ascii="Arial" w:cs="Arial" w:eastAsia="Arial" w:hAnsi="Arial"/>
          <w:b/>
          <w:bCs/>
          <w:color w:val="1565C0"/>
          <w:sz w:val="28"/>
          <w:szCs w:val="28"/>
        </w:rPr>
        <w:t xml:space="preserve">4.2 Graph Topology</w:t>
      </w:r>
    </w:p>
    <w:p>
      <w:pPr>
        <w:shd w:fill="ECEFF1" w:val="clear"/>
        <w:spacing w:after="60"/>
        <w:ind w:left="360"/>
      </w:pPr>
      <w:r>
        <w:rPr>
          <w:rFonts w:ascii="Courier New" w:cs="Courier New" w:eastAsia="Courier New" w:hAnsi="Courier New"/>
          <w:sz w:val="18"/>
          <w:szCs w:val="18"/>
        </w:rPr>
        <w:t xml:space="preserve">START → planner → dispatch →(Send)→ [execute_task ×N] → dispatch → ...</w:t>
      </w:r>
    </w:p>
    <w:p>
      <w:pPr>
        <w:shd w:fill="ECEFF1" w:val="clear"/>
        <w:spacing w:after="60"/>
        <w:ind w:left="360"/>
      </w:pPr>
      <w:r>
        <w:rPr>
          <w:rFonts w:ascii="Courier New" w:cs="Courier New" w:eastAsia="Courier New" w:hAnsi="Courier New"/>
          <w:sz w:val="18"/>
          <w:szCs w:val="18"/>
        </w:rPr>
        <w:t xml:space="preserve">                                                                  ↓</w:t>
      </w:r>
    </w:p>
    <w:p>
      <w:pPr>
        <w:shd w:fill="ECEFF1" w:val="clear"/>
        <w:spacing w:after="60"/>
        <w:ind w:left="360"/>
      </w:pPr>
      <w:r>
        <w:rPr>
          <w:rFonts w:ascii="Courier New" w:cs="Courier New" w:eastAsia="Courier New" w:hAnsi="Courier New"/>
          <w:sz w:val="18"/>
          <w:szCs w:val="18"/>
        </w:rPr>
        <w:t xml:space="preserve">                           (no more ready tasks) → aggregator → workflow_critic → END</w:t>
      </w:r>
    </w:p>
    <w:p>
      <w:pPr>
        <w:spacing w:after="80"/>
      </w:pPr>
    </w:p>
    <w:p>
      <w:pPr>
        <w:spacing w:after="120"/>
      </w:pPr>
      <w:r>
        <w:rPr>
          <w:rFonts w:ascii="Arial" w:cs="Arial" w:eastAsia="Arial" w:hAnsi="Arial"/>
          <w:sz w:val="22"/>
          <w:szCs w:val="22"/>
        </w:rPr>
        <w:t xml:space="preserve">The dispatch node uses add_conditional_edges with a router function that inspects the plan and completed task_results to determine which tasks are ready. Ready tasks with no pending dependencies are dispatched in parallel via Send. Each Send creates a separate execution branch with its own current_task and dep_context. When all branches in a superstep complete, their task_results are merged via the operator.add reducer, and dispatch is called again to check for newly ready tasks.</w:t>
      </w:r>
    </w:p>
    <w:p>
      <w:pPr>
        <w:spacing w:after="80"/>
      </w:pPr>
    </w:p>
    <w:p>
      <w:pPr>
        <w:pStyle w:val="Heading2"/>
        <w:spacing w:before="280" w:after="160"/>
      </w:pPr>
      <w:r>
        <w:rPr>
          <w:rFonts w:ascii="Arial" w:cs="Arial" w:eastAsia="Arial" w:hAnsi="Arial"/>
          <w:b/>
          <w:bCs/>
          <w:color w:val="1565C0"/>
          <w:sz w:val="28"/>
          <w:szCs w:val="28"/>
        </w:rPr>
        <w:t xml:space="preserve">4.3 LangGraph Primitives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553"/>
        <w:gridCol w:w="4467"/>
      </w:tblGrid>
      <w:tr>
        <w:trPr>
          <w:tblHeader/>
        </w:trPr>
        <w:tc>
          <w:tcPr>
            <w:tcW w:type="dxa" w:w="2340"/>
            <w:tcBorders>
              <w:top w:val="single" w:color="90CAF9" w:sz="1"/>
              <w:left w:val="single" w:color="90CAF9" w:sz="1"/>
              <w:bottom w:val="single" w:color="90CAF9" w:sz="1"/>
              <w:right w:val="single" w:color="90CAF9"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Primitive</w:t>
            </w:r>
          </w:p>
        </w:tc>
        <w:tc>
          <w:tcPr>
            <w:tcW w:type="dxa" w:w="2553"/>
            <w:tcBorders>
              <w:top w:val="single" w:color="90CAF9" w:sz="1"/>
              <w:left w:val="single" w:color="90CAF9" w:sz="1"/>
              <w:bottom w:val="single" w:color="90CAF9" w:sz="1"/>
              <w:right w:val="single" w:color="90CAF9"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4467"/>
            <w:tcBorders>
              <w:top w:val="single" w:color="90CAF9" w:sz="1"/>
              <w:left w:val="single" w:color="90CAF9" w:sz="1"/>
              <w:bottom w:val="single" w:color="90CAF9" w:sz="1"/>
              <w:right w:val="single" w:color="90CAF9"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STC Usage</w:t>
            </w:r>
          </w:p>
        </w:tc>
      </w:tr>
      <w:tr>
        <w:tc>
          <w:tcPr>
            <w:tcW w:type="dxa" w:w="234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StateGraph(WorkflowState)</w:t>
            </w:r>
          </w:p>
        </w:tc>
        <w:tc>
          <w:tcPr>
            <w:tcW w:type="dxa" w:w="2553"/>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Define typed workflow state with reducers</w:t>
            </w:r>
          </w:p>
        </w:tc>
        <w:tc>
          <w:tcPr>
            <w:tcW w:type="dxa" w:w="4467"/>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Workflow state with parallel-safe task_results and spent</w:t>
            </w:r>
          </w:p>
        </w:tc>
      </w:tr>
      <w:tr>
        <w:tc>
          <w:tcPr>
            <w:tcW w:type="dxa" w:w="2340"/>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add_node(name, fn)</w:t>
            </w:r>
          </w:p>
        </w:tc>
        <w:tc>
          <w:tcPr>
            <w:tcW w:type="dxa" w:w="2553"/>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Register node functions</w:t>
            </w:r>
          </w:p>
        </w:tc>
        <w:tc>
          <w:tcPr>
            <w:tcW w:type="dxa" w:w="4467"/>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planner, dispatch, execute_task, aggregator, workflow_critic</w:t>
            </w:r>
          </w:p>
        </w:tc>
      </w:tr>
      <w:tr>
        <w:tc>
          <w:tcPr>
            <w:tcW w:type="dxa" w:w="234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add_edge(a, b)</w:t>
            </w:r>
          </w:p>
        </w:tc>
        <w:tc>
          <w:tcPr>
            <w:tcW w:type="dxa" w:w="2553"/>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Fixed routing</w:t>
            </w:r>
          </w:p>
        </w:tc>
        <w:tc>
          <w:tcPr>
            <w:tcW w:type="dxa" w:w="4467"/>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planner→dispatch, execute_task→dispatch, aggregator→critic, critic→END</w:t>
            </w:r>
          </w:p>
        </w:tc>
      </w:tr>
      <w:tr>
        <w:tc>
          <w:tcPr>
            <w:tcW w:type="dxa" w:w="2340"/>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add_conditional_edges(node, fn)</w:t>
            </w:r>
          </w:p>
        </w:tc>
        <w:tc>
          <w:tcPr>
            <w:tcW w:type="dxa" w:w="2553"/>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Dynamic routing based on state</w:t>
            </w:r>
          </w:p>
        </w:tc>
        <w:tc>
          <w:tcPr>
            <w:tcW w:type="dxa" w:w="4467"/>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dispatch→Send(execute_task) or →aggregator</w:t>
            </w:r>
          </w:p>
        </w:tc>
      </w:tr>
      <w:tr>
        <w:tc>
          <w:tcPr>
            <w:tcW w:type="dxa" w:w="234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Send(node, state)</w:t>
            </w:r>
          </w:p>
        </w:tc>
        <w:tc>
          <w:tcPr>
            <w:tcW w:type="dxa" w:w="2553"/>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Parallel fan-out with per-branch state</w:t>
            </w:r>
          </w:p>
        </w:tc>
        <w:tc>
          <w:tcPr>
            <w:tcW w:type="dxa" w:w="4467"/>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Dispatch each ready task to execute_task in parallel</w:t>
            </w:r>
          </w:p>
        </w:tc>
      </w:tr>
      <w:tr>
        <w:tc>
          <w:tcPr>
            <w:tcW w:type="dxa" w:w="2340"/>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Annotated[T, operator.add]</w:t>
            </w:r>
          </w:p>
        </w:tc>
        <w:tc>
          <w:tcPr>
            <w:tcW w:type="dxa" w:w="2553"/>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Reducer for merging parallel branch outputs</w:t>
            </w:r>
          </w:p>
        </w:tc>
        <w:tc>
          <w:tcPr>
            <w:tcW w:type="dxa" w:w="4467"/>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task_results (list concat) and spent (sum)</w:t>
            </w:r>
          </w:p>
        </w:tc>
      </w:tr>
      <w:tr>
        <w:tc>
          <w:tcPr>
            <w:tcW w:type="dxa" w:w="234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Checkpointing (production)</w:t>
            </w:r>
          </w:p>
        </w:tc>
        <w:tc>
          <w:tcPr>
            <w:tcW w:type="dxa" w:w="2553"/>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Durable state persistence for resume-after-failure</w:t>
            </w:r>
          </w:p>
        </w:tc>
        <w:tc>
          <w:tcPr>
            <w:tcW w:type="dxa" w:w="4467"/>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Resume workflow after pod restart or LLM timeout</w:t>
            </w:r>
          </w:p>
        </w:tc>
      </w:tr>
      <w:tr>
        <w:tc>
          <w:tcPr>
            <w:tcW w:type="dxa" w:w="2340"/>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interrupt_before (production)</w:t>
            </w:r>
          </w:p>
        </w:tc>
        <w:tc>
          <w:tcPr>
            <w:tcW w:type="dxa" w:w="2553"/>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Human-in-the-loop approval gates</w:t>
            </w:r>
          </w:p>
        </w:tc>
        <w:tc>
          <w:tcPr>
            <w:tcW w:type="dxa" w:w="4467"/>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Pause before high-risk tasks for advisor/compliance review</w:t>
            </w:r>
          </w:p>
        </w:tc>
      </w:tr>
    </w:tbl>
    <w:p>
      <w:pPr>
        <w:spacing w:after="80"/>
      </w:pPr>
    </w:p>
    <w:p>
      <w:pPr>
        <w:pStyle w:val="Heading2"/>
        <w:spacing w:before="280" w:after="160"/>
      </w:pPr>
      <w:r>
        <w:rPr>
          <w:rFonts w:ascii="Arial" w:cs="Arial" w:eastAsia="Arial" w:hAnsi="Arial"/>
          <w:b/>
          <w:bCs/>
          <w:color w:val="1565C0"/>
          <w:sz w:val="28"/>
          <w:szCs w:val="28"/>
        </w:rPr>
        <w:t xml:space="preserve">4.4 Graceful Degradation</w:t>
      </w:r>
    </w:p>
    <w:p>
      <w:pPr>
        <w:spacing w:after="120"/>
      </w:pPr>
      <w:r>
        <w:rPr>
          <w:rFonts w:ascii="Arial" w:cs="Arial" w:eastAsia="Arial" w:hAnsi="Arial"/>
          <w:sz w:val="22"/>
          <w:szCs w:val="22"/>
        </w:rPr>
        <w:t xml:space="preserve">The module imports LangGraph conditionally. If langgraph is not installed (e.g., in a development environment or CI pipeline), it falls back to a pure-Python SimulationEngine that executes the same node functions with ThreadPoolExecutor for parallelism. This ensures the orchestration logic is testable without the LangGraph dependency, while production deployments get the full graph execution engine with checkpointing and durable state.</w:t>
      </w:r>
    </w:p>
    <w:p>
      <w:r>
        <w:br w:type="page"/>
      </w:r>
    </w:p>
    <w:p>
      <w:pPr>
        <w:pStyle w:val="Heading1"/>
        <w:spacing w:before="360" w:after="200"/>
      </w:pPr>
      <w:r>
        <w:rPr>
          <w:rFonts w:ascii="Arial" w:cs="Arial" w:eastAsia="Arial" w:hAnsi="Arial"/>
          <w:b/>
          <w:bCs/>
          <w:color w:val="0D47A1"/>
          <w:sz w:val="36"/>
          <w:szCs w:val="36"/>
        </w:rPr>
        <w:t xml:space="preserve">5. Stalwart Registry &amp; Specialization</w:t>
      </w:r>
    </w:p>
    <w:p>
      <w:pPr>
        <w:spacing w:after="80"/>
      </w:pPr>
    </w:p>
    <w:p>
      <w:pPr>
        <w:pStyle w:val="Heading2"/>
        <w:spacing w:before="280" w:after="160"/>
      </w:pPr>
      <w:r>
        <w:rPr>
          <w:rFonts w:ascii="Arial" w:cs="Arial" w:eastAsia="Arial" w:hAnsi="Arial"/>
          <w:b/>
          <w:bCs/>
          <w:color w:val="1565C0"/>
          <w:sz w:val="28"/>
          <w:szCs w:val="28"/>
        </w:rPr>
        <w:t xml:space="preserve">3.1 Specialized Stalwart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2160"/>
        <w:gridCol w:w="1920"/>
        <w:gridCol w:w="1680"/>
      </w:tblGrid>
      <w:tr>
        <w:trPr>
          <w:tblHeader/>
        </w:trPr>
        <w:tc>
          <w:tcPr>
            <w:tcW w:type="dxa" w:w="1440"/>
            <w:tcBorders>
              <w:top w:val="single" w:color="90CAF9" w:sz="1"/>
              <w:left w:val="single" w:color="90CAF9" w:sz="1"/>
              <w:bottom w:val="single" w:color="90CAF9" w:sz="1"/>
              <w:right w:val="single" w:color="90CAF9"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Stalwart Type</w:t>
            </w:r>
          </w:p>
        </w:tc>
        <w:tc>
          <w:tcPr>
            <w:tcW w:type="dxa" w:w="2160"/>
            <w:tcBorders>
              <w:top w:val="single" w:color="90CAF9" w:sz="1"/>
              <w:left w:val="single" w:color="90CAF9" w:sz="1"/>
              <w:bottom w:val="single" w:color="90CAF9" w:sz="1"/>
              <w:right w:val="single" w:color="90CAF9"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2160"/>
            <w:tcBorders>
              <w:top w:val="single" w:color="90CAF9" w:sz="1"/>
              <w:left w:val="single" w:color="90CAF9" w:sz="1"/>
              <w:bottom w:val="single" w:color="90CAF9" w:sz="1"/>
              <w:right w:val="single" w:color="90CAF9"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Tools</w:t>
            </w:r>
          </w:p>
        </w:tc>
        <w:tc>
          <w:tcPr>
            <w:tcW w:type="dxa" w:w="1920"/>
            <w:tcBorders>
              <w:top w:val="single" w:color="90CAF9" w:sz="1"/>
              <w:left w:val="single" w:color="90CAF9" w:sz="1"/>
              <w:bottom w:val="single" w:color="90CAF9" w:sz="1"/>
              <w:right w:val="single" w:color="90CAF9"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Model Preference</w:t>
            </w:r>
          </w:p>
        </w:tc>
        <w:tc>
          <w:tcPr>
            <w:tcW w:type="dxa" w:w="1680"/>
            <w:tcBorders>
              <w:top w:val="single" w:color="90CAF9" w:sz="1"/>
              <w:left w:val="single" w:color="90CAF9" w:sz="1"/>
              <w:bottom w:val="single" w:color="90CAF9" w:sz="1"/>
              <w:right w:val="single" w:color="90CAF9"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Prompt Template</w:t>
            </w:r>
          </w:p>
        </w:tc>
      </w:tr>
      <w:tr>
        <w:tc>
          <w:tcPr>
            <w:tcW w:type="dxa" w:w="144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Document Q&amp;A</w:t>
            </w:r>
          </w:p>
        </w:tc>
        <w:tc>
          <w:tcPr>
            <w:tcW w:type="dxa" w:w="216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RAG-based question answering over financial documents</w:t>
            </w:r>
          </w:p>
        </w:tc>
        <w:tc>
          <w:tcPr>
            <w:tcW w:type="dxa" w:w="216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Qdrant vector search, document retrieval</w:t>
            </w:r>
          </w:p>
        </w:tc>
        <w:tc>
          <w:tcPr>
            <w:tcW w:type="dxa" w:w="192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claude-sonnet-4 (accuracy-optimized)</w:t>
            </w:r>
          </w:p>
        </w:tc>
        <w:tc>
          <w:tcPr>
            <w:tcW w:type="dxa" w:w="168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financial_qa_v3.1</w:t>
            </w:r>
          </w:p>
        </w:tc>
      </w:tr>
      <w:tr>
        <w:tc>
          <w:tcPr>
            <w:tcW w:type="dxa" w:w="1440"/>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Data Analyst</w:t>
            </w:r>
          </w:p>
        </w:tc>
        <w:tc>
          <w:tcPr>
            <w:tcW w:type="dxa" w:w="2160"/>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Numerical analysis, calculations, comparisons, trend detection</w:t>
            </w:r>
          </w:p>
        </w:tc>
        <w:tc>
          <w:tcPr>
            <w:tcW w:type="dxa" w:w="2160"/>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Code execution (Python sandbox), calculator, chart generation</w:t>
            </w:r>
          </w:p>
        </w:tc>
        <w:tc>
          <w:tcPr>
            <w:tcW w:type="dxa" w:w="1920"/>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claude-sonnet-4 or gpt-4o</w:t>
            </w:r>
          </w:p>
        </w:tc>
        <w:tc>
          <w:tcPr>
            <w:tcW w:type="dxa" w:w="1680"/>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data_analysis_v1.0</w:t>
            </w:r>
          </w:p>
        </w:tc>
      </w:tr>
      <w:tr>
        <w:tc>
          <w:tcPr>
            <w:tcW w:type="dxa" w:w="144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Writer</w:t>
            </w:r>
          </w:p>
        </w:tc>
        <w:tc>
          <w:tcPr>
            <w:tcW w:type="dxa" w:w="216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Long-form content generation: memos, reports, summaries</w:t>
            </w:r>
          </w:p>
        </w:tc>
        <w:tc>
          <w:tcPr>
            <w:tcW w:type="dxa" w:w="216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Template engine, formatting tools</w:t>
            </w:r>
          </w:p>
        </w:tc>
        <w:tc>
          <w:tcPr>
            <w:tcW w:type="dxa" w:w="192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claude-sonnet-4 (quality-optimized)</w:t>
            </w:r>
          </w:p>
        </w:tc>
        <w:tc>
          <w:tcPr>
            <w:tcW w:type="dxa" w:w="168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writing_v2.0</w:t>
            </w:r>
          </w:p>
        </w:tc>
      </w:tr>
      <w:tr>
        <w:tc>
          <w:tcPr>
            <w:tcW w:type="dxa" w:w="1440"/>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Researcher</w:t>
            </w:r>
          </w:p>
        </w:tc>
        <w:tc>
          <w:tcPr>
            <w:tcW w:type="dxa" w:w="2160"/>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Multi-source information gathering and synthesis</w:t>
            </w:r>
          </w:p>
        </w:tc>
        <w:tc>
          <w:tcPr>
            <w:tcW w:type="dxa" w:w="2160"/>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Web search (if permitted), document retrieval, MCP tools</w:t>
            </w:r>
          </w:p>
        </w:tc>
        <w:tc>
          <w:tcPr>
            <w:tcW w:type="dxa" w:w="1920"/>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gpt-4o (breadth-optimized)</w:t>
            </w:r>
          </w:p>
        </w:tc>
        <w:tc>
          <w:tcPr>
            <w:tcW w:type="dxa" w:w="1680"/>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research_v1.0</w:t>
            </w:r>
          </w:p>
        </w:tc>
      </w:tr>
      <w:tr>
        <w:tc>
          <w:tcPr>
            <w:tcW w:type="dxa" w:w="144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Validator</w:t>
            </w:r>
          </w:p>
        </w:tc>
        <w:tc>
          <w:tcPr>
            <w:tcW w:type="dxa" w:w="216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Cross-checks facts, numbers, and citations against sources</w:t>
            </w:r>
          </w:p>
        </w:tc>
        <w:tc>
          <w:tcPr>
            <w:tcW w:type="dxa" w:w="216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Qdrant search, calculator, source lookup</w:t>
            </w:r>
          </w:p>
        </w:tc>
        <w:tc>
          <w:tcPr>
            <w:tcW w:type="dxa" w:w="192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local/llama-3.1 (cost-optimized)</w:t>
            </w:r>
          </w:p>
        </w:tc>
        <w:tc>
          <w:tcPr>
            <w:tcW w:type="dxa" w:w="168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validation_v1.0</w:t>
            </w:r>
          </w:p>
        </w:tc>
      </w:tr>
      <w:tr>
        <w:tc>
          <w:tcPr>
            <w:tcW w:type="dxa" w:w="1440"/>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Summarizer</w:t>
            </w:r>
          </w:p>
        </w:tc>
        <w:tc>
          <w:tcPr>
            <w:tcW w:type="dxa" w:w="2160"/>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Condenses long documents or multi-source inputs</w:t>
            </w:r>
          </w:p>
        </w:tc>
        <w:tc>
          <w:tcPr>
            <w:tcW w:type="dxa" w:w="2160"/>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Document retrieval</w:t>
            </w:r>
          </w:p>
        </w:tc>
        <w:tc>
          <w:tcPr>
            <w:tcW w:type="dxa" w:w="1920"/>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local/llama-3.1 (cost-optimized)</w:t>
            </w:r>
          </w:p>
        </w:tc>
        <w:tc>
          <w:tcPr>
            <w:tcW w:type="dxa" w:w="1680"/>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summary_v1.0</w:t>
            </w:r>
          </w:p>
        </w:tc>
      </w:tr>
    </w:tbl>
    <w:p>
      <w:pPr>
        <w:spacing w:after="80"/>
      </w:pPr>
    </w:p>
    <w:p>
      <w:pPr>
        <w:pStyle w:val="Heading2"/>
        <w:spacing w:before="280" w:after="160"/>
      </w:pPr>
      <w:r>
        <w:rPr>
          <w:rFonts w:ascii="Arial" w:cs="Arial" w:eastAsia="Arial" w:hAnsi="Arial"/>
          <w:b/>
          <w:bCs/>
          <w:color w:val="1565C0"/>
          <w:sz w:val="28"/>
          <w:szCs w:val="28"/>
        </w:rPr>
        <w:t xml:space="preserve">3.2 Registry Schema</w:t>
      </w:r>
    </w:p>
    <w:p>
      <w:pPr>
        <w:shd w:fill="ECEFF1" w:val="clear"/>
        <w:spacing w:after="60"/>
        <w:ind w:left="360"/>
      </w:pPr>
      <w:r>
        <w:rPr>
          <w:rFonts w:ascii="Courier New" w:cs="Courier New" w:eastAsia="Courier New" w:hAnsi="Courier New"/>
          <w:sz w:val="18"/>
          <w:szCs w:val="18"/>
        </w:rPr>
        <w:t xml:space="preserve">stalwart_registry:</w:t>
      </w:r>
    </w:p>
    <w:p>
      <w:pPr>
        <w:shd w:fill="ECEFF1" w:val="clear"/>
        <w:spacing w:after="60"/>
        <w:ind w:left="360"/>
      </w:pPr>
      <w:r>
        <w:rPr>
          <w:rFonts w:ascii="Courier New" w:cs="Courier New" w:eastAsia="Courier New" w:hAnsi="Courier New"/>
          <w:sz w:val="18"/>
          <w:szCs w:val="18"/>
        </w:rPr>
        <w:t xml:space="preserve">  - id: doc_qa</w:t>
      </w:r>
    </w:p>
    <w:p>
      <w:pPr>
        <w:shd w:fill="ECEFF1" w:val="clear"/>
        <w:spacing w:after="60"/>
        <w:ind w:left="360"/>
      </w:pPr>
      <w:r>
        <w:rPr>
          <w:rFonts w:ascii="Courier New" w:cs="Courier New" w:eastAsia="Courier New" w:hAnsi="Courier New"/>
          <w:sz w:val="18"/>
          <w:szCs w:val="18"/>
        </w:rPr>
        <w:t xml:space="preserve">    type: document_qa</w:t>
      </w:r>
    </w:p>
    <w:p>
      <w:pPr>
        <w:shd w:fill="ECEFF1" w:val="clear"/>
        <w:spacing w:after="60"/>
        <w:ind w:left="360"/>
      </w:pPr>
      <w:r>
        <w:rPr>
          <w:rFonts w:ascii="Courier New" w:cs="Courier New" w:eastAsia="Courier New" w:hAnsi="Courier New"/>
          <w:sz w:val="18"/>
          <w:szCs w:val="18"/>
        </w:rPr>
        <w:t xml:space="preserve">    capabilities: [rag, citation, numerical_precision]</w:t>
      </w:r>
    </w:p>
    <w:p>
      <w:pPr>
        <w:shd w:fill="ECEFF1" w:val="clear"/>
        <w:spacing w:after="60"/>
        <w:ind w:left="360"/>
      </w:pPr>
      <w:r>
        <w:rPr>
          <w:rFonts w:ascii="Courier New" w:cs="Courier New" w:eastAsia="Courier New" w:hAnsi="Courier New"/>
          <w:sz w:val="18"/>
          <w:szCs w:val="18"/>
        </w:rPr>
        <w:t xml:space="preserve">    tools: [qdrant_search, document_retrieve]</w:t>
      </w:r>
    </w:p>
    <w:p>
      <w:pPr>
        <w:shd w:fill="ECEFF1" w:val="clear"/>
        <w:spacing w:after="60"/>
        <w:ind w:left="360"/>
      </w:pPr>
      <w:r>
        <w:rPr>
          <w:rFonts w:ascii="Courier New" w:cs="Courier New" w:eastAsia="Courier New" w:hAnsi="Courier New"/>
          <w:sz w:val="18"/>
          <w:szCs w:val="18"/>
        </w:rPr>
        <w:t xml:space="preserve">    model: anthropic/claude-sonnet-4</w:t>
      </w:r>
    </w:p>
    <w:p>
      <w:pPr>
        <w:shd w:fill="ECEFF1" w:val="clear"/>
        <w:spacing w:after="60"/>
        <w:ind w:left="360"/>
      </w:pPr>
      <w:r>
        <w:rPr>
          <w:rFonts w:ascii="Courier New" w:cs="Courier New" w:eastAsia="Courier New" w:hAnsi="Courier New"/>
          <w:sz w:val="18"/>
          <w:szCs w:val="18"/>
        </w:rPr>
        <w:t xml:space="preserve">    prompt_template: financial_qa_v3.1</w:t>
      </w:r>
    </w:p>
    <w:p>
      <w:pPr>
        <w:shd w:fill="ECEFF1" w:val="clear"/>
        <w:spacing w:after="60"/>
        <w:ind w:left="360"/>
      </w:pPr>
      <w:r>
        <w:rPr>
          <w:rFonts w:ascii="Courier New" w:cs="Courier New" w:eastAsia="Courier New" w:hAnsi="Courier New"/>
          <w:sz w:val="18"/>
          <w:szCs w:val="18"/>
        </w:rPr>
        <w:t xml:space="preserve">    cost_weight: 0.4    # receives 40% of task budget by default</w:t>
      </w:r>
    </w:p>
    <w:p>
      <w:pPr>
        <w:shd w:fill="ECEFF1" w:val="clear"/>
        <w:spacing w:after="60"/>
        <w:ind w:left="360"/>
      </w:pPr>
      <w:r>
        <w:rPr>
          <w:rFonts w:ascii="Courier New" w:cs="Courier New" w:eastAsia="Courier New" w:hAnsi="Courier New"/>
          <w:sz w:val="18"/>
          <w:szCs w:val="18"/>
        </w:rPr>
        <w:t xml:space="preserve">    max_context_tokens: 16000</w:t>
      </w:r>
    </w:p>
    <w:p>
      <w:pPr>
        <w:shd w:fill="ECEFF1" w:val="clear"/>
        <w:spacing w:after="60"/>
        <w:ind w:left="360"/>
      </w:pPr>
      <w:r>
        <w:rPr>
          <w:rFonts w:ascii="Courier New" w:cs="Courier New" w:eastAsia="Courier New" w:hAnsi="Courier New"/>
          <w:sz w:val="18"/>
          <w:szCs w:val="18"/>
        </w:rPr>
        <w:t xml:space="preserve">    data_tiers: [public, internal]</w:t>
      </w:r>
    </w:p>
    <w:p>
      <w:pPr>
        <w:shd w:fill="ECEFF1" w:val="clear"/>
        <w:spacing w:after="60"/>
        <w:ind w:left="360"/>
      </w:pPr>
      <w:r>
        <w:rPr>
          <w:rFonts w:ascii="Courier New" w:cs="Courier New" w:eastAsia="Courier New" w:hAnsi="Courier New"/>
          <w:sz w:val="18"/>
          <w:szCs w:val="18"/>
        </w:rPr>
        <w:t xml:space="preserve"/>
      </w:r>
    </w:p>
    <w:p>
      <w:pPr>
        <w:shd w:fill="ECEFF1" w:val="clear"/>
        <w:spacing w:after="60"/>
        <w:ind w:left="360"/>
      </w:pPr>
      <w:r>
        <w:rPr>
          <w:rFonts w:ascii="Courier New" w:cs="Courier New" w:eastAsia="Courier New" w:hAnsi="Courier New"/>
          <w:sz w:val="18"/>
          <w:szCs w:val="18"/>
        </w:rPr>
        <w:t xml:space="preserve">  - id: data_analyst</w:t>
      </w:r>
    </w:p>
    <w:p>
      <w:pPr>
        <w:shd w:fill="ECEFF1" w:val="clear"/>
        <w:spacing w:after="60"/>
        <w:ind w:left="360"/>
      </w:pPr>
      <w:r>
        <w:rPr>
          <w:rFonts w:ascii="Courier New" w:cs="Courier New" w:eastAsia="Courier New" w:hAnsi="Courier New"/>
          <w:sz w:val="18"/>
          <w:szCs w:val="18"/>
        </w:rPr>
        <w:t xml:space="preserve">    type: data_analyst</w:t>
      </w:r>
    </w:p>
    <w:p>
      <w:pPr>
        <w:shd w:fill="ECEFF1" w:val="clear"/>
        <w:spacing w:after="60"/>
        <w:ind w:left="360"/>
      </w:pPr>
      <w:r>
        <w:rPr>
          <w:rFonts w:ascii="Courier New" w:cs="Courier New" w:eastAsia="Courier New" w:hAnsi="Courier New"/>
          <w:sz w:val="18"/>
          <w:szCs w:val="18"/>
        </w:rPr>
        <w:t xml:space="preserve">    capabilities: [calculation, comparison, trend_analysis]</w:t>
      </w:r>
    </w:p>
    <w:p>
      <w:pPr>
        <w:shd w:fill="ECEFF1" w:val="clear"/>
        <w:spacing w:after="60"/>
        <w:ind w:left="360"/>
      </w:pPr>
      <w:r>
        <w:rPr>
          <w:rFonts w:ascii="Courier New" w:cs="Courier New" w:eastAsia="Courier New" w:hAnsi="Courier New"/>
          <w:sz w:val="18"/>
          <w:szCs w:val="18"/>
        </w:rPr>
        <w:t xml:space="preserve">    tools: [python_sandbox, calculator]</w:t>
      </w:r>
    </w:p>
    <w:p>
      <w:pPr>
        <w:shd w:fill="ECEFF1" w:val="clear"/>
        <w:spacing w:after="60"/>
        <w:ind w:left="360"/>
      </w:pPr>
      <w:r>
        <w:rPr>
          <w:rFonts w:ascii="Courier New" w:cs="Courier New" w:eastAsia="Courier New" w:hAnsi="Courier New"/>
          <w:sz w:val="18"/>
          <w:szCs w:val="18"/>
        </w:rPr>
        <w:t xml:space="preserve">    model: anthropic/claude-sonnet-4</w:t>
      </w:r>
    </w:p>
    <w:p>
      <w:pPr>
        <w:shd w:fill="ECEFF1" w:val="clear"/>
        <w:spacing w:after="60"/>
        <w:ind w:left="360"/>
      </w:pPr>
      <w:r>
        <w:rPr>
          <w:rFonts w:ascii="Courier New" w:cs="Courier New" w:eastAsia="Courier New" w:hAnsi="Courier New"/>
          <w:sz w:val="18"/>
          <w:szCs w:val="18"/>
        </w:rPr>
        <w:t xml:space="preserve">    prompt_template: data_analysis_v1.0</w:t>
      </w:r>
    </w:p>
    <w:p>
      <w:pPr>
        <w:shd w:fill="ECEFF1" w:val="clear"/>
        <w:spacing w:after="60"/>
        <w:ind w:left="360"/>
      </w:pPr>
      <w:r>
        <w:rPr>
          <w:rFonts w:ascii="Courier New" w:cs="Courier New" w:eastAsia="Courier New" w:hAnsi="Courier New"/>
          <w:sz w:val="18"/>
          <w:szCs w:val="18"/>
        </w:rPr>
        <w:t xml:space="preserve">    cost_weight: 0.3</w:t>
      </w:r>
    </w:p>
    <w:p>
      <w:pPr>
        <w:shd w:fill="ECEFF1" w:val="clear"/>
        <w:spacing w:after="60"/>
        <w:ind w:left="360"/>
      </w:pPr>
      <w:r>
        <w:rPr>
          <w:rFonts w:ascii="Courier New" w:cs="Courier New" w:eastAsia="Courier New" w:hAnsi="Courier New"/>
          <w:sz w:val="18"/>
          <w:szCs w:val="18"/>
        </w:rPr>
        <w:t xml:space="preserve">    max_context_tokens: 8000</w:t>
      </w:r>
    </w:p>
    <w:p>
      <w:pPr>
        <w:shd w:fill="ECEFF1" w:val="clear"/>
        <w:spacing w:after="60"/>
        <w:ind w:left="360"/>
      </w:pPr>
      <w:r>
        <w:rPr>
          <w:rFonts w:ascii="Courier New" w:cs="Courier New" w:eastAsia="Courier New" w:hAnsi="Courier New"/>
          <w:sz w:val="18"/>
          <w:szCs w:val="18"/>
        </w:rPr>
        <w:t xml:space="preserve">    data_tiers: [public, internal, restricted]</w:t>
      </w:r>
    </w:p>
    <w:p>
      <w:pPr>
        <w:spacing w:after="80"/>
      </w:pPr>
    </w:p>
    <w:p>
      <w:pPr>
        <w:spacing w:after="120"/>
      </w:pPr>
      <w:r>
        <w:rPr>
          <w:rFonts w:ascii="Arial" w:cs="Arial" w:eastAsia="Arial" w:hAnsi="Arial"/>
          <w:sz w:val="22"/>
          <w:szCs w:val="22"/>
        </w:rPr>
        <w:t xml:space="preserve">The registry is loaded from the Declarative Specification at startup and can be updated via the standard change management process. The Task Planner uses the registry to match sub-tasks to the most appropriate Stalwart type based on required capabilities.</w:t>
      </w:r>
    </w:p>
    <w:p>
      <w:r>
        <w:br w:type="page"/>
      </w:r>
    </w:p>
    <w:p>
      <w:pPr>
        <w:pStyle w:val="Heading1"/>
        <w:spacing w:before="360" w:after="200"/>
      </w:pPr>
      <w:r>
        <w:rPr>
          <w:rFonts w:ascii="Arial" w:cs="Arial" w:eastAsia="Arial" w:hAnsi="Arial"/>
          <w:b/>
          <w:bCs/>
          <w:color w:val="0D47A1"/>
          <w:sz w:val="36"/>
          <w:szCs w:val="36"/>
        </w:rPr>
        <w:t xml:space="preserve">6. Task Decomposition &amp; Planning</w:t>
      </w:r>
    </w:p>
    <w:p>
      <w:pPr>
        <w:spacing w:after="80"/>
      </w:pPr>
    </w:p>
    <w:p>
      <w:pPr>
        <w:pStyle w:val="Heading2"/>
        <w:spacing w:before="280" w:after="160"/>
      </w:pPr>
      <w:r>
        <w:rPr>
          <w:rFonts w:ascii="Arial" w:cs="Arial" w:eastAsia="Arial" w:hAnsi="Arial"/>
          <w:b/>
          <w:bCs/>
          <w:color w:val="1565C0"/>
          <w:sz w:val="28"/>
          <w:szCs w:val="28"/>
        </w:rPr>
        <w:t xml:space="preserve">4.1 The Planner</w:t>
      </w:r>
    </w:p>
    <w:p>
      <w:pPr>
        <w:spacing w:after="120"/>
      </w:pPr>
      <w:r>
        <w:rPr>
          <w:rFonts w:ascii="Arial" w:cs="Arial" w:eastAsia="Arial" w:hAnsi="Arial"/>
          <w:sz w:val="22"/>
          <w:szCs w:val="22"/>
        </w:rPr>
        <w:t xml:space="preserve">The Task Planner is itself a Stalwart — a specialized one whose job is to decompose a complex user goal into a structured execution plan. It uses an LLM (governed by the Critic) to produce a JSON plan that the Workflow Engine can execute.</w:t>
      </w:r>
    </w:p>
    <w:p>
      <w:pPr>
        <w:spacing w:after="80"/>
      </w:pPr>
    </w:p>
    <w:p>
      <w:pPr>
        <w:spacing w:before="200" w:after="120"/>
      </w:pPr>
      <w:r>
        <w:rPr>
          <w:rFonts w:ascii="Arial" w:cs="Arial" w:eastAsia="Arial" w:hAnsi="Arial"/>
          <w:b/>
          <w:bCs/>
          <w:color w:val="0D47A1"/>
          <w:sz w:val="24"/>
          <w:szCs w:val="24"/>
        </w:rPr>
        <w:t xml:space="preserve">Planning Flow</w:t>
      </w:r>
    </w:p>
    <w:p>
      <w:pPr>
        <w:spacing w:after="100"/>
      </w:pPr>
      <w:r>
        <w:rPr>
          <w:rFonts w:ascii="Arial" w:cs="Arial" w:eastAsia="Arial" w:hAnsi="Arial"/>
          <w:b/>
          <w:bCs/>
          <w:sz w:val="22"/>
          <w:szCs w:val="22"/>
        </w:rPr>
        <w:t xml:space="preserve">1. </w:t>
      </w:r>
      <w:r>
        <w:rPr>
          <w:rFonts w:ascii="Arial" w:cs="Arial" w:eastAsia="Arial" w:hAnsi="Arial"/>
          <w:sz w:val="22"/>
          <w:szCs w:val="22"/>
        </w:rPr>
        <w:t xml:space="preserve">User submits complex request: “Analyze ACME’s Q4 performance vs. industry peers and draft a client-ready summary memo.”</w:t>
      </w:r>
    </w:p>
    <w:p>
      <w:pPr>
        <w:spacing w:after="100"/>
      </w:pPr>
      <w:r>
        <w:rPr>
          <w:rFonts w:ascii="Arial" w:cs="Arial" w:eastAsia="Arial" w:hAnsi="Arial"/>
          <w:b/>
          <w:bCs/>
          <w:sz w:val="22"/>
          <w:szCs w:val="22"/>
        </w:rPr>
        <w:t xml:space="preserve">2. </w:t>
      </w:r>
      <w:r>
        <w:rPr>
          <w:rFonts w:ascii="Arial" w:cs="Arial" w:eastAsia="Arial" w:hAnsi="Arial"/>
          <w:sz w:val="22"/>
          <w:szCs w:val="22"/>
        </w:rPr>
        <w:t xml:space="preserve">Planner Stalwart receives the request + Stalwart Registry (available capabilities).</w:t>
      </w:r>
    </w:p>
    <w:p>
      <w:pPr>
        <w:spacing w:after="100"/>
      </w:pPr>
      <w:r>
        <w:rPr>
          <w:rFonts w:ascii="Arial" w:cs="Arial" w:eastAsia="Arial" w:hAnsi="Arial"/>
          <w:b/>
          <w:bCs/>
          <w:sz w:val="22"/>
          <w:szCs w:val="22"/>
        </w:rPr>
        <w:t xml:space="preserve">3. </w:t>
      </w:r>
      <w:r>
        <w:rPr>
          <w:rFonts w:ascii="Arial" w:cs="Arial" w:eastAsia="Arial" w:hAnsi="Arial"/>
          <w:sz w:val="22"/>
          <w:szCs w:val="22"/>
        </w:rPr>
        <w:t xml:space="preserve">Planner produces a structured plan (JSON) with tasks, dependencies, and Stalwart assignments.</w:t>
      </w:r>
    </w:p>
    <w:p>
      <w:pPr>
        <w:spacing w:after="100"/>
      </w:pPr>
      <w:r>
        <w:rPr>
          <w:rFonts w:ascii="Arial" w:cs="Arial" w:eastAsia="Arial" w:hAnsi="Arial"/>
          <w:b/>
          <w:bCs/>
          <w:sz w:val="22"/>
          <w:szCs w:val="22"/>
        </w:rPr>
        <w:t xml:space="preserve">4. </w:t>
      </w:r>
      <w:r>
        <w:rPr>
          <w:rFonts w:ascii="Arial" w:cs="Arial" w:eastAsia="Arial" w:hAnsi="Arial"/>
          <w:sz w:val="22"/>
          <w:szCs w:val="22"/>
        </w:rPr>
        <w:t xml:space="preserve">Critic validates the plan: Are all tasks achievable? Are dependencies logical? Is the scope within bounds?</w:t>
      </w:r>
    </w:p>
    <w:p>
      <w:pPr>
        <w:spacing w:after="100"/>
      </w:pPr>
      <w:r>
        <w:rPr>
          <w:rFonts w:ascii="Arial" w:cs="Arial" w:eastAsia="Arial" w:hAnsi="Arial"/>
          <w:b/>
          <w:bCs/>
          <w:sz w:val="22"/>
          <w:szCs w:val="22"/>
        </w:rPr>
        <w:t xml:space="preserve">5. </w:t>
      </w:r>
      <w:r>
        <w:rPr>
          <w:rFonts w:ascii="Arial" w:cs="Arial" w:eastAsia="Arial" w:hAnsi="Arial"/>
          <w:sz w:val="22"/>
          <w:szCs w:val="22"/>
        </w:rPr>
        <w:t xml:space="preserve">Workflow Engine executes the plan.</w:t>
      </w:r>
    </w:p>
    <w:p>
      <w:pPr>
        <w:spacing w:after="80"/>
      </w:pPr>
    </w:p>
    <w:p>
      <w:pPr>
        <w:spacing w:before="200" w:after="120"/>
      </w:pPr>
      <w:r>
        <w:rPr>
          <w:rFonts w:ascii="Arial" w:cs="Arial" w:eastAsia="Arial" w:hAnsi="Arial"/>
          <w:b/>
          <w:bCs/>
          <w:color w:val="0D47A1"/>
          <w:sz w:val="24"/>
          <w:szCs w:val="24"/>
        </w:rPr>
        <w:t xml:space="preserve">Example Plan Output</w:t>
      </w:r>
    </w:p>
    <w:p>
      <w:pPr>
        <w:shd w:fill="ECEFF1" w:val="clear"/>
        <w:spacing w:after="60"/>
        <w:ind w:left="360"/>
      </w:pPr>
      <w:r>
        <w:rPr>
          <w:rFonts w:ascii="Courier New" w:cs="Courier New" w:eastAsia="Courier New" w:hAnsi="Courier New"/>
          <w:sz w:val="18"/>
          <w:szCs w:val="18"/>
        </w:rPr>
        <w:t xml:space="preserve">{</w:t>
      </w:r>
    </w:p>
    <w:p>
      <w:pPr>
        <w:shd w:fill="ECEFF1" w:val="clear"/>
        <w:spacing w:after="60"/>
        <w:ind w:left="360"/>
      </w:pPr>
      <w:r>
        <w:rPr>
          <w:rFonts w:ascii="Courier New" w:cs="Courier New" w:eastAsia="Courier New" w:hAnsi="Courier New"/>
          <w:sz w:val="18"/>
          <w:szCs w:val="18"/>
        </w:rPr>
        <w:t xml:space="preserve">  "workflow_id": "wf-20260310-001",</w:t>
      </w:r>
    </w:p>
    <w:p>
      <w:pPr>
        <w:shd w:fill="ECEFF1" w:val="clear"/>
        <w:spacing w:after="60"/>
        <w:ind w:left="360"/>
      </w:pPr>
      <w:r>
        <w:rPr>
          <w:rFonts w:ascii="Courier New" w:cs="Courier New" w:eastAsia="Courier New" w:hAnsi="Courier New"/>
          <w:sz w:val="18"/>
          <w:szCs w:val="18"/>
        </w:rPr>
        <w:t xml:space="preserve">  "goal": "Analyze ACME Q4 vs peers + draft memo",</w:t>
      </w:r>
    </w:p>
    <w:p>
      <w:pPr>
        <w:shd w:fill="ECEFF1" w:val="clear"/>
        <w:spacing w:after="60"/>
        <w:ind w:left="360"/>
      </w:pPr>
      <w:r>
        <w:rPr>
          <w:rFonts w:ascii="Courier New" w:cs="Courier New" w:eastAsia="Courier New" w:hAnsi="Courier New"/>
          <w:sz w:val="18"/>
          <w:szCs w:val="18"/>
        </w:rPr>
        <w:t xml:space="preserve">  "tasks": [</w:t>
      </w:r>
    </w:p>
    <w:p>
      <w:pPr>
        <w:shd w:fill="ECEFF1" w:val="clear"/>
        <w:spacing w:after="60"/>
        <w:ind w:left="360"/>
      </w:pPr>
      <w:r>
        <w:rPr>
          <w:rFonts w:ascii="Courier New" w:cs="Courier New" w:eastAsia="Courier New" w:hAnsi="Courier New"/>
          <w:sz w:val="18"/>
          <w:szCs w:val="18"/>
        </w:rPr>
        <w:t xml:space="preserve">    {"id": "t1", "type": "research", "stalwart": "doc_qa",</w:t>
      </w:r>
    </w:p>
    <w:p>
      <w:pPr>
        <w:shd w:fill="ECEFF1" w:val="clear"/>
        <w:spacing w:after="60"/>
        <w:ind w:left="360"/>
      </w:pPr>
      <w:r>
        <w:rPr>
          <w:rFonts w:ascii="Courier New" w:cs="Courier New" w:eastAsia="Courier New" w:hAnsi="Courier New"/>
          <w:sz w:val="18"/>
          <w:szCs w:val="18"/>
        </w:rPr>
        <w:t xml:space="preserve">     "input": "Retrieve ACME Q4 2025 financials",</w:t>
      </w:r>
    </w:p>
    <w:p>
      <w:pPr>
        <w:shd w:fill="ECEFF1" w:val="clear"/>
        <w:spacing w:after="60"/>
        <w:ind w:left="360"/>
      </w:pPr>
      <w:r>
        <w:rPr>
          <w:rFonts w:ascii="Courier New" w:cs="Courier New" w:eastAsia="Courier New" w:hAnsi="Courier New"/>
          <w:sz w:val="18"/>
          <w:szCs w:val="18"/>
        </w:rPr>
        <w:t xml:space="preserve">     "depends_on": [], "budget_pct": 0.20},</w:t>
      </w:r>
    </w:p>
    <w:p>
      <w:pPr>
        <w:shd w:fill="ECEFF1" w:val="clear"/>
        <w:spacing w:after="60"/>
        <w:ind w:left="360"/>
      </w:pPr>
      <w:r>
        <w:rPr>
          <w:rFonts w:ascii="Courier New" w:cs="Courier New" w:eastAsia="Courier New" w:hAnsi="Courier New"/>
          <w:sz w:val="18"/>
          <w:szCs w:val="18"/>
        </w:rPr>
        <w:t xml:space="preserve">    {"id": "t2", "type": "research", "stalwart": "doc_qa",</w:t>
      </w:r>
    </w:p>
    <w:p>
      <w:pPr>
        <w:shd w:fill="ECEFF1" w:val="clear"/>
        <w:spacing w:after="60"/>
        <w:ind w:left="360"/>
      </w:pPr>
      <w:r>
        <w:rPr>
          <w:rFonts w:ascii="Courier New" w:cs="Courier New" w:eastAsia="Courier New" w:hAnsi="Courier New"/>
          <w:sz w:val="18"/>
          <w:szCs w:val="18"/>
        </w:rPr>
        <w:t xml:space="preserve">     "input": "Retrieve industry peer Q4 benchmarks",</w:t>
      </w:r>
    </w:p>
    <w:p>
      <w:pPr>
        <w:shd w:fill="ECEFF1" w:val="clear"/>
        <w:spacing w:after="60"/>
        <w:ind w:left="360"/>
      </w:pPr>
      <w:r>
        <w:rPr>
          <w:rFonts w:ascii="Courier New" w:cs="Courier New" w:eastAsia="Courier New" w:hAnsi="Courier New"/>
          <w:sz w:val="18"/>
          <w:szCs w:val="18"/>
        </w:rPr>
        <w:t xml:space="preserve">     "depends_on": [], "budget_pct": 0.20},</w:t>
      </w:r>
    </w:p>
    <w:p>
      <w:pPr>
        <w:shd w:fill="ECEFF1" w:val="clear"/>
        <w:spacing w:after="60"/>
        <w:ind w:left="360"/>
      </w:pPr>
      <w:r>
        <w:rPr>
          <w:rFonts w:ascii="Courier New" w:cs="Courier New" w:eastAsia="Courier New" w:hAnsi="Courier New"/>
          <w:sz w:val="18"/>
          <w:szCs w:val="18"/>
        </w:rPr>
        <w:t xml:space="preserve">    {"id": "t3", "type": "analysis", "stalwart": "data_analyst",</w:t>
      </w:r>
    </w:p>
    <w:p>
      <w:pPr>
        <w:shd w:fill="ECEFF1" w:val="clear"/>
        <w:spacing w:after="60"/>
        <w:ind w:left="360"/>
      </w:pPr>
      <w:r>
        <w:rPr>
          <w:rFonts w:ascii="Courier New" w:cs="Courier New" w:eastAsia="Courier New" w:hAnsi="Courier New"/>
          <w:sz w:val="18"/>
          <w:szCs w:val="18"/>
        </w:rPr>
        <w:t xml:space="preserve">     "input": "Compare ACME metrics vs peer benchmarks",</w:t>
      </w:r>
    </w:p>
    <w:p>
      <w:pPr>
        <w:shd w:fill="ECEFF1" w:val="clear"/>
        <w:spacing w:after="60"/>
        <w:ind w:left="360"/>
      </w:pPr>
      <w:r>
        <w:rPr>
          <w:rFonts w:ascii="Courier New" w:cs="Courier New" w:eastAsia="Courier New" w:hAnsi="Courier New"/>
          <w:sz w:val="18"/>
          <w:szCs w:val="18"/>
        </w:rPr>
        <w:t xml:space="preserve">     "depends_on": ["t1", "t2"], "budget_pct": 0.30},</w:t>
      </w:r>
    </w:p>
    <w:p>
      <w:pPr>
        <w:shd w:fill="ECEFF1" w:val="clear"/>
        <w:spacing w:after="60"/>
        <w:ind w:left="360"/>
      </w:pPr>
      <w:r>
        <w:rPr>
          <w:rFonts w:ascii="Courier New" w:cs="Courier New" w:eastAsia="Courier New" w:hAnsi="Courier New"/>
          <w:sz w:val="18"/>
          <w:szCs w:val="18"/>
        </w:rPr>
        <w:t xml:space="preserve">    {"id": "t4", "type": "writing", "stalwart": "writer",</w:t>
      </w:r>
    </w:p>
    <w:p>
      <w:pPr>
        <w:shd w:fill="ECEFF1" w:val="clear"/>
        <w:spacing w:after="60"/>
        <w:ind w:left="360"/>
      </w:pPr>
      <w:r>
        <w:rPr>
          <w:rFonts w:ascii="Courier New" w:cs="Courier New" w:eastAsia="Courier New" w:hAnsi="Courier New"/>
          <w:sz w:val="18"/>
          <w:szCs w:val="18"/>
        </w:rPr>
        <w:t xml:space="preserve">     "input": "Draft client-ready summary memo",</w:t>
      </w:r>
    </w:p>
    <w:p>
      <w:pPr>
        <w:shd w:fill="ECEFF1" w:val="clear"/>
        <w:spacing w:after="60"/>
        <w:ind w:left="360"/>
      </w:pPr>
      <w:r>
        <w:rPr>
          <w:rFonts w:ascii="Courier New" w:cs="Courier New" w:eastAsia="Courier New" w:hAnsi="Courier New"/>
          <w:sz w:val="18"/>
          <w:szCs w:val="18"/>
        </w:rPr>
        <w:t xml:space="preserve">     "depends_on": ["t3"], "budget_pct": 0.25},</w:t>
      </w:r>
    </w:p>
    <w:p>
      <w:pPr>
        <w:shd w:fill="ECEFF1" w:val="clear"/>
        <w:spacing w:after="60"/>
        <w:ind w:left="360"/>
      </w:pPr>
      <w:r>
        <w:rPr>
          <w:rFonts w:ascii="Courier New" w:cs="Courier New" w:eastAsia="Courier New" w:hAnsi="Courier New"/>
          <w:sz w:val="18"/>
          <w:szCs w:val="18"/>
        </w:rPr>
        <w:t xml:space="preserve">    {"id": "t5", "type": "validation", "stalwart": "validator",</w:t>
      </w:r>
    </w:p>
    <w:p>
      <w:pPr>
        <w:shd w:fill="ECEFF1" w:val="clear"/>
        <w:spacing w:after="60"/>
        <w:ind w:left="360"/>
      </w:pPr>
      <w:r>
        <w:rPr>
          <w:rFonts w:ascii="Courier New" w:cs="Courier New" w:eastAsia="Courier New" w:hAnsi="Courier New"/>
          <w:sz w:val="18"/>
          <w:szCs w:val="18"/>
        </w:rPr>
        <w:t xml:space="preserve">     "input": "Cross-check all numbers in memo against sources",</w:t>
      </w:r>
    </w:p>
    <w:p>
      <w:pPr>
        <w:shd w:fill="ECEFF1" w:val="clear"/>
        <w:spacing w:after="60"/>
        <w:ind w:left="360"/>
      </w:pPr>
      <w:r>
        <w:rPr>
          <w:rFonts w:ascii="Courier New" w:cs="Courier New" w:eastAsia="Courier New" w:hAnsi="Courier New"/>
          <w:sz w:val="18"/>
          <w:szCs w:val="18"/>
        </w:rPr>
        <w:t xml:space="preserve">     "depends_on": ["t4"], "budget_pct": 0.05}</w:t>
      </w:r>
    </w:p>
    <w:p>
      <w:pPr>
        <w:shd w:fill="ECEFF1" w:val="clear"/>
        <w:spacing w:after="60"/>
        <w:ind w:left="360"/>
      </w:pPr>
      <w:r>
        <w:rPr>
          <w:rFonts w:ascii="Courier New" w:cs="Courier New" w:eastAsia="Courier New" w:hAnsi="Courier New"/>
          <w:sz w:val="18"/>
          <w:szCs w:val="18"/>
        </w:rPr>
        <w:t xml:space="preserve">  ],</w:t>
      </w:r>
    </w:p>
    <w:p>
      <w:pPr>
        <w:shd w:fill="ECEFF1" w:val="clear"/>
        <w:spacing w:after="60"/>
        <w:ind w:left="360"/>
      </w:pPr>
      <w:r>
        <w:rPr>
          <w:rFonts w:ascii="Courier New" w:cs="Courier New" w:eastAsia="Courier New" w:hAnsi="Courier New"/>
          <w:sz w:val="18"/>
          <w:szCs w:val="18"/>
        </w:rPr>
        <w:t xml:space="preserve">  "execution_mode": "dag",</w:t>
      </w:r>
    </w:p>
    <w:p>
      <w:pPr>
        <w:shd w:fill="ECEFF1" w:val="clear"/>
        <w:spacing w:after="60"/>
        <w:ind w:left="360"/>
      </w:pPr>
      <w:r>
        <w:rPr>
          <w:rFonts w:ascii="Courier New" w:cs="Courier New" w:eastAsia="Courier New" w:hAnsi="Courier New"/>
          <w:sz w:val="18"/>
          <w:szCs w:val="18"/>
        </w:rPr>
        <w:t xml:space="preserve">  "total_budget": 0.50</w:t>
      </w:r>
    </w:p>
    <w:p>
      <w:pPr>
        <w:shd w:fill="ECEFF1" w:val="clear"/>
        <w:spacing w:after="60"/>
        <w:ind w:left="360"/>
      </w:pPr>
      <w:r>
        <w:rPr>
          <w:rFonts w:ascii="Courier New" w:cs="Courier New" w:eastAsia="Courier New" w:hAnsi="Courier New"/>
          <w:sz w:val="18"/>
          <w:szCs w:val="18"/>
        </w:rPr>
        <w:t xml:space="preserve">}</w:t>
      </w:r>
    </w:p>
    <w:p>
      <w:r>
        <w:br w:type="page"/>
      </w:r>
    </w:p>
    <w:p>
      <w:pPr>
        <w:pStyle w:val="Heading1"/>
        <w:spacing w:before="360" w:after="200"/>
      </w:pPr>
      <w:r>
        <w:rPr>
          <w:rFonts w:ascii="Arial" w:cs="Arial" w:eastAsia="Arial" w:hAnsi="Arial"/>
          <w:b/>
          <w:bCs/>
          <w:color w:val="0D47A1"/>
          <w:sz w:val="36"/>
          <w:szCs w:val="36"/>
        </w:rPr>
        <w:t xml:space="preserve">7. Shared Workspace &amp; Context Passing</w:t>
      </w:r>
    </w:p>
    <w:p>
      <w:pPr>
        <w:spacing w:after="80"/>
      </w:pPr>
    </w:p>
    <w:p>
      <w:pPr>
        <w:pStyle w:val="Heading2"/>
        <w:spacing w:before="280" w:after="160"/>
      </w:pPr>
      <w:r>
        <w:rPr>
          <w:rFonts w:ascii="Arial" w:cs="Arial" w:eastAsia="Arial" w:hAnsi="Arial"/>
          <w:b/>
          <w:bCs/>
          <w:color w:val="1565C0"/>
          <w:sz w:val="28"/>
          <w:szCs w:val="28"/>
        </w:rPr>
        <w:t xml:space="preserve">5.1 Blackboard Pattern</w:t>
      </w:r>
    </w:p>
    <w:p>
      <w:pPr>
        <w:spacing w:after="120"/>
      </w:pPr>
      <w:r>
        <w:rPr>
          <w:rFonts w:ascii="Arial" w:cs="Arial" w:eastAsia="Arial" w:hAnsi="Arial"/>
          <w:sz w:val="22"/>
          <w:szCs w:val="22"/>
        </w:rPr>
        <w:t xml:space="preserve">Stalwarts working on the same workflow share context through a Shared Workspace — a Redis hash map keyed by workflow_id. Each task writes its output to the workspace, and downstream tasks read from it. This is the blackboard pattern adapted for AI agents.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640"/>
        <w:gridCol w:w="1920"/>
        <w:gridCol w:w="1920"/>
      </w:tblGrid>
      <w:tr>
        <w:trPr>
          <w:tblHeader/>
        </w:trPr>
        <w:tc>
          <w:tcPr>
            <w:tcW w:type="dxa" w:w="2880"/>
            <w:tcBorders>
              <w:top w:val="single" w:color="90CAF9" w:sz="1"/>
              <w:left w:val="single" w:color="90CAF9" w:sz="1"/>
              <w:bottom w:val="single" w:color="90CAF9" w:sz="1"/>
              <w:right w:val="single" w:color="90CAF9"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Key Pattern</w:t>
            </w:r>
          </w:p>
        </w:tc>
        <w:tc>
          <w:tcPr>
            <w:tcW w:type="dxa" w:w="2640"/>
            <w:tcBorders>
              <w:top w:val="single" w:color="90CAF9" w:sz="1"/>
              <w:left w:val="single" w:color="90CAF9" w:sz="1"/>
              <w:bottom w:val="single" w:color="90CAF9" w:sz="1"/>
              <w:right w:val="single" w:color="90CAF9"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1920"/>
            <w:tcBorders>
              <w:top w:val="single" w:color="90CAF9" w:sz="1"/>
              <w:left w:val="single" w:color="90CAF9" w:sz="1"/>
              <w:bottom w:val="single" w:color="90CAF9" w:sz="1"/>
              <w:right w:val="single" w:color="90CAF9"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Written By</w:t>
            </w:r>
          </w:p>
        </w:tc>
        <w:tc>
          <w:tcPr>
            <w:tcW w:type="dxa" w:w="1920"/>
            <w:tcBorders>
              <w:top w:val="single" w:color="90CAF9" w:sz="1"/>
              <w:left w:val="single" w:color="90CAF9" w:sz="1"/>
              <w:bottom w:val="single" w:color="90CAF9" w:sz="1"/>
              <w:right w:val="single" w:color="90CAF9"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Read By</w:t>
            </w:r>
          </w:p>
        </w:tc>
      </w:tr>
      <w:tr>
        <w:tc>
          <w:tcPr>
            <w:tcW w:type="dxa" w:w="288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wf:{id}:plan</w:t>
            </w:r>
          </w:p>
        </w:tc>
        <w:tc>
          <w:tcPr>
            <w:tcW w:type="dxa" w:w="264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Execution plan (JSON)</w:t>
            </w:r>
          </w:p>
        </w:tc>
        <w:tc>
          <w:tcPr>
            <w:tcW w:type="dxa" w:w="192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Planner</w:t>
            </w:r>
          </w:p>
        </w:tc>
        <w:tc>
          <w:tcPr>
            <w:tcW w:type="dxa" w:w="192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Workflow Engine, all Stalwarts</w:t>
            </w:r>
          </w:p>
        </w:tc>
      </w:tr>
      <w:tr>
        <w:tc>
          <w:tcPr>
            <w:tcW w:type="dxa" w:w="2880"/>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wf:{id}:task:{task_id}:output</w:t>
            </w:r>
          </w:p>
        </w:tc>
        <w:tc>
          <w:tcPr>
            <w:tcW w:type="dxa" w:w="2640"/>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Task result (text + structured data)</w:t>
            </w:r>
          </w:p>
        </w:tc>
        <w:tc>
          <w:tcPr>
            <w:tcW w:type="dxa" w:w="1920"/>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Assigned Stalwart</w:t>
            </w:r>
          </w:p>
        </w:tc>
        <w:tc>
          <w:tcPr>
            <w:tcW w:type="dxa" w:w="1920"/>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Downstream Stalwarts, Aggregator</w:t>
            </w:r>
          </w:p>
        </w:tc>
      </w:tr>
      <w:tr>
        <w:tc>
          <w:tcPr>
            <w:tcW w:type="dxa" w:w="288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wf:{id}:task:{task_id}:status</w:t>
            </w:r>
          </w:p>
        </w:tc>
        <w:tc>
          <w:tcPr>
            <w:tcW w:type="dxa" w:w="264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Task status (pending, running, completed, failed)</w:t>
            </w:r>
          </w:p>
        </w:tc>
        <w:tc>
          <w:tcPr>
            <w:tcW w:type="dxa" w:w="192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Workflow Engine</w:t>
            </w:r>
          </w:p>
        </w:tc>
        <w:tc>
          <w:tcPr>
            <w:tcW w:type="dxa" w:w="192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All components</w:t>
            </w:r>
          </w:p>
        </w:tc>
      </w:tr>
      <w:tr>
        <w:tc>
          <w:tcPr>
            <w:tcW w:type="dxa" w:w="2880"/>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wf:{id}:task:{task_id}:lineage</w:t>
            </w:r>
          </w:p>
        </w:tc>
        <w:tc>
          <w:tcPr>
            <w:tcW w:type="dxa" w:w="2640"/>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Data lineage for this task</w:t>
            </w:r>
          </w:p>
        </w:tc>
        <w:tc>
          <w:tcPr>
            <w:tcW w:type="dxa" w:w="1920"/>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Stalwart (via lineage tracker)</w:t>
            </w:r>
          </w:p>
        </w:tc>
        <w:tc>
          <w:tcPr>
            <w:tcW w:type="dxa" w:w="1920"/>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Workflow Critic, Audit</w:t>
            </w:r>
          </w:p>
        </w:tc>
      </w:tr>
      <w:tr>
        <w:tc>
          <w:tcPr>
            <w:tcW w:type="dxa" w:w="288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wf:{id}:context</w:t>
            </w:r>
          </w:p>
        </w:tc>
        <w:tc>
          <w:tcPr>
            <w:tcW w:type="dxa" w:w="264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Accumulated shared context (rolling summary)</w:t>
            </w:r>
          </w:p>
        </w:tc>
        <w:tc>
          <w:tcPr>
            <w:tcW w:type="dxa" w:w="192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Context Manager</w:t>
            </w:r>
          </w:p>
        </w:tc>
        <w:tc>
          <w:tcPr>
            <w:tcW w:type="dxa" w:w="192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All Stalwarts</w:t>
            </w:r>
          </w:p>
        </w:tc>
      </w:tr>
      <w:tr>
        <w:tc>
          <w:tcPr>
            <w:tcW w:type="dxa" w:w="2880"/>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wf:{id}:budget</w:t>
            </w:r>
          </w:p>
        </w:tc>
        <w:tc>
          <w:tcPr>
            <w:tcW w:type="dxa" w:w="2640"/>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Remaining budget and per-task spend</w:t>
            </w:r>
          </w:p>
        </w:tc>
        <w:tc>
          <w:tcPr>
            <w:tcW w:type="dxa" w:w="1920"/>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Budget Allocator</w:t>
            </w:r>
          </w:p>
        </w:tc>
        <w:tc>
          <w:tcPr>
            <w:tcW w:type="dxa" w:w="1920"/>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All Stalwarts, Cost Controls</w:t>
            </w:r>
          </w:p>
        </w:tc>
      </w:tr>
      <w:tr>
        <w:tc>
          <w:tcPr>
            <w:tcW w:type="dxa" w:w="288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wf:{id}:final</w:t>
            </w:r>
          </w:p>
        </w:tc>
        <w:tc>
          <w:tcPr>
            <w:tcW w:type="dxa" w:w="264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Aggregated final output</w:t>
            </w:r>
          </w:p>
        </w:tc>
        <w:tc>
          <w:tcPr>
            <w:tcW w:type="dxa" w:w="192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Aggregator</w:t>
            </w:r>
          </w:p>
        </w:tc>
        <w:tc>
          <w:tcPr>
            <w:tcW w:type="dxa" w:w="192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User, Workflow Critic</w:t>
            </w:r>
          </w:p>
        </w:tc>
      </w:tr>
    </w:tbl>
    <w:p>
      <w:pPr>
        <w:spacing w:after="80"/>
      </w:pPr>
    </w:p>
    <w:p>
      <w:pPr>
        <w:pStyle w:val="Heading2"/>
        <w:spacing w:before="280" w:after="160"/>
      </w:pPr>
      <w:r>
        <w:rPr>
          <w:rFonts w:ascii="Arial" w:cs="Arial" w:eastAsia="Arial" w:hAnsi="Arial"/>
          <w:b/>
          <w:bCs/>
          <w:color w:val="1565C0"/>
          <w:sz w:val="28"/>
          <w:szCs w:val="28"/>
        </w:rPr>
        <w:t xml:space="preserve">5.2 Context Passing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18"/>
        <w:gridCol w:w="2277"/>
        <w:gridCol w:w="3542"/>
        <w:gridCol w:w="2023"/>
      </w:tblGrid>
      <w:tr>
        <w:trPr>
          <w:tblHeader/>
        </w:trPr>
        <w:tc>
          <w:tcPr>
            <w:tcW w:type="dxa" w:w="1518"/>
            <w:tcBorders>
              <w:top w:val="single" w:color="90CAF9" w:sz="1"/>
              <w:left w:val="single" w:color="90CAF9" w:sz="1"/>
              <w:bottom w:val="single" w:color="90CAF9" w:sz="1"/>
              <w:right w:val="single" w:color="90CAF9"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2277"/>
            <w:tcBorders>
              <w:top w:val="single" w:color="90CAF9" w:sz="1"/>
              <w:left w:val="single" w:color="90CAF9" w:sz="1"/>
              <w:bottom w:val="single" w:color="90CAF9" w:sz="1"/>
              <w:right w:val="single" w:color="90CAF9"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c>
          <w:tcPr>
            <w:tcW w:type="dxa" w:w="3542"/>
            <w:tcBorders>
              <w:top w:val="single" w:color="90CAF9" w:sz="1"/>
              <w:left w:val="single" w:color="90CAF9" w:sz="1"/>
              <w:bottom w:val="single" w:color="90CAF9" w:sz="1"/>
              <w:right w:val="single" w:color="90CAF9"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2023"/>
            <w:tcBorders>
              <w:top w:val="single" w:color="90CAF9" w:sz="1"/>
              <w:left w:val="single" w:color="90CAF9" w:sz="1"/>
              <w:bottom w:val="single" w:color="90CAF9" w:sz="1"/>
              <w:right w:val="single" w:color="90CAF9"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Context Size</w:t>
            </w:r>
          </w:p>
        </w:tc>
      </w:tr>
      <w:tr>
        <w:tc>
          <w:tcPr>
            <w:tcW w:type="dxa" w:w="1518"/>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Full Pass-Through</w:t>
            </w:r>
          </w:p>
        </w:tc>
        <w:tc>
          <w:tcPr>
            <w:tcW w:type="dxa" w:w="2277"/>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Small outputs, strict accuracy needed</w:t>
            </w:r>
          </w:p>
        </w:tc>
        <w:tc>
          <w:tcPr>
            <w:tcW w:type="dxa" w:w="3542"/>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Downstream Stalwart receives complete output of upstream task</w:t>
            </w:r>
          </w:p>
        </w:tc>
        <w:tc>
          <w:tcPr>
            <w:tcW w:type="dxa" w:w="2023"/>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Full (may hit context limits)</w:t>
            </w:r>
          </w:p>
        </w:tc>
      </w:tr>
      <w:tr>
        <w:tc>
          <w:tcPr>
            <w:tcW w:type="dxa" w:w="1518"/>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Summary Pass</w:t>
            </w:r>
          </w:p>
        </w:tc>
        <w:tc>
          <w:tcPr>
            <w:tcW w:type="dxa" w:w="2277"/>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Large outputs, downstream needs gist only</w:t>
            </w:r>
          </w:p>
        </w:tc>
        <w:tc>
          <w:tcPr>
            <w:tcW w:type="dxa" w:w="3542"/>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Context Manager generates a summary of upstream output using a Summarizer Stalwart</w:t>
            </w:r>
          </w:p>
        </w:tc>
        <w:tc>
          <w:tcPr>
            <w:tcW w:type="dxa" w:w="2023"/>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Compressed (~20% of original)</w:t>
            </w:r>
          </w:p>
        </w:tc>
      </w:tr>
      <w:tr>
        <w:tc>
          <w:tcPr>
            <w:tcW w:type="dxa" w:w="1518"/>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Reference Pass</w:t>
            </w:r>
          </w:p>
        </w:tc>
        <w:tc>
          <w:tcPr>
            <w:tcW w:type="dxa" w:w="2277"/>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Very large outputs (e.g., full document retrieval)</w:t>
            </w:r>
          </w:p>
        </w:tc>
        <w:tc>
          <w:tcPr>
            <w:tcW w:type="dxa" w:w="3542"/>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Downstream receives a reference ID; fetches specific sections as needed from workspace</w:t>
            </w:r>
          </w:p>
        </w:tc>
        <w:tc>
          <w:tcPr>
            <w:tcW w:type="dxa" w:w="2023"/>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Minimal (ID + metadata)</w:t>
            </w:r>
          </w:p>
        </w:tc>
      </w:tr>
      <w:tr>
        <w:tc>
          <w:tcPr>
            <w:tcW w:type="dxa" w:w="1518"/>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Structured Pass</w:t>
            </w:r>
          </w:p>
        </w:tc>
        <w:tc>
          <w:tcPr>
            <w:tcW w:type="dxa" w:w="2277"/>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Numerical or tabular data</w:t>
            </w:r>
          </w:p>
        </w:tc>
        <w:tc>
          <w:tcPr>
            <w:tcW w:type="dxa" w:w="3542"/>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Upstream outputs structured JSON; downstream reads specific fields</w:t>
            </w:r>
          </w:p>
        </w:tc>
        <w:tc>
          <w:tcPr>
            <w:tcW w:type="dxa" w:w="2023"/>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Compact (structured)</w:t>
            </w:r>
          </w:p>
        </w:tc>
      </w:tr>
    </w:tbl>
    <w:p>
      <w:r>
        <w:br w:type="page"/>
      </w:r>
    </w:p>
    <w:p>
      <w:pPr>
        <w:pStyle w:val="Heading1"/>
        <w:spacing w:before="360" w:after="200"/>
      </w:pPr>
      <w:r>
        <w:rPr>
          <w:rFonts w:ascii="Arial" w:cs="Arial" w:eastAsia="Arial" w:hAnsi="Arial"/>
          <w:b/>
          <w:bCs/>
          <w:color w:val="0D47A1"/>
          <w:sz w:val="36"/>
          <w:szCs w:val="36"/>
        </w:rPr>
        <w:t xml:space="preserve">8. Workflow Governance</w:t>
      </w:r>
    </w:p>
    <w:p>
      <w:pPr>
        <w:spacing w:after="80"/>
      </w:pPr>
    </w:p>
    <w:p>
      <w:pPr>
        <w:pStyle w:val="Heading2"/>
        <w:spacing w:before="280" w:after="160"/>
      </w:pPr>
      <w:r>
        <w:rPr>
          <w:rFonts w:ascii="Arial" w:cs="Arial" w:eastAsia="Arial" w:hAnsi="Arial"/>
          <w:b/>
          <w:bCs/>
          <w:color w:val="1565C0"/>
          <w:sz w:val="28"/>
          <w:szCs w:val="28"/>
        </w:rPr>
        <w:t xml:space="preserve">6.1 Per-Task Governance (Existing STC Pipeline)</w:t>
      </w:r>
    </w:p>
    <w:p>
      <w:pPr>
        <w:spacing w:after="120"/>
      </w:pPr>
      <w:r>
        <w:rPr>
          <w:rFonts w:ascii="Arial" w:cs="Arial" w:eastAsia="Arial" w:hAnsi="Arial"/>
          <w:sz w:val="22"/>
          <w:szCs w:val="22"/>
        </w:rPr>
        <w:t xml:space="preserve">Every sub-task runs through the full STC governance pipeline independently. The Sentinel inspects each Stalwart’s LLM call for PII, data classification, and injection. The Critic validates each task’s output for hallucination, scope, and accuracy. This is unchanged from single-Stalwart operation.</w:t>
      </w:r>
    </w:p>
    <w:p>
      <w:pPr>
        <w:spacing w:after="80"/>
      </w:pPr>
    </w:p>
    <w:p>
      <w:pPr>
        <w:pStyle w:val="Heading2"/>
        <w:spacing w:before="280" w:after="160"/>
      </w:pPr>
      <w:r>
        <w:rPr>
          <w:rFonts w:ascii="Arial" w:cs="Arial" w:eastAsia="Arial" w:hAnsi="Arial"/>
          <w:b/>
          <w:bCs/>
          <w:color w:val="1565C0"/>
          <w:sz w:val="28"/>
          <w:szCs w:val="28"/>
        </w:rPr>
        <w:t xml:space="preserve">6.2 Workflow-Level Governance (New)</w:t>
      </w:r>
    </w:p>
    <w:p>
      <w:pPr>
        <w:spacing w:after="120"/>
      </w:pPr>
      <w:r>
        <w:rPr>
          <w:rFonts w:ascii="Arial" w:cs="Arial" w:eastAsia="Arial" w:hAnsi="Arial"/>
          <w:sz w:val="22"/>
          <w:szCs w:val="22"/>
        </w:rPr>
        <w:t xml:space="preserve">After all tasks complete and the Aggregator assembles the final output, a Workflow Critic performs additional cross-task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0"/>
        <w:gridCol w:w="3600"/>
        <w:gridCol w:w="3840"/>
      </w:tblGrid>
      <w:tr>
        <w:trPr>
          <w:tblHeader/>
        </w:trPr>
        <w:tc>
          <w:tcPr>
            <w:tcW w:type="dxa" w:w="1920"/>
            <w:tcBorders>
              <w:top w:val="single" w:color="90CAF9" w:sz="1"/>
              <w:left w:val="single" w:color="90CAF9" w:sz="1"/>
              <w:bottom w:val="single" w:color="90CAF9" w:sz="1"/>
              <w:right w:val="single" w:color="90CAF9"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3600"/>
            <w:tcBorders>
              <w:top w:val="single" w:color="90CAF9" w:sz="1"/>
              <w:left w:val="single" w:color="90CAF9" w:sz="1"/>
              <w:bottom w:val="single" w:color="90CAF9" w:sz="1"/>
              <w:right w:val="single" w:color="90CAF9"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What It Validates</w:t>
            </w:r>
          </w:p>
        </w:tc>
        <w:tc>
          <w:tcPr>
            <w:tcW w:type="dxa" w:w="3840"/>
            <w:tcBorders>
              <w:top w:val="single" w:color="90CAF9" w:sz="1"/>
              <w:left w:val="single" w:color="90CAF9" w:sz="1"/>
              <w:bottom w:val="single" w:color="90CAF9" w:sz="1"/>
              <w:right w:val="single" w:color="90CAF9"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Example Failure</w:t>
            </w:r>
          </w:p>
        </w:tc>
      </w:tr>
      <w:tr>
        <w:tc>
          <w:tcPr>
            <w:tcW w:type="dxa" w:w="192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Cross-Task Consistency</w:t>
            </w:r>
          </w:p>
        </w:tc>
        <w:tc>
          <w:tcPr>
            <w:tcW w:type="dxa" w:w="360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Do numbers cited in the memo match the analysis? Do conclusions follow from the data?</w:t>
            </w:r>
          </w:p>
        </w:tc>
        <w:tc>
          <w:tcPr>
            <w:tcW w:type="dxa" w:w="384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Memo says revenue grew 15% but analysis shows 12%</w:t>
            </w:r>
          </w:p>
        </w:tc>
      </w:tr>
      <w:tr>
        <w:tc>
          <w:tcPr>
            <w:tcW w:type="dxa" w:w="1920"/>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Completeness</w:t>
            </w:r>
          </w:p>
        </w:tc>
        <w:tc>
          <w:tcPr>
            <w:tcW w:type="dxa" w:w="3600"/>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Does the final output address all aspects of the original goal?</w:t>
            </w:r>
          </w:p>
        </w:tc>
        <w:tc>
          <w:tcPr>
            <w:tcW w:type="dxa" w:w="3840"/>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User asked for peer comparison but memo only discusses ACME</w:t>
            </w:r>
          </w:p>
        </w:tc>
      </w:tr>
      <w:tr>
        <w:tc>
          <w:tcPr>
            <w:tcW w:type="dxa" w:w="192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Source Traceability</w:t>
            </w:r>
          </w:p>
        </w:tc>
        <w:tc>
          <w:tcPr>
            <w:tcW w:type="dxa" w:w="360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Can every claim in the final output be traced back to a source document via lineage?</w:t>
            </w:r>
          </w:p>
        </w:tc>
        <w:tc>
          <w:tcPr>
            <w:tcW w:type="dxa" w:w="384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Memo includes a statistic that doesn’t appear in any retrieved document</w:t>
            </w:r>
          </w:p>
        </w:tc>
      </w:tr>
      <w:tr>
        <w:tc>
          <w:tcPr>
            <w:tcW w:type="dxa" w:w="1920"/>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Tone &amp; Scope</w:t>
            </w:r>
          </w:p>
        </w:tc>
        <w:tc>
          <w:tcPr>
            <w:tcW w:type="dxa" w:w="3600"/>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Does the assembled output stay within the permitted scope (no investment advice, no speculation)?</w:t>
            </w:r>
          </w:p>
        </w:tc>
        <w:tc>
          <w:tcPr>
            <w:tcW w:type="dxa" w:w="3840"/>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Individual tasks passed but the combined narrative implies a recommendation</w:t>
            </w:r>
          </w:p>
        </w:tc>
      </w:tr>
      <w:tr>
        <w:tc>
          <w:tcPr>
            <w:tcW w:type="dxa" w:w="192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Budget Compliance</w:t>
            </w:r>
          </w:p>
        </w:tc>
        <w:tc>
          <w:tcPr>
            <w:tcW w:type="dxa" w:w="360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Did the workflow stay within its allocated budget?</w:t>
            </w:r>
          </w:p>
        </w:tc>
        <w:tc>
          <w:tcPr>
            <w:tcW w:type="dxa" w:w="384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Total cost exceeded the workflow budget ceiling</w:t>
            </w:r>
          </w:p>
        </w:tc>
      </w:tr>
    </w:tbl>
    <w:p>
      <w:pPr>
        <w:spacing w:after="80"/>
      </w:pPr>
    </w:p>
    <w:p>
      <w:pPr>
        <w:pStyle w:val="Heading2"/>
        <w:spacing w:before="280" w:after="160"/>
      </w:pPr>
      <w:r>
        <w:rPr>
          <w:rFonts w:ascii="Arial" w:cs="Arial" w:eastAsia="Arial" w:hAnsi="Arial"/>
          <w:b/>
          <w:bCs/>
          <w:color w:val="1565C0"/>
          <w:sz w:val="28"/>
          <w:szCs w:val="28"/>
        </w:rPr>
        <w:t xml:space="preserve">6.3 Failure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920"/>
        <w:gridCol w:w="2640"/>
        <w:gridCol w:w="3120"/>
      </w:tblGrid>
      <w:tr>
        <w:trPr>
          <w:tblHeader/>
        </w:trPr>
        <w:tc>
          <w:tcPr>
            <w:tcW w:type="dxa" w:w="1680"/>
            <w:tcBorders>
              <w:top w:val="single" w:color="90CAF9" w:sz="1"/>
              <w:left w:val="single" w:color="90CAF9" w:sz="1"/>
              <w:bottom w:val="single" w:color="90CAF9" w:sz="1"/>
              <w:right w:val="single" w:color="90CAF9"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Failure Mode</w:t>
            </w:r>
          </w:p>
        </w:tc>
        <w:tc>
          <w:tcPr>
            <w:tcW w:type="dxa" w:w="1920"/>
            <w:tcBorders>
              <w:top w:val="single" w:color="90CAF9" w:sz="1"/>
              <w:left w:val="single" w:color="90CAF9" w:sz="1"/>
              <w:bottom w:val="single" w:color="90CAF9" w:sz="1"/>
              <w:right w:val="single" w:color="90CAF9"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Detection</w:t>
            </w:r>
          </w:p>
        </w:tc>
        <w:tc>
          <w:tcPr>
            <w:tcW w:type="dxa" w:w="2640"/>
            <w:tcBorders>
              <w:top w:val="single" w:color="90CAF9" w:sz="1"/>
              <w:left w:val="single" w:color="90CAF9" w:sz="1"/>
              <w:bottom w:val="single" w:color="90CAF9" w:sz="1"/>
              <w:right w:val="single" w:color="90CAF9"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Response</w:t>
            </w:r>
          </w:p>
        </w:tc>
        <w:tc>
          <w:tcPr>
            <w:tcW w:type="dxa" w:w="3120"/>
            <w:tcBorders>
              <w:top w:val="single" w:color="90CAF9" w:sz="1"/>
              <w:left w:val="single" w:color="90CAF9" w:sz="1"/>
              <w:bottom w:val="single" w:color="90CAF9" w:sz="1"/>
              <w:right w:val="single" w:color="90CAF9"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Escalation</w:t>
            </w:r>
          </w:p>
        </w:tc>
      </w:tr>
      <w:tr>
        <w:tc>
          <w:tcPr>
            <w:tcW w:type="dxa" w:w="168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Single task fails</w:t>
            </w:r>
          </w:p>
        </w:tc>
        <w:tc>
          <w:tcPr>
            <w:tcW w:type="dxa" w:w="192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Task status = failed, retry exhausted</w:t>
            </w:r>
          </w:p>
        </w:tc>
        <w:tc>
          <w:tcPr>
            <w:tcW w:type="dxa" w:w="264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Retry task (up to 2x); if still fails, attempt with fallback Stalwart type</w:t>
            </w:r>
          </w:p>
        </w:tc>
        <w:tc>
          <w:tcPr>
            <w:tcW w:type="dxa" w:w="312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Mark workflow degraded; deliver partial result with disclaimer</w:t>
            </w:r>
          </w:p>
        </w:tc>
      </w:tr>
      <w:tr>
        <w:tc>
          <w:tcPr>
            <w:tcW w:type="dxa" w:w="1680"/>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Dependency chain broken</w:t>
            </w:r>
          </w:p>
        </w:tc>
        <w:tc>
          <w:tcPr>
            <w:tcW w:type="dxa" w:w="1920"/>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Downstream task cannot proceed</w:t>
            </w:r>
          </w:p>
        </w:tc>
        <w:tc>
          <w:tcPr>
            <w:tcW w:type="dxa" w:w="2640"/>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Attempt alternate path if plan has fallback; else halt dependent branch</w:t>
            </w:r>
          </w:p>
        </w:tc>
        <w:tc>
          <w:tcPr>
            <w:tcW w:type="dxa" w:w="3120"/>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Notify user of partial completion</w:t>
            </w:r>
          </w:p>
        </w:tc>
      </w:tr>
      <w:tr>
        <w:tc>
          <w:tcPr>
            <w:tcW w:type="dxa" w:w="168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Budget exhausted mid-workflow</w:t>
            </w:r>
          </w:p>
        </w:tc>
        <w:tc>
          <w:tcPr>
            <w:tcW w:type="dxa" w:w="192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Budget Allocator detects spend &gt; ceiling</w:t>
            </w:r>
          </w:p>
        </w:tc>
        <w:tc>
          <w:tcPr>
            <w:tcW w:type="dxa" w:w="264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Complete current task, halt remaining; deliver partial result</w:t>
            </w:r>
          </w:p>
        </w:tc>
        <w:tc>
          <w:tcPr>
            <w:tcW w:type="dxa" w:w="312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Log exception, notify cost controls</w:t>
            </w:r>
          </w:p>
        </w:tc>
      </w:tr>
      <w:tr>
        <w:tc>
          <w:tcPr>
            <w:tcW w:type="dxa" w:w="1680"/>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Workflow Critic fails assembled output</w:t>
            </w:r>
          </w:p>
        </w:tc>
        <w:tc>
          <w:tcPr>
            <w:tcW w:type="dxa" w:w="1920"/>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Cross-task validation detects inconsistency</w:t>
            </w:r>
          </w:p>
        </w:tc>
        <w:tc>
          <w:tcPr>
            <w:tcW w:type="dxa" w:w="2640"/>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Return output to relevant Stalwart for correction (1 retry)</w:t>
            </w:r>
          </w:p>
        </w:tc>
        <w:tc>
          <w:tcPr>
            <w:tcW w:type="dxa" w:w="3120"/>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If retry fails, deliver with Critic warnings attached</w:t>
            </w:r>
          </w:p>
        </w:tc>
      </w:tr>
      <w:tr>
        <w:tc>
          <w:tcPr>
            <w:tcW w:type="dxa" w:w="168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Planner produces invalid plan</w:t>
            </w:r>
          </w:p>
        </w:tc>
        <w:tc>
          <w:tcPr>
            <w:tcW w:type="dxa" w:w="192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Plan validation fails (missing deps, unknown Stalwart types)</w:t>
            </w:r>
          </w:p>
        </w:tc>
        <w:tc>
          <w:tcPr>
            <w:tcW w:type="dxa" w:w="264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Re-plan with additional constraints; if 2 failures, escalate to human</w:t>
            </w:r>
          </w:p>
        </w:tc>
        <w:tc>
          <w:tcPr>
            <w:tcW w:type="dxa" w:w="312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Human intervention required</w:t>
            </w:r>
          </w:p>
        </w:tc>
      </w:tr>
    </w:tbl>
    <w:p>
      <w:r>
        <w:br w:type="page"/>
      </w:r>
    </w:p>
    <w:p>
      <w:pPr>
        <w:pStyle w:val="Heading1"/>
        <w:spacing w:before="360" w:after="200"/>
      </w:pPr>
      <w:r>
        <w:rPr>
          <w:rFonts w:ascii="Arial" w:cs="Arial" w:eastAsia="Arial" w:hAnsi="Arial"/>
          <w:b/>
          <w:bCs/>
          <w:color w:val="0D47A1"/>
          <w:sz w:val="36"/>
          <w:szCs w:val="36"/>
        </w:rPr>
        <w:t xml:space="preserve">9. Cost &amp; Budget Allocation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89"/>
        <w:gridCol w:w="2978"/>
        <w:gridCol w:w="4893"/>
      </w:tblGrid>
      <w:tr>
        <w:trPr>
          <w:tblHeader/>
        </w:trPr>
        <w:tc>
          <w:tcPr>
            <w:tcW w:type="dxa" w:w="1489"/>
            <w:tcBorders>
              <w:top w:val="single" w:color="90CAF9" w:sz="1"/>
              <w:left w:val="single" w:color="90CAF9" w:sz="1"/>
              <w:bottom w:val="single" w:color="90CAF9" w:sz="1"/>
              <w:right w:val="single" w:color="90CAF9"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978"/>
            <w:tcBorders>
              <w:top w:val="single" w:color="90CAF9" w:sz="1"/>
              <w:left w:val="single" w:color="90CAF9" w:sz="1"/>
              <w:bottom w:val="single" w:color="90CAF9" w:sz="1"/>
              <w:right w:val="single" w:color="90CAF9"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4893"/>
            <w:tcBorders>
              <w:top w:val="single" w:color="90CAF9" w:sz="1"/>
              <w:left w:val="single" w:color="90CAF9" w:sz="1"/>
              <w:bottom w:val="single" w:color="90CAF9" w:sz="1"/>
              <w:right w:val="single" w:color="90CAF9"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489"/>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Workflow Budget</w:t>
            </w:r>
          </w:p>
        </w:tc>
        <w:tc>
          <w:tcPr>
            <w:tcW w:type="dxa" w:w="2978"/>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Total cost ceiling for the entire workflow, set by the request or default from spec</w:t>
            </w:r>
          </w:p>
        </w:tc>
        <w:tc>
          <w:tcPr>
            <w:tcW w:type="dxa" w:w="4893"/>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$0.50 per complex workflow</w:t>
            </w:r>
          </w:p>
        </w:tc>
      </w:tr>
      <w:tr>
        <w:tc>
          <w:tcPr>
            <w:tcW w:type="dxa" w:w="1489"/>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Task Budget</w:t>
            </w:r>
          </w:p>
        </w:tc>
        <w:tc>
          <w:tcPr>
            <w:tcW w:type="dxa" w:w="2978"/>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Percentage of workflow budget allocated to each task (set by Planner)</w:t>
            </w:r>
          </w:p>
        </w:tc>
        <w:tc>
          <w:tcPr>
            <w:tcW w:type="dxa" w:w="4893"/>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Research: 20%, Analysis: 30%, Writing: 25%, Validation: 5%</w:t>
            </w:r>
          </w:p>
        </w:tc>
      </w:tr>
      <w:tr>
        <w:tc>
          <w:tcPr>
            <w:tcW w:type="dxa" w:w="1489"/>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Task Cost Tracking</w:t>
            </w:r>
          </w:p>
        </w:tc>
        <w:tc>
          <w:tcPr>
            <w:tcW w:type="dxa" w:w="2978"/>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Per-task token counting and cost estimation, real-time</w:t>
            </w:r>
          </w:p>
        </w:tc>
        <w:tc>
          <w:tcPr>
            <w:tcW w:type="dxa" w:w="4893"/>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Task t3 has used $0.12 of its $0.15 allocation</w:t>
            </w:r>
          </w:p>
        </w:tc>
      </w:tr>
      <w:tr>
        <w:tc>
          <w:tcPr>
            <w:tcW w:type="dxa" w:w="1489"/>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Budget Reallocation</w:t>
            </w:r>
          </w:p>
        </w:tc>
        <w:tc>
          <w:tcPr>
            <w:tcW w:type="dxa" w:w="2978"/>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If a task completes under budget, surplus is available to downstream tasks</w:t>
            </w:r>
          </w:p>
        </w:tc>
        <w:tc>
          <w:tcPr>
            <w:tcW w:type="dxa" w:w="4893"/>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t1 finished at $0.06 (allocated $0.10) → $0.04 redistributed</w:t>
            </w:r>
          </w:p>
        </w:tc>
      </w:tr>
      <w:tr>
        <w:tc>
          <w:tcPr>
            <w:tcW w:type="dxa" w:w="1489"/>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Overspend Protection</w:t>
            </w:r>
          </w:p>
        </w:tc>
        <w:tc>
          <w:tcPr>
            <w:tcW w:type="dxa" w:w="2978"/>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If a task approaches its budget limit, it switches to a cheaper model or reduces context</w:t>
            </w:r>
          </w:p>
        </w:tc>
        <w:tc>
          <w:tcPr>
            <w:tcW w:type="dxa" w:w="4893"/>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t3 at 90% budget → switch from claude-sonnet to llama-3.1 for remaining work</w:t>
            </w:r>
          </w:p>
        </w:tc>
      </w:tr>
    </w:tbl>
    <w:p>
      <w:r>
        <w:br w:type="page"/>
      </w:r>
    </w:p>
    <w:p>
      <w:pPr>
        <w:pStyle w:val="Heading1"/>
        <w:spacing w:before="360" w:after="200"/>
      </w:pPr>
      <w:r>
        <w:rPr>
          <w:rFonts w:ascii="Arial" w:cs="Arial" w:eastAsia="Arial" w:hAnsi="Arial"/>
          <w:b/>
          <w:bCs/>
          <w:color w:val="0D47A1"/>
          <w:sz w:val="36"/>
          <w:szCs w:val="36"/>
        </w:rPr>
        <w:t xml:space="preserve">10. External Agent Integration (A2A/MCP)</w:t>
      </w:r>
    </w:p>
    <w:p>
      <w:pPr>
        <w:spacing w:after="80"/>
      </w:pPr>
    </w:p>
    <w:p>
      <w:pPr>
        <w:spacing w:after="120"/>
      </w:pPr>
      <w:r>
        <w:rPr>
          <w:rFonts w:ascii="Arial" w:cs="Arial" w:eastAsia="Arial" w:hAnsi="Arial"/>
          <w:sz w:val="22"/>
          <w:szCs w:val="22"/>
        </w:rPr>
        <w:t xml:space="preserve">In workflows that require data or capabilities from external systems, the orchestration engine can include external agents as task participants: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89"/>
        <w:gridCol w:w="1276"/>
        <w:gridCol w:w="2765"/>
        <w:gridCol w:w="3830"/>
      </w:tblGrid>
      <w:tr>
        <w:trPr>
          <w:tblHeader/>
        </w:trPr>
        <w:tc>
          <w:tcPr>
            <w:tcW w:type="dxa" w:w="1489"/>
            <w:tcBorders>
              <w:top w:val="single" w:color="90CAF9" w:sz="1"/>
              <w:left w:val="single" w:color="90CAF9" w:sz="1"/>
              <w:bottom w:val="single" w:color="90CAF9" w:sz="1"/>
              <w:right w:val="single" w:color="90CAF9"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Integration</w:t>
            </w:r>
          </w:p>
        </w:tc>
        <w:tc>
          <w:tcPr>
            <w:tcW w:type="dxa" w:w="1276"/>
            <w:tcBorders>
              <w:top w:val="single" w:color="90CAF9" w:sz="1"/>
              <w:left w:val="single" w:color="90CAF9" w:sz="1"/>
              <w:bottom w:val="single" w:color="90CAF9" w:sz="1"/>
              <w:right w:val="single" w:color="90CAF9"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Protocol</w:t>
            </w:r>
          </w:p>
        </w:tc>
        <w:tc>
          <w:tcPr>
            <w:tcW w:type="dxa" w:w="2765"/>
            <w:tcBorders>
              <w:top w:val="single" w:color="90CAF9" w:sz="1"/>
              <w:left w:val="single" w:color="90CAF9" w:sz="1"/>
              <w:bottom w:val="single" w:color="90CAF9" w:sz="1"/>
              <w:right w:val="single" w:color="90CAF9"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3830"/>
            <w:tcBorders>
              <w:top w:val="single" w:color="90CAF9" w:sz="1"/>
              <w:left w:val="single" w:color="90CAF9" w:sz="1"/>
              <w:bottom w:val="single" w:color="90CAF9" w:sz="1"/>
              <w:right w:val="single" w:color="90CAF9"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Governance</w:t>
            </w:r>
          </w:p>
        </w:tc>
      </w:tr>
      <w:tr>
        <w:tc>
          <w:tcPr>
            <w:tcW w:type="dxa" w:w="1489"/>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External MCP Tool</w:t>
            </w:r>
          </w:p>
        </w:tc>
        <w:tc>
          <w:tcPr>
            <w:tcW w:type="dxa" w:w="1276"/>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MCP (via Sentinel MCP Catalog)</w:t>
            </w:r>
          </w:p>
        </w:tc>
        <w:tc>
          <w:tcPr>
            <w:tcW w:type="dxa" w:w="2765"/>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Salesforce CRM data via MCP tool</w:t>
            </w:r>
          </w:p>
        </w:tc>
        <w:tc>
          <w:tcPr>
            <w:tcW w:type="dxa" w:w="383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Sentinel validates tool access; output passes through Critic</w:t>
            </w:r>
          </w:p>
        </w:tc>
      </w:tr>
      <w:tr>
        <w:tc>
          <w:tcPr>
            <w:tcW w:type="dxa" w:w="1489"/>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External A2A Agent</w:t>
            </w:r>
          </w:p>
        </w:tc>
        <w:tc>
          <w:tcPr>
            <w:tcW w:type="dxa" w:w="1276"/>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Agent-to-Agent protocol</w:t>
            </w:r>
          </w:p>
        </w:tc>
        <w:tc>
          <w:tcPr>
            <w:tcW w:type="dxa" w:w="2765"/>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Bloomberg terminal agent provides market data</w:t>
            </w:r>
          </w:p>
        </w:tc>
        <w:tc>
          <w:tcPr>
            <w:tcW w:type="dxa" w:w="3830"/>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Sentinel validates Agent Card; data classified at boundary; Critic validates output</w:t>
            </w:r>
          </w:p>
        </w:tc>
      </w:tr>
      <w:tr>
        <w:tc>
          <w:tcPr>
            <w:tcW w:type="dxa" w:w="1489"/>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Human-in-the-Loop</w:t>
            </w:r>
          </w:p>
        </w:tc>
        <w:tc>
          <w:tcPr>
            <w:tcW w:type="dxa" w:w="1276"/>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Webhook + approval queue</w:t>
            </w:r>
          </w:p>
        </w:tc>
        <w:tc>
          <w:tcPr>
            <w:tcW w:type="dxa" w:w="2765"/>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Complex memo requires advisor review before delivery</w:t>
            </w:r>
          </w:p>
        </w:tc>
        <w:tc>
          <w:tcPr>
            <w:tcW w:type="dxa" w:w="383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Task pauses at approval gate; resumes on human approval</w:t>
            </w:r>
          </w:p>
        </w:tc>
      </w:tr>
    </w:tbl>
    <w:p>
      <w:pPr>
        <w:spacing w:after="80"/>
      </w:pPr>
    </w:p>
    <w:p>
      <w:pPr>
        <w:spacing w:after="120"/>
      </w:pPr>
      <w:r>
        <w:rPr>
          <w:rFonts w:ascii="Arial" w:cs="Arial" w:eastAsia="Arial" w:hAnsi="Arial"/>
          <w:sz w:val="22"/>
          <w:szCs w:val="22"/>
        </w:rPr>
        <w:t xml:space="preserve">External agents participate as task providers but are never trusted by default. Their outputs enter the STC pipeline at the Sentinel boundary and are subject to the same PII scanning, data classification, and Critic validation as any internal Stalwart output.</w:t>
      </w:r>
    </w:p>
    <w:p>
      <w:r>
        <w:br w:type="page"/>
      </w:r>
    </w:p>
    <w:p>
      <w:pPr>
        <w:pStyle w:val="Heading1"/>
        <w:spacing w:before="360" w:after="200"/>
      </w:pPr>
      <w:r>
        <w:rPr>
          <w:rFonts w:ascii="Arial" w:cs="Arial" w:eastAsia="Arial" w:hAnsi="Arial"/>
          <w:b/>
          <w:bCs/>
          <w:color w:val="0D47A1"/>
          <w:sz w:val="36"/>
          <w:szCs w:val="36"/>
        </w:rPr>
        <w:t xml:space="preserve">11. Observability &amp; Lineage for Workflows</w:t>
      </w:r>
    </w:p>
    <w:p>
      <w:pPr>
        <w:spacing w:after="80"/>
      </w:pPr>
    </w:p>
    <w:p>
      <w:pPr>
        <w:spacing w:after="120"/>
      </w:pPr>
      <w:r>
        <w:rPr>
          <w:rFonts w:ascii="Arial" w:cs="Arial" w:eastAsia="Arial" w:hAnsi="Arial"/>
          <w:sz w:val="22"/>
          <w:szCs w:val="22"/>
        </w:rPr>
        <w:t xml:space="preserve">Each workflow produces a workflow-level lineage record that connects all sub-task lineages into a single DAG. The prompt logger captures every LLM call across all Stalwarts with the workflow_id as a correlation key.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2080"/>
        <w:gridCol w:w="2860"/>
        <w:gridCol w:w="2340"/>
      </w:tblGrid>
      <w:tr>
        <w:trPr>
          <w:tblHeader/>
        </w:trPr>
        <w:tc>
          <w:tcPr>
            <w:tcW w:type="dxa" w:w="2080"/>
            <w:tcBorders>
              <w:top w:val="single" w:color="90CAF9" w:sz="1"/>
              <w:left w:val="single" w:color="90CAF9" w:sz="1"/>
              <w:bottom w:val="single" w:color="90CAF9" w:sz="1"/>
              <w:right w:val="single" w:color="90CAF9"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Observable</w:t>
            </w:r>
          </w:p>
        </w:tc>
        <w:tc>
          <w:tcPr>
            <w:tcW w:type="dxa" w:w="2080"/>
            <w:tcBorders>
              <w:top w:val="single" w:color="90CAF9" w:sz="1"/>
              <w:left w:val="single" w:color="90CAF9" w:sz="1"/>
              <w:bottom w:val="single" w:color="90CAF9" w:sz="1"/>
              <w:right w:val="single" w:color="90CAF9"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Captured At</w:t>
            </w:r>
          </w:p>
        </w:tc>
        <w:tc>
          <w:tcPr>
            <w:tcW w:type="dxa" w:w="2860"/>
            <w:tcBorders>
              <w:top w:val="single" w:color="90CAF9" w:sz="1"/>
              <w:left w:val="single" w:color="90CAF9" w:sz="1"/>
              <w:bottom w:val="single" w:color="90CAF9" w:sz="1"/>
              <w:right w:val="single" w:color="90CAF9"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Stored In</w:t>
            </w:r>
          </w:p>
        </w:tc>
        <w:tc>
          <w:tcPr>
            <w:tcW w:type="dxa" w:w="2340"/>
            <w:tcBorders>
              <w:top w:val="single" w:color="90CAF9" w:sz="1"/>
              <w:left w:val="single" w:color="90CAF9" w:sz="1"/>
              <w:bottom w:val="single" w:color="90CAF9" w:sz="1"/>
              <w:right w:val="single" w:color="90CAF9"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Query By</w:t>
            </w:r>
          </w:p>
        </w:tc>
      </w:tr>
      <w:tr>
        <w:tc>
          <w:tcPr>
            <w:tcW w:type="dxa" w:w="208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Workflow plan</w:t>
            </w:r>
          </w:p>
        </w:tc>
        <w:tc>
          <w:tcPr>
            <w:tcW w:type="dxa" w:w="208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Plan creation</w:t>
            </w:r>
          </w:p>
        </w:tc>
        <w:tc>
          <w:tcPr>
            <w:tcW w:type="dxa" w:w="286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Audit trail + shared workspace</w:t>
            </w:r>
          </w:p>
        </w:tc>
        <w:tc>
          <w:tcPr>
            <w:tcW w:type="dxa" w:w="234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workflow_id</w:t>
            </w:r>
          </w:p>
        </w:tc>
      </w:tr>
      <w:tr>
        <w:tc>
          <w:tcPr>
            <w:tcW w:type="dxa" w:w="2080"/>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Per-task lineage</w:t>
            </w:r>
          </w:p>
        </w:tc>
        <w:tc>
          <w:tcPr>
            <w:tcW w:type="dxa" w:w="2080"/>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Each Stalwart execution</w:t>
            </w:r>
          </w:p>
        </w:tc>
        <w:tc>
          <w:tcPr>
            <w:tcW w:type="dxa" w:w="2860"/>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Data lineage store (per task_id)</w:t>
            </w:r>
          </w:p>
        </w:tc>
        <w:tc>
          <w:tcPr>
            <w:tcW w:type="dxa" w:w="2340"/>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task_id, workflow_id</w:t>
            </w:r>
          </w:p>
        </w:tc>
      </w:tr>
      <w:tr>
        <w:tc>
          <w:tcPr>
            <w:tcW w:type="dxa" w:w="208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Per-task prompt log</w:t>
            </w:r>
          </w:p>
        </w:tc>
        <w:tc>
          <w:tcPr>
            <w:tcW w:type="dxa" w:w="208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Each LLM call</w:t>
            </w:r>
          </w:p>
        </w:tc>
        <w:tc>
          <w:tcPr>
            <w:tcW w:type="dxa" w:w="286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Prompt logger (per execution_id)</w:t>
            </w:r>
          </w:p>
        </w:tc>
        <w:tc>
          <w:tcPr>
            <w:tcW w:type="dxa" w:w="234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execution_id, workflow_id</w:t>
            </w:r>
          </w:p>
        </w:tc>
      </w:tr>
      <w:tr>
        <w:tc>
          <w:tcPr>
            <w:tcW w:type="dxa" w:w="2080"/>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Cross-task context</w:t>
            </w:r>
          </w:p>
        </w:tc>
        <w:tc>
          <w:tcPr>
            <w:tcW w:type="dxa" w:w="2080"/>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Context passing events</w:t>
            </w:r>
          </w:p>
        </w:tc>
        <w:tc>
          <w:tcPr>
            <w:tcW w:type="dxa" w:w="2860"/>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Shared workspace history</w:t>
            </w:r>
          </w:p>
        </w:tc>
        <w:tc>
          <w:tcPr>
            <w:tcW w:type="dxa" w:w="2340"/>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workflow_id</w:t>
            </w:r>
          </w:p>
        </w:tc>
      </w:tr>
      <w:tr>
        <w:tc>
          <w:tcPr>
            <w:tcW w:type="dxa" w:w="208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Workflow Critic verdict</w:t>
            </w:r>
          </w:p>
        </w:tc>
        <w:tc>
          <w:tcPr>
            <w:tcW w:type="dxa" w:w="208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Final assembly validation</w:t>
            </w:r>
          </w:p>
        </w:tc>
        <w:tc>
          <w:tcPr>
            <w:tcW w:type="dxa" w:w="286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Audit trail</w:t>
            </w:r>
          </w:p>
        </w:tc>
        <w:tc>
          <w:tcPr>
            <w:tcW w:type="dxa" w:w="234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workflow_id</w:t>
            </w:r>
          </w:p>
        </w:tc>
      </w:tr>
      <w:tr>
        <w:tc>
          <w:tcPr>
            <w:tcW w:type="dxa" w:w="2080"/>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Workflow cost</w:t>
            </w:r>
          </w:p>
        </w:tc>
        <w:tc>
          <w:tcPr>
            <w:tcW w:type="dxa" w:w="2080"/>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Budget tracking</w:t>
            </w:r>
          </w:p>
        </w:tc>
        <w:tc>
          <w:tcPr>
            <w:tcW w:type="dxa" w:w="2860"/>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Cost controls + audit trail</w:t>
            </w:r>
          </w:p>
        </w:tc>
        <w:tc>
          <w:tcPr>
            <w:tcW w:type="dxa" w:w="2340"/>
            <w:tcBorders>
              <w:top w:val="single" w:color="90CAF9" w:sz="1"/>
              <w:left w:val="single" w:color="90CAF9" w:sz="1"/>
              <w:bottom w:val="single" w:color="90CAF9" w:sz="1"/>
              <w:right w:val="single" w:color="90CAF9" w:sz="1"/>
            </w:tcBorders>
            <w:tcMar>
              <w:top w:type="dxa" w:w="80"/>
              <w:left w:type="dxa" w:w="120"/>
              <w:bottom w:type="dxa" w:w="80"/>
              <w:right w:type="dxa" w:w="120"/>
            </w:tcMar>
          </w:tcPr>
          <w:p>
            <w:r>
              <w:rPr>
                <w:rFonts w:ascii="Arial" w:cs="Arial" w:eastAsia="Arial" w:hAnsi="Arial"/>
                <w:sz w:val="20"/>
                <w:szCs w:val="20"/>
              </w:rPr>
              <w:t xml:space="preserve">workflow_id</w:t>
            </w:r>
          </w:p>
        </w:tc>
      </w:tr>
      <w:tr>
        <w:tc>
          <w:tcPr>
            <w:tcW w:type="dxa" w:w="208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Workflow latency</w:t>
            </w:r>
          </w:p>
        </w:tc>
        <w:tc>
          <w:tcPr>
            <w:tcW w:type="dxa" w:w="208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End-to-end timing</w:t>
            </w:r>
          </w:p>
        </w:tc>
        <w:tc>
          <w:tcPr>
            <w:tcW w:type="dxa" w:w="286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OTel trace (parent span)</w:t>
            </w:r>
          </w:p>
        </w:tc>
        <w:tc>
          <w:tcPr>
            <w:tcW w:type="dxa" w:w="234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sz w:val="20"/>
                <w:szCs w:val="20"/>
              </w:rPr>
              <w:t xml:space="preserve">workflow_id = trace_id</w:t>
            </w:r>
          </w:p>
        </w:tc>
      </w:tr>
    </w:tbl>
    <w:p>
      <w:pPr>
        <w:spacing w:after="80"/>
      </w:pPr>
    </w:p>
    <w:p>
      <w:pPr>
        <w:spacing w:after="120"/>
      </w:pPr>
      <w:r>
        <w:rPr>
          <w:rFonts w:ascii="Arial" w:cs="Arial" w:eastAsia="Arial" w:hAnsi="Arial"/>
          <w:sz w:val="22"/>
          <w:szCs w:val="22"/>
        </w:rPr>
        <w:t xml:space="preserve">An auditor can query: “Show me the complete execution history of workflow wf-20260310-001 — the plan, every Stalwart’s prompt and response, every Critic verdict, the assembled output, and the total cost.” The system can answer this by joining across the workflow workspace, prompt logger, data lineage store, and audit trail using the workflow_id.</w:t>
      </w:r>
    </w:p>
    <w:p>
      <w:pPr>
        <w:spacing w:after="80"/>
      </w:pPr>
    </w:p>
    <w:p>
      <w:pPr>
        <w:spacing w:after="80"/>
      </w:pPr>
    </w:p>
    <w:p>
      <w:pPr>
        <w:spacing w:before="400"/>
        <w:jc w:val="center"/>
      </w:pPr>
      <w:r>
        <w:rPr>
          <w:rFonts w:ascii="Arial" w:cs="Arial" w:eastAsia="Arial" w:hAnsi="Arial"/>
          <w:i/>
          <w:iCs/>
          <w:color w:val="757575"/>
          <w:sz w:val="22"/>
          <w:szCs w:val="22"/>
        </w:rPr>
        <w:t xml:space="preserve">— END OF MULTI-AGENT ORCHESTRATION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57575"/>
        <w:sz w:val="16"/>
        <w:szCs w:val="16"/>
      </w:rPr>
      <w:t xml:space="preserve">Page </w:t>
    </w:r>
    <w:r>
      <w:rPr>
        <w:rFonts w:ascii="Arial" w:cs="Arial" w:eastAsia="Arial" w:hAnsi="Arial"/>
        <w:color w:val="7575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i/>
        <w:iCs/>
        <w:color w:val="757575"/>
        <w:sz w:val="18"/>
        <w:szCs w:val="18"/>
      </w:rPr>
      <w:t xml:space="preserve">STC Framework — Multi-Agent Orchestration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D47A1"/>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565C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2026-03-10T13:29:57.831Z</dcterms:created>
  <dcterms:modified xsi:type="dcterms:W3CDTF">2026-03-10T13:29:57.832Z</dcterms:modified>
</cp:coreProperties>
</file>

<file path=docProps/custom.xml><?xml version="1.0" encoding="utf-8"?>
<Properties xmlns="http://schemas.openxmlformats.org/officeDocument/2006/custom-properties" xmlns:vt="http://schemas.openxmlformats.org/officeDocument/2006/docPropsVTypes"/>
</file>