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366F1"/>
          <w:sz w:val="22"/>
        </w:rPr>
        <w:t>STC FRAMEWORK</w:t>
      </w:r>
    </w:p>
    <w:p>
      <w:pPr>
        <w:jc w:val="center"/>
      </w:pPr>
      <w:r>
        <w:rPr>
          <w:b/>
          <w:sz w:val="52"/>
        </w:rPr>
        <w:t>Data Governance Framework</w:t>
      </w:r>
    </w:p>
    <w:p>
      <w:pPr>
        <w:jc w:val="center"/>
      </w:pPr>
      <w:r>
        <w:rPr>
          <w:i/>
          <w:color w:val="6B7280"/>
          <w:sz w:val="26"/>
        </w:rPr>
        <w:t>Classification · Redaction · Subject Rights · Retention</w:t>
      </w:r>
    </w:p>
    <w:p>
      <w:pPr>
        <w:jc w:val="center"/>
      </w:pPr>
      <w:r>
        <w:rPr>
          <w:color w:val="9CA3AF"/>
          <w:sz w:val="20"/>
        </w:rPr>
        <w:t>GDPR · CCPA · HIPAA · SEC 17a-4 · FINRA 4511</w:t>
      </w:r>
    </w:p>
    <w:p/>
    <w:p>
      <w:pPr>
        <w:jc w:val="center"/>
      </w:pPr>
      <w:r>
        <w:rPr>
          <w:b/>
          <w:color w:val="DC2626"/>
          <w:sz w:val="20"/>
        </w:rPr>
        <w:t>CLASSIFICATION: INTERNAL</w:t>
      </w:r>
    </w:p>
    <w:p>
      <w:pPr>
        <w:jc w:val="center"/>
      </w:pPr>
      <w:r>
        <w:rPr>
          <w:color w:val="4B5563"/>
          <w:sz w:val="20"/>
        </w:rPr>
        <w:t>Document ID: STC-DG-2.0</w:t>
      </w:r>
    </w:p>
    <w:p>
      <w:pPr>
        <w:jc w:val="center"/>
      </w:pPr>
      <w:r>
        <w:rPr>
          <w:color w:val="4B5563"/>
          <w:sz w:val="20"/>
        </w:rPr>
        <w:t>Author: Nitesh Ambastha</w:t>
      </w:r>
    </w:p>
    <w:p>
      <w:pPr>
        <w:jc w:val="center"/>
      </w:pPr>
      <w:r>
        <w:rPr>
          <w:color w:val="4B5563"/>
          <w:sz w:val="20"/>
        </w:rPr>
        <w:t>Version 2.0 —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2"/>
        </w:rPr>
        <w:t>1. Purpose &amp; Scope</w:t>
      </w:r>
    </w:p>
    <w:p>
      <w:r>
        <w:rPr>
          <w:sz w:val="22"/>
        </w:rPr>
        <w:t>2. Data Classification</w:t>
      </w:r>
    </w:p>
    <w:p>
      <w:r>
        <w:rPr>
          <w:sz w:val="22"/>
        </w:rPr>
        <w:t>3. PII Detection &amp; Redaction</w:t>
      </w:r>
    </w:p>
    <w:p>
      <w:r>
        <w:rPr>
          <w:sz w:val="22"/>
        </w:rPr>
        <w:t>4. Surrogate Tokenization</w:t>
      </w:r>
    </w:p>
    <w:p>
      <w:r>
        <w:rPr>
          <w:sz w:val="22"/>
        </w:rPr>
        <w:t>5. Data Subject Rights</w:t>
      </w:r>
    </w:p>
    <w:p>
      <w:r>
        <w:rPr>
          <w:sz w:val="22"/>
        </w:rPr>
        <w:t>6. Retention Policy</w:t>
      </w:r>
    </w:p>
    <w:p>
      <w:r>
        <w:rPr>
          <w:sz w:val="22"/>
        </w:rPr>
        <w:t>7. Tenant Isolation</w:t>
      </w:r>
    </w:p>
    <w:p>
      <w:r>
        <w:rPr>
          <w:sz w:val="22"/>
        </w:rPr>
        <w:t>8. Data Lineage</w:t>
      </w:r>
    </w:p>
    <w:p>
      <w:r>
        <w:rPr>
          <w:sz w:val="22"/>
        </w:rPr>
        <w:t>9. Data Minimisation</w:t>
      </w:r>
    </w:p>
    <w:p>
      <w:r>
        <w:rPr>
          <w:sz w:val="22"/>
        </w:rPr>
        <w:t>10. Regulatory Crosswalk</w:t>
      </w:r>
    </w:p>
    <w:p>
      <w:r>
        <w:br w:type="page"/>
      </w:r>
    </w:p>
    <w:p>
      <w:pPr>
        <w:pStyle w:val="Heading1"/>
      </w:pPr>
      <w:r>
        <w:t>1. Purpose &amp; Scope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3C7"/>
            <w:vAlign w:val="center"/>
          </w:tcPr>
          <w:p>
            <w:r>
              <w:rPr>
                <w:b/>
                <w:color w:val="1E3A8A"/>
                <w:sz w:val="20"/>
              </w:rPr>
              <w:t>April 2026 update — regulated-environment hardening</w:t>
            </w:r>
          </w:p>
          <w:p>
            <w:r>
              <w:rPr>
                <w:color w:val="1F2937"/>
                <w:sz w:val="20"/>
              </w:rPr>
              <w:t>This document has been updated to reflect the Round-1 and Round-2 staff-review remediations: HMAC-SHA256 audit chain, WORM-compatible audit backend, ed25519-signed declarative spec, strict production startup invariants, per-event-class retention policies, clock-safe per-tenant budget tracker, idempotency-aware erasure, and 255 regression tests across six audit suites (test_security, test_privacy, test_observability, test_enterprise, test_staff_review, test_staff_review_round2).</w:t>
            </w:r>
          </w:p>
        </w:tc>
      </w:tr>
    </w:tbl>
    <w:p/>
    <w:p>
      <w:r>
        <w:rPr>
          <w:sz w:val="22"/>
        </w:rPr>
        <w:t>This document describes the STC Framework's data governance controls: data classification, PII handling, lineage, subject rights (GDPR Art. 15 and Art. 17), retention, and per-tenant isolation. It is the artifact a Chief Data Officer or DPO reviews before a regulated deployment.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>
              <w:rPr>
                <w:b/>
              </w:rPr>
              <w:t>Regulatory scope</w:t>
            </w:r>
          </w:p>
        </w:tc>
        <w:tc>
          <w:tcPr>
            <w:tcW w:type="dxa" w:w="4824"/>
          </w:tcPr>
          <w:p>
            <w:r>
              <w:t>GDPR (EU), CCPA / CPRA (California), HIPAA (US healthcare), FINRA 4511 / SEC 17a-4 (US financial)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classes handled</w:t>
            </w:r>
          </w:p>
        </w:tc>
        <w:tc>
          <w:tcPr>
            <w:tcW w:type="dxa" w:w="4824"/>
          </w:tcPr>
          <w:p>
            <w:r>
              <w:t>Public / Internal / Restricted (per data_sovereignty.classification)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PII detection engine</w:t>
            </w:r>
          </w:p>
        </w:tc>
        <w:tc>
          <w:tcPr>
            <w:tcW w:type="dxa" w:w="4824"/>
          </w:tcPr>
          <w:p>
            <w:r>
              <w:t>Microsoft Presidio + spec-declared custom patterns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Subject-rights workflows</w:t>
            </w:r>
          </w:p>
        </w:tc>
        <w:tc>
          <w:tcPr>
            <w:tcW w:type="dxa" w:w="4824"/>
          </w:tcPr>
          <w:p>
            <w:r>
              <w:t>DSAR (governance.dsar), Erasure (governance.erasure), Retention (governance.retention)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Tamper evidence</w:t>
            </w:r>
          </w:p>
        </w:tc>
        <w:tc>
          <w:tcPr>
            <w:tcW w:type="dxa" w:w="4824"/>
          </w:tcPr>
          <w:p>
            <w:r>
              <w:t>HMAC-SHA256 chain + key rotation via key_id</w:t>
            </w:r>
          </w:p>
        </w:tc>
      </w:tr>
    </w:tbl>
    <w:p/>
    <w:p>
      <w:pPr>
        <w:pStyle w:val="Heading1"/>
      </w:pPr>
      <w:r>
        <w:t>2. Data Classification</w:t>
      </w:r>
    </w:p>
    <w:p>
      <w:r>
        <w:rPr>
          <w:sz w:val="22"/>
        </w:rPr>
        <w:t>Every request is classified on entry. The DataClassifier combines Presidio output with custom spec-declared recognisers (regex + keyword) to assign a tier. The tier drives the routing policy — restricted data is guaranteed to reach only in-boundary models.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0E7FF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412"/>
            <w:shd w:val="clear" w:color="auto" w:fill="E0E7FF"/>
          </w:tcPr>
          <w:p>
            <w:r>
              <w:rPr>
                <w:b/>
              </w:rPr>
              <w:t>Data types</w:t>
            </w:r>
          </w:p>
        </w:tc>
        <w:tc>
          <w:tcPr>
            <w:tcW w:type="dxa" w:w="2412"/>
            <w:shd w:val="clear" w:color="auto" w:fill="E0E7FF"/>
          </w:tcPr>
          <w:p>
            <w:r>
              <w:rPr>
                <w:b/>
              </w:rPr>
              <w:t>Permitted models</w:t>
            </w:r>
          </w:p>
        </w:tc>
        <w:tc>
          <w:tcPr>
            <w:tcW w:type="dxa" w:w="2412"/>
            <w:shd w:val="clear" w:color="auto" w:fill="E0E7FF"/>
          </w:tcPr>
          <w:p>
            <w:r>
              <w:rPr>
                <w:b/>
              </w:rPr>
              <w:t>Storage</w:t>
            </w:r>
          </w:p>
        </w:tc>
      </w:tr>
      <w:tr>
        <w:tc>
          <w:tcPr>
            <w:tcW w:type="dxa" w:w="2412"/>
          </w:tcPr>
          <w:p>
            <w:r>
              <w:t>public</w:t>
            </w:r>
          </w:p>
        </w:tc>
        <w:tc>
          <w:tcPr>
            <w:tcW w:type="dxa" w:w="2412"/>
          </w:tcPr>
          <w:p>
            <w:r>
              <w:t>Marketing copy, product info</w:t>
            </w:r>
          </w:p>
        </w:tc>
        <w:tc>
          <w:tcPr>
            <w:tcW w:type="dxa" w:w="2412"/>
          </w:tcPr>
          <w:p>
            <w:r>
              <w:t>cloud, VPC, local</w:t>
            </w:r>
          </w:p>
        </w:tc>
        <w:tc>
          <w:tcPr>
            <w:tcW w:type="dxa" w:w="2412"/>
          </w:tcPr>
          <w:p>
            <w:r>
              <w:t>No special requirements</w:t>
            </w:r>
          </w:p>
        </w:tc>
      </w:tr>
      <w:tr>
        <w:tc>
          <w:tcPr>
            <w:tcW w:type="dxa" w:w="2412"/>
          </w:tcPr>
          <w:p>
            <w:r>
              <w:t>internal</w:t>
            </w:r>
          </w:p>
        </w:tc>
        <w:tc>
          <w:tcPr>
            <w:tcW w:type="dxa" w:w="2412"/>
          </w:tcPr>
          <w:p>
            <w:r>
              <w:t>Business logic, non-PII customer data</w:t>
            </w:r>
          </w:p>
        </w:tc>
        <w:tc>
          <w:tcPr>
            <w:tcW w:type="dxa" w:w="2412"/>
          </w:tcPr>
          <w:p>
            <w:r>
              <w:t>VPC, local</w:t>
            </w:r>
          </w:p>
        </w:tc>
        <w:tc>
          <w:tcPr>
            <w:tcW w:type="dxa" w:w="2412"/>
          </w:tcPr>
          <w:p>
            <w:r>
              <w:t>Encrypted at rest</w:t>
            </w:r>
          </w:p>
        </w:tc>
      </w:tr>
      <w:tr>
        <w:tc>
          <w:tcPr>
            <w:tcW w:type="dxa" w:w="2412"/>
          </w:tcPr>
          <w:p>
            <w:r>
              <w:t>restricted</w:t>
            </w:r>
          </w:p>
        </w:tc>
        <w:tc>
          <w:tcPr>
            <w:tcW w:type="dxa" w:w="2412"/>
          </w:tcPr>
          <w:p>
            <w:r>
              <w:t>PII, PHI, financial account numbers, MNPI</w:t>
            </w:r>
          </w:p>
        </w:tc>
        <w:tc>
          <w:tcPr>
            <w:tcW w:type="dxa" w:w="2412"/>
          </w:tcPr>
          <w:p>
            <w:r>
              <w:t>local-only (Ollama / vLLM / Bedrock-VPC)</w:t>
            </w:r>
          </w:p>
        </w:tc>
        <w:tc>
          <w:tcPr>
            <w:tcW w:type="dxa" w:w="2412"/>
          </w:tcPr>
          <w:p>
            <w:r>
              <w:t>AES-GCM token store + audit chain</w:t>
            </w:r>
          </w:p>
        </w:tc>
      </w:tr>
    </w:tbl>
    <w:p/>
    <w:p>
      <w:pPr>
        <w:pStyle w:val="Heading1"/>
      </w:pPr>
      <w:r>
        <w:t>3. PII Detection &amp; Redaction</w:t>
      </w:r>
    </w:p>
    <w:p>
      <w:pPr>
        <w:pStyle w:val="Heading2"/>
      </w:pPr>
      <w:r>
        <w:t>3.1 Two-Stage Pipeline</w:t>
      </w:r>
    </w:p>
    <w:p>
      <w:pPr>
        <w:pStyle w:val="ListNumber"/>
      </w:pPr>
      <w:r>
        <w:t>Custom spec patterns first — domain-specific rules (e.g. advisor_code regex, client_portfolio keywords) win before generic detection.</w:t>
      </w:r>
    </w:p>
    <w:p>
      <w:pPr>
        <w:pStyle w:val="ListNumber"/>
      </w:pPr>
      <w:r>
        <w:t>Presidio analyzer — language-aware entity detection for PERSON, EMAIL, PHONE, US_SSN, US_BANK_NUMBER, CREDIT_CARD, etc.</w:t>
      </w:r>
    </w:p>
    <w:p>
      <w:pPr>
        <w:pStyle w:val="ListNumber"/>
      </w:pPr>
      <w:r>
        <w:t>Regex fallback — When Presidio unavailable, bounded-quantifier regex catches the highest-risk entities (credit card, SSN, email).</w:t>
      </w:r>
    </w:p>
    <w:p>
      <w:pPr>
        <w:pStyle w:val="Heading2"/>
      </w:pPr>
      <w:r>
        <w:t>3.2 Entity Action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Default action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Configurable in</w:t>
            </w:r>
          </w:p>
        </w:tc>
      </w:tr>
      <w:tr>
        <w:tc>
          <w:tcPr>
            <w:tcW w:type="dxa" w:w="3216"/>
          </w:tcPr>
          <w:p>
            <w:r>
              <w:t>CREDIT_CARD</w:t>
            </w:r>
          </w:p>
        </w:tc>
        <w:tc>
          <w:tcPr>
            <w:tcW w:type="dxa" w:w="3216"/>
          </w:tcPr>
          <w:p>
            <w:r>
              <w:t>BLOCK (DataSovereigntyViolation)</w:t>
            </w:r>
          </w:p>
        </w:tc>
        <w:tc>
          <w:tcPr>
            <w:tcW w:type="dxa" w:w="3216"/>
          </w:tcPr>
          <w:p>
            <w:r>
              <w:t>sentinel.pii_redaction.entities_config</w:t>
            </w:r>
          </w:p>
        </w:tc>
      </w:tr>
      <w:tr>
        <w:tc>
          <w:tcPr>
            <w:tcW w:type="dxa" w:w="3216"/>
          </w:tcPr>
          <w:p>
            <w:r>
              <w:t>US_SSN</w:t>
            </w:r>
          </w:p>
        </w:tc>
        <w:tc>
          <w:tcPr>
            <w:tcW w:type="dxa" w:w="3216"/>
          </w:tcPr>
          <w:p>
            <w:r>
              <w:t>BLOCK</w:t>
            </w:r>
          </w:p>
        </w:tc>
        <w:tc>
          <w:tcPr>
            <w:tcW w:type="dxa" w:w="3216"/>
          </w:tcPr>
          <w:p>
            <w:r>
              <w:t>spec</w:t>
            </w:r>
          </w:p>
        </w:tc>
      </w:tr>
      <w:tr>
        <w:tc>
          <w:tcPr>
            <w:tcW w:type="dxa" w:w="3216"/>
          </w:tcPr>
          <w:p>
            <w:r>
              <w:t>US_BANK_NUMBER</w:t>
            </w:r>
          </w:p>
        </w:tc>
        <w:tc>
          <w:tcPr>
            <w:tcW w:type="dxa" w:w="3216"/>
          </w:tcPr>
          <w:p>
            <w:r>
              <w:t>BLOCK</w:t>
            </w:r>
          </w:p>
        </w:tc>
        <w:tc>
          <w:tcPr>
            <w:tcW w:type="dxa" w:w="3216"/>
          </w:tcPr>
          <w:p>
            <w:r>
              <w:t>spec</w:t>
            </w:r>
          </w:p>
        </w:tc>
      </w:tr>
      <w:tr>
        <w:tc>
          <w:tcPr>
            <w:tcW w:type="dxa" w:w="3216"/>
          </w:tcPr>
          <w:p>
            <w:r>
              <w:t>PERSON</w:t>
            </w:r>
          </w:p>
        </w:tc>
        <w:tc>
          <w:tcPr>
            <w:tcW w:type="dxa" w:w="3216"/>
          </w:tcPr>
          <w:p>
            <w:r>
              <w:t>MASK (replace with &lt;PERSON&gt;)</w:t>
            </w:r>
          </w:p>
        </w:tc>
        <w:tc>
          <w:tcPr>
            <w:tcW w:type="dxa" w:w="3216"/>
          </w:tcPr>
          <w:p>
            <w:r>
              <w:t>spec</w:t>
            </w:r>
          </w:p>
        </w:tc>
      </w:tr>
      <w:tr>
        <w:tc>
          <w:tcPr>
            <w:tcW w:type="dxa" w:w="3216"/>
          </w:tcPr>
          <w:p>
            <w:r>
              <w:t>EMAIL_ADDRESS</w:t>
            </w:r>
          </w:p>
        </w:tc>
        <w:tc>
          <w:tcPr>
            <w:tcW w:type="dxa" w:w="3216"/>
          </w:tcPr>
          <w:p>
            <w:r>
              <w:t>MASK (replace with &lt;EMAIL&gt;)</w:t>
            </w:r>
          </w:p>
        </w:tc>
        <w:tc>
          <w:tcPr>
            <w:tcW w:type="dxa" w:w="3216"/>
          </w:tcPr>
          <w:p>
            <w:r>
              <w:t>spec</w:t>
            </w:r>
          </w:p>
        </w:tc>
      </w:tr>
      <w:tr>
        <w:tc>
          <w:tcPr>
            <w:tcW w:type="dxa" w:w="3216"/>
          </w:tcPr>
          <w:p>
            <w:r>
              <w:t>PHONE_NUMBER</w:t>
            </w:r>
          </w:p>
        </w:tc>
        <w:tc>
          <w:tcPr>
            <w:tcW w:type="dxa" w:w="3216"/>
          </w:tcPr>
          <w:p>
            <w:r>
              <w:t>MASK</w:t>
            </w:r>
          </w:p>
        </w:tc>
        <w:tc>
          <w:tcPr>
            <w:tcW w:type="dxa" w:w="3216"/>
          </w:tcPr>
          <w:p>
            <w:r>
              <w:t>spec</w:t>
            </w:r>
          </w:p>
        </w:tc>
      </w:tr>
      <w:tr>
        <w:tc>
          <w:tcPr>
            <w:tcW w:type="dxa" w:w="3216"/>
          </w:tcPr>
          <w:p>
            <w:r>
              <w:t>Custom account_number</w:t>
            </w:r>
          </w:p>
        </w:tc>
        <w:tc>
          <w:tcPr>
            <w:tcW w:type="dxa" w:w="3216"/>
          </w:tcPr>
          <w:p>
            <w:r>
              <w:t>Classify to restricted</w:t>
            </w:r>
          </w:p>
        </w:tc>
        <w:tc>
          <w:tcPr>
            <w:tcW w:type="dxa" w:w="3216"/>
          </w:tcPr>
          <w:p>
            <w:r>
              <w:t>data_sovereignty.classification.custom_patterns</w:t>
            </w:r>
          </w:p>
        </w:tc>
      </w:tr>
    </w:tbl>
    <w:p/>
    <w:p>
      <w:pPr>
        <w:pStyle w:val="Heading2"/>
      </w:pPr>
      <w:r>
        <w:t>3.3 Where Redaction Runs</w:t>
      </w:r>
    </w:p>
    <w:p>
      <w:pPr>
        <w:pStyle w:val="ListBullet"/>
      </w:pPr>
      <w:r>
        <w:t>On every user query before the Sentinel selects a model.</w:t>
      </w:r>
    </w:p>
    <w:p>
      <w:pPr>
        <w:pStyle w:val="ListBullet"/>
      </w:pPr>
      <w:r>
        <w:t>On every retrieved chunk before the Stalwart assembles context (indirect-PII defence).</w:t>
      </w:r>
    </w:p>
    <w:p>
      <w:pPr>
        <w:pStyle w:val="ListBullet"/>
      </w:pPr>
      <w:r>
        <w:t>On every response in the pii_output_scan rail.</w:t>
      </w:r>
    </w:p>
    <w:p>
      <w:pPr>
        <w:pStyle w:val="ListBullet"/>
      </w:pPr>
      <w:r>
        <w:t>Redaction counters exposed as stc_redaction_events_total{entity_type=...} for dashboarding.</w:t>
      </w:r>
    </w:p>
    <w:p>
      <w:pPr>
        <w:pStyle w:val="Heading1"/>
      </w:pPr>
      <w:r>
        <w:t>4. Surrogate Tokenization</w:t>
      </w:r>
    </w:p>
    <w:p>
      <w:r>
        <w:rPr>
          <w:sz w:val="22"/>
        </w:rPr>
        <w:t>For restricted-tier data that must transit cloud models under explicit declaration, Tokenizer replaces sensitive values with HMAC-keyed reversible tokens. Tokens are resolved in-process after the response returns.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>
              <w:rPr>
                <w:b/>
              </w:rPr>
              <w:t>Token form</w:t>
            </w:r>
          </w:p>
        </w:tc>
        <w:tc>
          <w:tcPr>
            <w:tcW w:type="dxa" w:w="4824"/>
          </w:tcPr>
          <w:p>
            <w:r>
              <w:t>STC_TOK_&lt;12 hex chars&gt;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Key source</w:t>
            </w:r>
          </w:p>
        </w:tc>
        <w:tc>
          <w:tcPr>
            <w:tcW w:type="dxa" w:w="4824"/>
          </w:tcPr>
          <w:p>
            <w:r>
              <w:t>STC_TOKENIZATION_KEY (HMAC), STC_TOKEN_STORE_KEY (AES-GCM)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Store permissions</w:t>
            </w:r>
          </w:p>
        </w:tc>
        <w:tc>
          <w:tcPr>
            <w:tcW w:type="dxa" w:w="4824"/>
          </w:tcPr>
          <w:p>
            <w:r>
              <w:t>0o600 on POSIX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Scope metadata</w:t>
            </w:r>
          </w:p>
        </w:tc>
        <w:tc>
          <w:tcPr>
            <w:tcW w:type="dxa" w:w="4824"/>
          </w:tcPr>
          <w:p>
            <w:r>
              <w:t>Every entry carries tenant_id + created_at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Right to erasure</w:t>
            </w:r>
          </w:p>
        </w:tc>
        <w:tc>
          <w:tcPr>
            <w:tcW w:type="dxa" w:w="4824"/>
          </w:tcPr>
          <w:p>
            <w:r>
              <w:t>Tokenizer.erase_tenant removes all tokens for a subject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4824"/>
          </w:tcPr>
          <w:p>
            <w:r>
              <w:t>Tokenizer.prune_before removes tokens older than a cutoff</w:t>
            </w:r>
          </w:p>
        </w:tc>
      </w:tr>
    </w:tbl>
    <w:p/>
    <w:p>
      <w:pPr>
        <w:pStyle w:val="Heading1"/>
      </w:pPr>
      <w:r>
        <w:t>5. Data Subject Rights</w:t>
      </w:r>
    </w:p>
    <w:p>
      <w:pPr>
        <w:pStyle w:val="Heading2"/>
      </w:pPr>
      <w:r>
        <w:t>5.1 Right of Access (GDPR Art. 15 / CCPA §1798.100)</w:t>
      </w:r>
    </w:p>
    <w:p>
      <w:r>
        <w:rPr>
          <w:sz w:val="22"/>
        </w:rPr>
        <w:t>governance.export_tenant_records walks every tenant-scoped store and returns a single DSARRecord JSON artifact. The export itself produces an audit entry (dsar_export) so the regulator can verify the request was served within statutory windows.</w:t>
      </w:r>
    </w:p>
    <w:p>
      <w:pPr>
        <w:pStyle w:val="ListBullet"/>
      </w:pPr>
      <w:r>
        <w:t>Audit log rows filtered by tenant_id.</w:t>
      </w:r>
    </w:p>
    <w:p>
      <w:pPr>
        <w:pStyle w:val="ListBullet"/>
      </w:pPr>
      <w:r>
        <w:t>Trainer history metadata where tenant_id is recorded.</w:t>
      </w:r>
    </w:p>
    <w:p>
      <w:pPr>
        <w:pStyle w:val="ListBullet"/>
      </w:pPr>
      <w:r>
        <w:t>Vector store documents filtered via list_for_tenant.</w:t>
      </w:r>
    </w:p>
    <w:p>
      <w:pPr>
        <w:pStyle w:val="ListBullet"/>
      </w:pPr>
      <w:r>
        <w:t>Prompt registrations touched by the tenant (if registry supports it).</w:t>
      </w:r>
    </w:p>
    <w:p>
      <w:pPr>
        <w:pStyle w:val="Heading2"/>
      </w:pPr>
      <w:r>
        <w:t>5.2 Right to Erasure (GDPR Art. 17)</w:t>
      </w:r>
    </w:p>
    <w:p>
      <w:r>
        <w:rPr>
          <w:sz w:val="22"/>
        </w:rPr>
        <w:t>governance.erase_tenant removes every tenant-scoped artifact across the system. Touches SEVEN distinct stores; a new tenant-scoped store MUST be taught about this workflow.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Store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Behaviour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Count field</w:t>
            </w:r>
          </w:p>
        </w:tc>
      </w:tr>
      <w:tr>
        <w:tc>
          <w:tcPr>
            <w:tcW w:type="dxa" w:w="3216"/>
          </w:tcPr>
          <w:p>
            <w:r>
              <w:t>Audit (JSONL)</w:t>
            </w:r>
          </w:p>
        </w:tc>
        <w:tc>
          <w:tcPr>
            <w:tcW w:type="dxa" w:w="3216"/>
          </w:tcPr>
          <w:p>
            <w:r>
              <w:t>Rows removed; chain recomputed</w:t>
            </w:r>
          </w:p>
        </w:tc>
        <w:tc>
          <w:tcPr>
            <w:tcW w:type="dxa" w:w="3216"/>
          </w:tcPr>
          <w:p>
            <w:r>
              <w:t>audit_removed</w:t>
            </w:r>
          </w:p>
        </w:tc>
      </w:tr>
      <w:tr>
        <w:tc>
          <w:tcPr>
            <w:tcW w:type="dxa" w:w="3216"/>
          </w:tcPr>
          <w:p>
            <w:r>
              <w:t>Audit (WORM)</w:t>
            </w:r>
          </w:p>
        </w:tc>
        <w:tc>
          <w:tcPr>
            <w:tcW w:type="dxa" w:w="3216"/>
          </w:tcPr>
          <w:p>
            <w:r>
              <w:t>Refused — ComplianceViolation. Use tokenization+key erasure for pseudonymisation.</w:t>
            </w:r>
          </w:p>
        </w:tc>
        <w:tc>
          <w:tcPr>
            <w:tcW w:type="dxa" w:w="3216"/>
          </w:tcPr>
          <w:p>
            <w:r>
              <w:t>0</w:t>
            </w:r>
          </w:p>
        </w:tc>
      </w:tr>
      <w:tr>
        <w:tc>
          <w:tcPr>
            <w:tcW w:type="dxa" w:w="3216"/>
          </w:tcPr>
          <w:p>
            <w:r>
              <w:t>Trainer history</w:t>
            </w:r>
          </w:p>
        </w:tc>
        <w:tc>
          <w:tcPr>
            <w:tcW w:type="dxa" w:w="3216"/>
          </w:tcPr>
          <w:p>
            <w:r>
              <w:t>Rows with tenant_id metadata removed</w:t>
            </w:r>
          </w:p>
        </w:tc>
        <w:tc>
          <w:tcPr>
            <w:tcW w:type="dxa" w:w="3216"/>
          </w:tcPr>
          <w:p>
            <w:r>
              <w:t>history_removed</w:t>
            </w:r>
          </w:p>
        </w:tc>
      </w:tr>
      <w:tr>
        <w:tc>
          <w:tcPr>
            <w:tcW w:type="dxa" w:w="3216"/>
          </w:tcPr>
          <w:p>
            <w:r>
              <w:t>Vector store</w:t>
            </w:r>
          </w:p>
        </w:tc>
        <w:tc>
          <w:tcPr>
            <w:tcW w:type="dxa" w:w="3216"/>
          </w:tcPr>
          <w:p>
            <w:r>
              <w:t>Documents with tenant_id metadata removed</w:t>
            </w:r>
          </w:p>
        </w:tc>
        <w:tc>
          <w:tcPr>
            <w:tcW w:type="dxa" w:w="3216"/>
          </w:tcPr>
          <w:p>
            <w:r>
              <w:t>vector_removed</w:t>
            </w:r>
          </w:p>
        </w:tc>
      </w:tr>
      <w:tr>
        <w:tc>
          <w:tcPr>
            <w:tcW w:type="dxa" w:w="3216"/>
          </w:tcPr>
          <w:p>
            <w:r>
              <w:t>Token store</w:t>
            </w:r>
          </w:p>
        </w:tc>
        <w:tc>
          <w:tcPr>
            <w:tcW w:type="dxa" w:w="3216"/>
          </w:tcPr>
          <w:p>
            <w:r>
              <w:t>Entries with tenant_id removed</w:t>
            </w:r>
          </w:p>
        </w:tc>
        <w:tc>
          <w:tcPr>
            <w:tcW w:type="dxa" w:w="3216"/>
          </w:tcPr>
          <w:p>
            <w:r>
              <w:t>tokens_removed</w:t>
            </w:r>
          </w:p>
        </w:tc>
      </w:tr>
      <w:tr>
        <w:tc>
          <w:tcPr>
            <w:tcW w:type="dxa" w:w="3216"/>
          </w:tcPr>
          <w:p>
            <w:r>
              <w:t>Idempotency cache</w:t>
            </w:r>
          </w:p>
        </w:tc>
        <w:tc>
          <w:tcPr>
            <w:tcW w:type="dxa" w:w="3216"/>
          </w:tcPr>
          <w:p>
            <w:r>
              <w:t>Cached results removed (prevents resurfacing)</w:t>
            </w:r>
          </w:p>
        </w:tc>
        <w:tc>
          <w:tcPr>
            <w:tcW w:type="dxa" w:w="3216"/>
          </w:tcPr>
          <w:p>
            <w:r>
              <w:t>idempotency_removed</w:t>
            </w:r>
          </w:p>
        </w:tc>
      </w:tr>
      <w:tr>
        <w:tc>
          <w:tcPr>
            <w:tcW w:type="dxa" w:w="3216"/>
          </w:tcPr>
          <w:p>
            <w:r>
              <w:t>Budget tracker</w:t>
            </w:r>
          </w:p>
        </w:tc>
        <w:tc>
          <w:tcPr>
            <w:tcW w:type="dxa" w:w="3216"/>
          </w:tcPr>
          <w:p>
            <w:r>
              <w:t>Rolling-bucket samples removed</w:t>
            </w:r>
          </w:p>
        </w:tc>
        <w:tc>
          <w:tcPr>
            <w:tcW w:type="dxa" w:w="3216"/>
          </w:tcPr>
          <w:p>
            <w:r>
              <w:t>budget_samples_removed</w:t>
            </w:r>
          </w:p>
        </w:tc>
      </w:tr>
      <w:tr>
        <w:tc>
          <w:tcPr>
            <w:tcW w:type="dxa" w:w="3216"/>
          </w:tcPr>
          <w:p>
            <w:r>
              <w:t>Rate limiter</w:t>
            </w:r>
          </w:p>
        </w:tc>
        <w:tc>
          <w:tcPr>
            <w:tcW w:type="dxa" w:w="3216"/>
          </w:tcPr>
          <w:p>
            <w:r>
              <w:t>Per-tenant bucket removed</w:t>
            </w:r>
          </w:p>
        </w:tc>
        <w:tc>
          <w:tcPr>
            <w:tcW w:type="dxa" w:w="3216"/>
          </w:tcPr>
          <w:p>
            <w:r>
              <w:t>rate_limit_removed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3C7"/>
            <w:vAlign w:val="center"/>
          </w:tcPr>
          <w:p>
            <w:r>
              <w:rPr>
                <w:b/>
                <w:color w:val="1E3A8A"/>
                <w:sz w:val="20"/>
              </w:rPr>
              <w:t>WORM vs. GDPR Art. 17 tension</w:t>
            </w:r>
          </w:p>
          <w:p>
            <w:r>
              <w:rPr>
                <w:color w:val="1F2937"/>
                <w:sz w:val="20"/>
              </w:rPr>
              <w:t>SEC 17a-4 requires broker-dealer records to be non-erasable. GDPR Art. 17 requires deletion on valid request. For regulated financial deployments, the compliant pattern is cryptographic pseudonymisation: tokenise PII into the audit log and erase the corresponding token-store entries on the Art. 17 request. The audit record persists; the PII does not. The contractual addendum to the DPA must disclose this.</w:t>
            </w:r>
          </w:p>
        </w:tc>
      </w:tr>
    </w:tbl>
    <w:p/>
    <w:p>
      <w:pPr>
        <w:pStyle w:val="Heading2"/>
      </w:pPr>
      <w:r>
        <w:t>5.3 Erasure Audit Record</w:t>
      </w:r>
    </w:p>
    <w:p>
      <w:r>
        <w:rPr>
          <w:sz w:val="22"/>
        </w:rPr>
        <w:t>erase_tenant emits an audit event with tenant_id=None (so a second erasure call does not delete the receipt) and extras carrying the count from every store. This record's retention defaults to 6 years so GDPR compliance evidence survives a naive retention override.</w:t>
      </w:r>
    </w:p>
    <w:p>
      <w:pPr>
        <w:pStyle w:val="Heading1"/>
      </w:pPr>
      <w:r>
        <w:t>6. Retention Policy</w:t>
      </w:r>
    </w:p>
    <w:p>
      <w:r>
        <w:rPr>
          <w:sz w:val="22"/>
        </w:rPr>
        <w:t>Retention is per-event-class, not a single knob. A naive single retention_days would delete GDPR Art. 17 evidence or audit chain seals. RetentionPolicy defaults protect the common compliance cases: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Event class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Default retention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216"/>
          </w:tcPr>
          <w:p>
            <w:r>
              <w:t>default (e.g. query_completed, llm_call)</w:t>
            </w:r>
          </w:p>
        </w:tc>
        <w:tc>
          <w:tcPr>
            <w:tcW w:type="dxa" w:w="3216"/>
          </w:tcPr>
          <w:p>
            <w:r>
              <w:t>365 days</w:t>
            </w:r>
          </w:p>
        </w:tc>
        <w:tc>
          <w:tcPr>
            <w:tcW w:type="dxa" w:w="3216"/>
          </w:tcPr>
          <w:p>
            <w:r>
              <w:t>Operational; spec-overridable</w:t>
            </w:r>
          </w:p>
        </w:tc>
      </w:tr>
      <w:tr>
        <w:tc>
          <w:tcPr>
            <w:tcW w:type="dxa" w:w="3216"/>
          </w:tcPr>
          <w:p>
            <w:r>
              <w:t>erasure</w:t>
            </w:r>
          </w:p>
        </w:tc>
        <w:tc>
          <w:tcPr>
            <w:tcW w:type="dxa" w:w="3216"/>
          </w:tcPr>
          <w:p>
            <w:r>
              <w:t>6 years (2190 days)</w:t>
            </w:r>
          </w:p>
        </w:tc>
        <w:tc>
          <w:tcPr>
            <w:tcW w:type="dxa" w:w="3216"/>
          </w:tcPr>
          <w:p>
            <w:r>
              <w:t>GDPR Art. 17 compliance evidence</w:t>
            </w:r>
          </w:p>
        </w:tc>
      </w:tr>
      <w:tr>
        <w:tc>
          <w:tcPr>
            <w:tcW w:type="dxa" w:w="3216"/>
          </w:tcPr>
          <w:p>
            <w:r>
              <w:t>dsar_export</w:t>
            </w:r>
          </w:p>
        </w:tc>
        <w:tc>
          <w:tcPr>
            <w:tcW w:type="dxa" w:w="3216"/>
          </w:tcPr>
          <w:p>
            <w:r>
              <w:t>6 years</w:t>
            </w:r>
          </w:p>
        </w:tc>
        <w:tc>
          <w:tcPr>
            <w:tcW w:type="dxa" w:w="3216"/>
          </w:tcPr>
          <w:p>
            <w:r>
              <w:t>GDPR Art. 15 compliance evidence</w:t>
            </w:r>
          </w:p>
        </w:tc>
      </w:tr>
      <w:tr>
        <w:tc>
          <w:tcPr>
            <w:tcW w:type="dxa" w:w="3216"/>
          </w:tcPr>
          <w:p>
            <w:r>
              <w:t>retention_sweep</w:t>
            </w:r>
          </w:p>
        </w:tc>
        <w:tc>
          <w:tcPr>
            <w:tcW w:type="dxa" w:w="3216"/>
          </w:tcPr>
          <w:p>
            <w:r>
              <w:t>6 years</w:t>
            </w:r>
          </w:p>
        </w:tc>
        <w:tc>
          <w:tcPr>
            <w:tcW w:type="dxa" w:w="3216"/>
          </w:tcPr>
          <w:p>
            <w:r>
              <w:t>SEC 17a-4 retention-as-a-process evidence</w:t>
            </w:r>
          </w:p>
        </w:tc>
      </w:tr>
      <w:tr>
        <w:tc>
          <w:tcPr>
            <w:tcW w:type="dxa" w:w="3216"/>
          </w:tcPr>
          <w:p>
            <w:r>
              <w:t>boundary_crossing</w:t>
            </w:r>
          </w:p>
        </w:tc>
        <w:tc>
          <w:tcPr>
            <w:tcW w:type="dxa" w:w="3216"/>
          </w:tcPr>
          <w:p>
            <w:r>
              <w:t>6 years</w:t>
            </w:r>
          </w:p>
        </w:tc>
        <w:tc>
          <w:tcPr>
            <w:tcW w:type="dxa" w:w="3216"/>
          </w:tcPr>
          <w:p>
            <w:r>
              <w:t>Regulator traceability (who saw what where)</w:t>
            </w:r>
          </w:p>
        </w:tc>
      </w:tr>
      <w:tr>
        <w:tc>
          <w:tcPr>
            <w:tcW w:type="dxa" w:w="3216"/>
          </w:tcPr>
          <w:p>
            <w:r>
              <w:t>data_sovereignty_violation</w:t>
            </w:r>
          </w:p>
        </w:tc>
        <w:tc>
          <w:tcPr>
            <w:tcW w:type="dxa" w:w="3216"/>
          </w:tcPr>
          <w:p>
            <w:r>
              <w:t>6 years</w:t>
            </w:r>
          </w:p>
        </w:tc>
        <w:tc>
          <w:tcPr>
            <w:tcW w:type="dxa" w:w="3216"/>
          </w:tcPr>
          <w:p>
            <w:r>
              <w:t>Incident evidence</w:t>
            </w:r>
          </w:p>
        </w:tc>
      </w:tr>
      <w:tr>
        <w:tc>
          <w:tcPr>
            <w:tcW w:type="dxa" w:w="3216"/>
          </w:tcPr>
          <w:p>
            <w:r>
              <w:t>escalation_transition</w:t>
            </w:r>
          </w:p>
        </w:tc>
        <w:tc>
          <w:tcPr>
            <w:tcW w:type="dxa" w:w="3216"/>
          </w:tcPr>
          <w:p>
            <w:r>
              <w:t>6 years</w:t>
            </w:r>
          </w:p>
        </w:tc>
        <w:tc>
          <w:tcPr>
            <w:tcW w:type="dxa" w:w="3216"/>
          </w:tcPr>
          <w:p>
            <w:r>
              <w:t>Risk-management evidence</w:t>
            </w:r>
          </w:p>
        </w:tc>
      </w:tr>
      <w:tr>
        <w:tc>
          <w:tcPr>
            <w:tcW w:type="dxa" w:w="3216"/>
          </w:tcPr>
          <w:p>
            <w:r>
              <w:t>audit_rotation_seal</w:t>
            </w:r>
          </w:p>
        </w:tc>
        <w:tc>
          <w:tcPr>
            <w:tcW w:type="dxa" w:w="3216"/>
          </w:tcPr>
          <w:p>
            <w:r>
              <w:t>Forever (-1)</w:t>
            </w:r>
          </w:p>
        </w:tc>
        <w:tc>
          <w:tcPr>
            <w:tcW w:type="dxa" w:w="3216"/>
          </w:tcPr>
          <w:p>
            <w:r>
              <w:t>Chain glue across file rotation</w:t>
            </w:r>
          </w:p>
        </w:tc>
      </w:tr>
      <w:tr>
        <w:tc>
          <w:tcPr>
            <w:tcW w:type="dxa" w:w="3216"/>
          </w:tcPr>
          <w:p>
            <w:r>
              <w:t>retention_prune_seal</w:t>
            </w:r>
          </w:p>
        </w:tc>
        <w:tc>
          <w:tcPr>
            <w:tcW w:type="dxa" w:w="3216"/>
          </w:tcPr>
          <w:p>
            <w:r>
              <w:t>Forever (-1)</w:t>
            </w:r>
          </w:p>
        </w:tc>
        <w:tc>
          <w:tcPr>
            <w:tcW w:type="dxa" w:w="3216"/>
          </w:tcPr>
          <w:p>
            <w:r>
              <w:t>Chain glue across retention prune</w:t>
            </w:r>
          </w:p>
        </w:tc>
      </w:tr>
    </w:tbl>
    <w:p/>
    <w:p>
      <w:pPr>
        <w:pStyle w:val="Heading2"/>
      </w:pPr>
      <w:r>
        <w:t>6.1 Retention Enforcement</w:t>
      </w:r>
    </w:p>
    <w:p>
      <w:r>
        <w:rPr>
          <w:sz w:val="22"/>
        </w:rPr>
        <w:t>apply_retention walks the audit backend, Trainer history, and token store. It uses the MAXIMUM cutoff across all classes for file-granularity pruning in the JSONL backend, so a file is only deleted when every class inside is expired. If any class is configured as "forever" (-1), pruning is refused entirely.</w:t>
      </w:r>
    </w:p>
    <w:p>
      <w:pPr>
        <w:pStyle w:val="Heading1"/>
      </w:pPr>
      <w:r>
        <w:t>7. Tenant Isolation</w:t>
      </w:r>
    </w:p>
    <w:p>
      <w:pPr>
        <w:pStyle w:val="Heading2"/>
      </w:pPr>
      <w:r>
        <w:t>7.1 Isolation Points</w:t>
      </w:r>
    </w:p>
    <w:p>
      <w:pPr>
        <w:pStyle w:val="ListBullet"/>
      </w:pPr>
      <w:r>
        <w:t>Vector search: tenant_id filter passed on every search and keyword_search call.</w:t>
      </w:r>
    </w:p>
    <w:p>
      <w:pPr>
        <w:pStyle w:val="ListBullet"/>
      </w:pPr>
      <w:r>
        <w:t>Audit records: tenant_id stamped on every record; iter_for_tenant enables safe DSAR/erasure walks.</w:t>
      </w:r>
    </w:p>
    <w:p>
      <w:pPr>
        <w:pStyle w:val="ListBullet"/>
      </w:pPr>
      <w:r>
        <w:t>Trainer history metadata: tenant_id copied from traces so erasure can find the row.</w:t>
      </w:r>
    </w:p>
    <w:p>
      <w:pPr>
        <w:pStyle w:val="ListBullet"/>
      </w:pPr>
      <w:r>
        <w:t>Idempotency cache: key is (tenant_id, idempotency_key) — never plain idempotency_key.</w:t>
      </w:r>
    </w:p>
    <w:p>
      <w:pPr>
        <w:pStyle w:val="ListBullet"/>
      </w:pPr>
      <w:r>
        <w:t>Budget: buckets keyed by tenant_id.</w:t>
      </w:r>
    </w:p>
    <w:p>
      <w:pPr>
        <w:pStyle w:val="ListBullet"/>
      </w:pPr>
      <w:r>
        <w:t>Rate limiter: token buckets keyed by tenant_id with LRU eviction.</w:t>
      </w:r>
    </w:p>
    <w:p>
      <w:pPr>
        <w:pStyle w:val="ListBullet"/>
      </w:pPr>
      <w:r>
        <w:t>Metrics: tenant_label() hashes high-cardinality IDs so Prometheus cardinality is bounded.</w:t>
      </w:r>
    </w:p>
    <w:p>
      <w:pPr>
        <w:pStyle w:val="Heading2"/>
      </w:pPr>
      <w:r>
        <w:t>7.2 Cross-Tenant Leak Prevention</w:t>
      </w:r>
    </w:p>
    <w:p>
      <w:r>
        <w:rPr>
          <w:sz w:val="22"/>
        </w:rPr>
        <w:t>A tenant-id missing from a request is treated as "unknown" rather than "shared". Vector searches without tenant_id return zero tenant-scoped results. Rate limit / budget for the "unknown" pseudo-tenant is a single bucket so an unauthenticated flood is bounded.</w:t>
      </w:r>
    </w:p>
    <w:p>
      <w:pPr>
        <w:pStyle w:val="Heading1"/>
      </w:pPr>
      <w:r>
        <w:t>8. Data Lineage</w:t>
      </w:r>
    </w:p>
    <w:p>
      <w:r>
        <w:rPr>
          <w:sz w:val="22"/>
        </w:rPr>
        <w:t>Every query produces an auditable lineage trail. A compliance officer can reconstruct “a response was produced from these documents via these models at this cost” from the audit alone.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Lineage field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Audit event</w:t>
            </w:r>
          </w:p>
        </w:tc>
      </w:tr>
      <w:tr>
        <w:tc>
          <w:tcPr>
            <w:tcW w:type="dxa" w:w="3216"/>
          </w:tcPr>
          <w:p>
            <w:r>
              <w:t>trace_id</w:t>
            </w:r>
          </w:p>
        </w:tc>
        <w:tc>
          <w:tcPr>
            <w:tcW w:type="dxa" w:w="3216"/>
          </w:tcPr>
          <w:p>
            <w:r>
              <w:t>system.py::aquery</w:t>
            </w:r>
          </w:p>
        </w:tc>
        <w:tc>
          <w:tcPr>
            <w:tcW w:type="dxa" w:w="3216"/>
          </w:tcPr>
          <w:p>
            <w:r>
              <w:t>query_accepted</w:t>
            </w:r>
          </w:p>
        </w:tc>
      </w:tr>
      <w:tr>
        <w:tc>
          <w:tcPr>
            <w:tcW w:type="dxa" w:w="3216"/>
          </w:tcPr>
          <w:p>
            <w:r>
              <w:t>data_tier</w:t>
            </w:r>
          </w:p>
        </w:tc>
        <w:tc>
          <w:tcPr>
            <w:tcW w:type="dxa" w:w="3216"/>
          </w:tcPr>
          <w:p>
            <w:r>
              <w:t>sentinel.classifier</w:t>
            </w:r>
          </w:p>
        </w:tc>
        <w:tc>
          <w:tcPr>
            <w:tcW w:type="dxa" w:w="3216"/>
          </w:tcPr>
          <w:p>
            <w:r>
              <w:t>llm_call</w:t>
            </w:r>
          </w:p>
        </w:tc>
      </w:tr>
      <w:tr>
        <w:tc>
          <w:tcPr>
            <w:tcW w:type="dxa" w:w="3216"/>
          </w:tcPr>
          <w:p>
            <w:r>
              <w:t>model</w:t>
            </w:r>
          </w:p>
        </w:tc>
        <w:tc>
          <w:tcPr>
            <w:tcW w:type="dxa" w:w="3216"/>
          </w:tcPr>
          <w:p>
            <w:r>
              <w:t>sentinel.gateway</w:t>
            </w:r>
          </w:p>
        </w:tc>
        <w:tc>
          <w:tcPr>
            <w:tcW w:type="dxa" w:w="3216"/>
          </w:tcPr>
          <w:p>
            <w:r>
              <w:t>llm_call</w:t>
            </w:r>
          </w:p>
        </w:tc>
      </w:tr>
      <w:tr>
        <w:tc>
          <w:tcPr>
            <w:tcW w:type="dxa" w:w="3216"/>
          </w:tcPr>
          <w:p>
            <w:r>
              <w:t>boundary_crossing</w:t>
            </w:r>
          </w:p>
        </w:tc>
        <w:tc>
          <w:tcPr>
            <w:tcW w:type="dxa" w:w="3216"/>
          </w:tcPr>
          <w:p>
            <w:r>
              <w:t>sentinel.gateway</w:t>
            </w:r>
          </w:p>
        </w:tc>
        <w:tc>
          <w:tcPr>
            <w:tcW w:type="dxa" w:w="3216"/>
          </w:tcPr>
          <w:p>
            <w:r>
              <w:t>llm_call</w:t>
            </w:r>
          </w:p>
        </w:tc>
      </w:tr>
      <w:tr>
        <w:tc>
          <w:tcPr>
            <w:tcW w:type="dxa" w:w="3216"/>
          </w:tcPr>
          <w:p>
            <w:r>
              <w:t>prompt_version</w:t>
            </w:r>
          </w:p>
        </w:tc>
        <w:tc>
          <w:tcPr>
            <w:tcW w:type="dxa" w:w="3216"/>
          </w:tcPr>
          <w:p>
            <w:r>
              <w:t>StalwartResult</w:t>
            </w:r>
          </w:p>
        </w:tc>
        <w:tc>
          <w:tcPr>
            <w:tcW w:type="dxa" w:w="3216"/>
          </w:tcPr>
          <w:p>
            <w:r>
              <w:t>query_completed</w:t>
            </w:r>
          </w:p>
        </w:tc>
      </w:tr>
      <w:tr>
        <w:tc>
          <w:tcPr>
            <w:tcW w:type="dxa" w:w="3216"/>
          </w:tcPr>
          <w:p>
            <w:r>
              <w:t>spec_version</w:t>
            </w:r>
          </w:p>
        </w:tc>
        <w:tc>
          <w:tcPr>
            <w:tcW w:type="dxa" w:w="3216"/>
          </w:tcPr>
          <w:p>
            <w:r>
              <w:t>STCSpec</w:t>
            </w:r>
          </w:p>
        </w:tc>
        <w:tc>
          <w:tcPr>
            <w:tcW w:type="dxa" w:w="3216"/>
          </w:tcPr>
          <w:p>
            <w:r>
              <w:t>query_accepted, query_completed, llm_call</w:t>
            </w:r>
          </w:p>
        </w:tc>
      </w:tr>
      <w:tr>
        <w:tc>
          <w:tcPr>
            <w:tcW w:type="dxa" w:w="3216"/>
          </w:tcPr>
          <w:p>
            <w:r>
              <w:t>cost_usd</w:t>
            </w:r>
          </w:p>
        </w:tc>
        <w:tc>
          <w:tcPr>
            <w:tcW w:type="dxa" w:w="3216"/>
          </w:tcPr>
          <w:p>
            <w:r>
              <w:t>StalwartResult</w:t>
            </w:r>
          </w:p>
        </w:tc>
        <w:tc>
          <w:tcPr>
            <w:tcW w:type="dxa" w:w="3216"/>
          </w:tcPr>
          <w:p>
            <w:r>
              <w:t>query_completed</w:t>
            </w:r>
          </w:p>
        </w:tc>
      </w:tr>
      <w:tr>
        <w:tc>
          <w:tcPr>
            <w:tcW w:type="dxa" w:w="3216"/>
          </w:tcPr>
          <w:p>
            <w:r>
              <w:t>rail_results</w:t>
            </w:r>
          </w:p>
        </w:tc>
        <w:tc>
          <w:tcPr>
            <w:tcW w:type="dxa" w:w="3216"/>
          </w:tcPr>
          <w:p>
            <w:r>
              <w:t>Critic verdict</w:t>
            </w:r>
          </w:p>
        </w:tc>
        <w:tc>
          <w:tcPr>
            <w:tcW w:type="dxa" w:w="3216"/>
          </w:tcPr>
          <w:p>
            <w:r>
              <w:t>query_completed, rail_failed</w:t>
            </w:r>
          </w:p>
        </w:tc>
      </w:tr>
      <w:tr>
        <w:tc>
          <w:tcPr>
            <w:tcW w:type="dxa" w:w="3216"/>
          </w:tcPr>
          <w:p>
            <w:r>
              <w:t>redaction_entities</w:t>
            </w:r>
          </w:p>
        </w:tc>
        <w:tc>
          <w:tcPr>
            <w:tcW w:type="dxa" w:w="3216"/>
          </w:tcPr>
          <w:p>
            <w:r>
              <w:t>sentinel.redaction</w:t>
            </w:r>
          </w:p>
        </w:tc>
        <w:tc>
          <w:tcPr>
            <w:tcW w:type="dxa" w:w="3216"/>
          </w:tcPr>
          <w:p>
            <w:r>
              <w:t>llm_call</w:t>
            </w:r>
          </w:p>
        </w:tc>
      </w:tr>
      <w:tr>
        <w:tc>
          <w:tcPr>
            <w:tcW w:type="dxa" w:w="3216"/>
          </w:tcPr>
          <w:p>
            <w:r>
              <w:t>citations</w:t>
            </w:r>
          </w:p>
        </w:tc>
        <w:tc>
          <w:tcPr>
            <w:tcW w:type="dxa" w:w="3216"/>
          </w:tcPr>
          <w:p>
            <w:r>
              <w:t>stalwart._extract_citations</w:t>
            </w:r>
          </w:p>
        </w:tc>
        <w:tc>
          <w:tcPr>
            <w:tcW w:type="dxa" w:w="3216"/>
          </w:tcPr>
          <w:p>
            <w:r>
              <w:t>query_completed</w:t>
            </w:r>
          </w:p>
        </w:tc>
      </w:tr>
    </w:tbl>
    <w:p/>
    <w:p>
      <w:pPr>
        <w:pStyle w:val="Heading1"/>
      </w:pPr>
      <w:r>
        <w:t>9. Data Minimisation</w:t>
      </w:r>
    </w:p>
    <w:p>
      <w:r>
        <w:rPr>
          <w:sz w:val="22"/>
        </w:rPr>
        <w:t>Multiple controls enforce GDPR Art. 5(1)(c) ("data collected shall be adequate, relevant, and limited to what is necessary").</w:t>
      </w:r>
    </w:p>
    <w:p>
      <w:pPr>
        <w:pStyle w:val="ListBullet"/>
      </w:pPr>
      <w:r>
        <w:t>record_from_trace filters query / response / context / chunks / citations out of Trainer history metadata. Only aggregates (accuracy, cost, latency) plus tenant_id reach the history store.</w:t>
      </w:r>
    </w:p>
    <w:p>
      <w:pPr>
        <w:pStyle w:val="ListBullet"/>
      </w:pPr>
      <w:r>
        <w:t>notifications._strip_pii scrubs query / response / context / tenant_id / email / user_id / prompt / messages / metadata before any Slack or third-party webhook send.</w:t>
      </w:r>
    </w:p>
    <w:p>
      <w:pPr>
        <w:pStyle w:val="ListBullet"/>
      </w:pPr>
      <w:r>
        <w:t>Stalwart exception suppression stores only exception class name on StalwartResult.error, never message content.</w:t>
      </w:r>
    </w:p>
    <w:p>
      <w:pPr>
        <w:pStyle w:val="ListBullet"/>
      </w:pPr>
      <w:r>
        <w:t>Default STC_LOG_CONTENT=false drops content fields from structured logs at INFO and above.</w:t>
      </w:r>
    </w:p>
    <w:p>
      <w:pPr>
        <w:pStyle w:val="ListBullet"/>
      </w:pPr>
      <w:r>
        <w:t>Chunk-level size caps (max_chunk_chars, max_chunks) cap how much document text reaches the LLM even when the retrieval is oversized.</w:t>
      </w:r>
    </w:p>
    <w:p>
      <w:pPr>
        <w:pStyle w:val="Heading1"/>
      </w:pPr>
      <w:r>
        <w:t>10. Regulatory Crosswalk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Provision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3216"/>
          </w:tcPr>
          <w:p>
            <w:r>
              <w:t>GDPR</w:t>
            </w:r>
          </w:p>
        </w:tc>
        <w:tc>
          <w:tcPr>
            <w:tcW w:type="dxa" w:w="3216"/>
          </w:tcPr>
          <w:p>
            <w:r>
              <w:t>Art. 5(1)(c) data minimisation</w:t>
            </w:r>
          </w:p>
        </w:tc>
        <w:tc>
          <w:tcPr>
            <w:tcW w:type="dxa" w:w="3216"/>
          </w:tcPr>
          <w:p>
            <w:r>
              <w:t>record_from_trace + _strip_pii + chunk caps</w:t>
            </w:r>
          </w:p>
        </w:tc>
      </w:tr>
      <w:tr>
        <w:tc>
          <w:tcPr>
            <w:tcW w:type="dxa" w:w="3216"/>
          </w:tcPr>
          <w:p>
            <w:r>
              <w:t>GDPR</w:t>
            </w:r>
          </w:p>
        </w:tc>
        <w:tc>
          <w:tcPr>
            <w:tcW w:type="dxa" w:w="3216"/>
          </w:tcPr>
          <w:p>
            <w:r>
              <w:t>Art. 5(1)(e) storage limitation</w:t>
            </w:r>
          </w:p>
        </w:tc>
        <w:tc>
          <w:tcPr>
            <w:tcW w:type="dxa" w:w="3216"/>
          </w:tcPr>
          <w:p>
            <w:r>
              <w:t>apply_retention per-event-class</w:t>
            </w:r>
          </w:p>
        </w:tc>
      </w:tr>
      <w:tr>
        <w:tc>
          <w:tcPr>
            <w:tcW w:type="dxa" w:w="3216"/>
          </w:tcPr>
          <w:p>
            <w:r>
              <w:t>GDPR</w:t>
            </w:r>
          </w:p>
        </w:tc>
        <w:tc>
          <w:tcPr>
            <w:tcW w:type="dxa" w:w="3216"/>
          </w:tcPr>
          <w:p>
            <w:r>
              <w:t>Art. 15 right of access</w:t>
            </w:r>
          </w:p>
        </w:tc>
        <w:tc>
          <w:tcPr>
            <w:tcW w:type="dxa" w:w="3216"/>
          </w:tcPr>
          <w:p>
            <w:r>
              <w:t>governance.export_tenant_records + stc-governance dsar</w:t>
            </w:r>
          </w:p>
        </w:tc>
      </w:tr>
      <w:tr>
        <w:tc>
          <w:tcPr>
            <w:tcW w:type="dxa" w:w="3216"/>
          </w:tcPr>
          <w:p>
            <w:r>
              <w:t>GDPR</w:t>
            </w:r>
          </w:p>
        </w:tc>
        <w:tc>
          <w:tcPr>
            <w:tcW w:type="dxa" w:w="3216"/>
          </w:tcPr>
          <w:p>
            <w:r>
              <w:t>Art. 17 right to erasure</w:t>
            </w:r>
          </w:p>
        </w:tc>
        <w:tc>
          <w:tcPr>
            <w:tcW w:type="dxa" w:w="3216"/>
          </w:tcPr>
          <w:p>
            <w:r>
              <w:t>governance.erase_tenant + stc-governance erase</w:t>
            </w:r>
          </w:p>
        </w:tc>
      </w:tr>
      <w:tr>
        <w:tc>
          <w:tcPr>
            <w:tcW w:type="dxa" w:w="3216"/>
          </w:tcPr>
          <w:p>
            <w:r>
              <w:t>GDPR</w:t>
            </w:r>
          </w:p>
        </w:tc>
        <w:tc>
          <w:tcPr>
            <w:tcW w:type="dxa" w:w="3216"/>
          </w:tcPr>
          <w:p>
            <w:r>
              <w:t>Art. 25 privacy by default</w:t>
            </w:r>
          </w:p>
        </w:tc>
        <w:tc>
          <w:tcPr>
            <w:tcW w:type="dxa" w:w="3216"/>
          </w:tcPr>
          <w:p>
            <w:r>
              <w:t>Presidio redaction pre-LLM + chunk redaction</w:t>
            </w:r>
          </w:p>
        </w:tc>
      </w:tr>
      <w:tr>
        <w:tc>
          <w:tcPr>
            <w:tcW w:type="dxa" w:w="3216"/>
          </w:tcPr>
          <w:p>
            <w:r>
              <w:t>GDPR</w:t>
            </w:r>
          </w:p>
        </w:tc>
        <w:tc>
          <w:tcPr>
            <w:tcW w:type="dxa" w:w="3216"/>
          </w:tcPr>
          <w:p>
            <w:r>
              <w:t>Art. 30 records of processing</w:t>
            </w:r>
          </w:p>
        </w:tc>
        <w:tc>
          <w:tcPr>
            <w:tcW w:type="dxa" w:w="3216"/>
          </w:tcPr>
          <w:p>
            <w:r>
              <w:t>26-event AuditEvent catalogue + HMAC chain</w:t>
            </w:r>
          </w:p>
        </w:tc>
      </w:tr>
      <w:tr>
        <w:tc>
          <w:tcPr>
            <w:tcW w:type="dxa" w:w="3216"/>
          </w:tcPr>
          <w:p>
            <w:r>
              <w:t>GDPR</w:t>
            </w:r>
          </w:p>
        </w:tc>
        <w:tc>
          <w:tcPr>
            <w:tcW w:type="dxa" w:w="3216"/>
          </w:tcPr>
          <w:p>
            <w:r>
              <w:t>Art. 32 security of processing</w:t>
            </w:r>
          </w:p>
        </w:tc>
        <w:tc>
          <w:tcPr>
            <w:tcW w:type="dxa" w:w="3216"/>
          </w:tcPr>
          <w:p>
            <w:r>
              <w:t>See Security Architecture doc</w:t>
            </w:r>
          </w:p>
        </w:tc>
      </w:tr>
      <w:tr>
        <w:tc>
          <w:tcPr>
            <w:tcW w:type="dxa" w:w="3216"/>
          </w:tcPr>
          <w:p>
            <w:r>
              <w:t>CCPA / CPRA</w:t>
            </w:r>
          </w:p>
        </w:tc>
        <w:tc>
          <w:tcPr>
            <w:tcW w:type="dxa" w:w="3216"/>
          </w:tcPr>
          <w:p>
            <w:r>
              <w:t>§1798.100 right to know</w:t>
            </w:r>
          </w:p>
        </w:tc>
        <w:tc>
          <w:tcPr>
            <w:tcW w:type="dxa" w:w="3216"/>
          </w:tcPr>
          <w:p>
            <w:r>
              <w:t>DSAR export</w:t>
            </w:r>
          </w:p>
        </w:tc>
      </w:tr>
      <w:tr>
        <w:tc>
          <w:tcPr>
            <w:tcW w:type="dxa" w:w="3216"/>
          </w:tcPr>
          <w:p>
            <w:r>
              <w:t>CCPA / CPRA</w:t>
            </w:r>
          </w:p>
        </w:tc>
        <w:tc>
          <w:tcPr>
            <w:tcW w:type="dxa" w:w="3216"/>
          </w:tcPr>
          <w:p>
            <w:r>
              <w:t>§1798.105 right to delete</w:t>
            </w:r>
          </w:p>
        </w:tc>
        <w:tc>
          <w:tcPr>
            <w:tcW w:type="dxa" w:w="3216"/>
          </w:tcPr>
          <w:p>
            <w:r>
              <w:t>Erasure workflow</w:t>
            </w:r>
          </w:p>
        </w:tc>
      </w:tr>
      <w:tr>
        <w:tc>
          <w:tcPr>
            <w:tcW w:type="dxa" w:w="3216"/>
          </w:tcPr>
          <w:p>
            <w:r>
              <w:t>HIPAA</w:t>
            </w:r>
          </w:p>
        </w:tc>
        <w:tc>
          <w:tcPr>
            <w:tcW w:type="dxa" w:w="3216"/>
          </w:tcPr>
          <w:p>
            <w:r>
              <w:t>§164.312(b) audit controls</w:t>
            </w:r>
          </w:p>
        </w:tc>
        <w:tc>
          <w:tcPr>
            <w:tcW w:type="dxa" w:w="3216"/>
          </w:tcPr>
          <w:p>
            <w:r>
              <w:t>HMAC-chained append-only log</w:t>
            </w:r>
          </w:p>
        </w:tc>
      </w:tr>
      <w:tr>
        <w:tc>
          <w:tcPr>
            <w:tcW w:type="dxa" w:w="3216"/>
          </w:tcPr>
          <w:p>
            <w:r>
              <w:t>HIPAA</w:t>
            </w:r>
          </w:p>
        </w:tc>
        <w:tc>
          <w:tcPr>
            <w:tcW w:type="dxa" w:w="3216"/>
          </w:tcPr>
          <w:p>
            <w:r>
              <w:t>§164.312(c) integrity</w:t>
            </w:r>
          </w:p>
        </w:tc>
        <w:tc>
          <w:tcPr>
            <w:tcW w:type="dxa" w:w="3216"/>
          </w:tcPr>
          <w:p>
            <w:r>
              <w:t>verify_chain</w:t>
            </w:r>
          </w:p>
        </w:tc>
      </w:tr>
      <w:tr>
        <w:tc>
          <w:tcPr>
            <w:tcW w:type="dxa" w:w="3216"/>
          </w:tcPr>
          <w:p>
            <w:r>
              <w:t>HIPAA</w:t>
            </w:r>
          </w:p>
        </w:tc>
        <w:tc>
          <w:tcPr>
            <w:tcW w:type="dxa" w:w="3216"/>
          </w:tcPr>
          <w:p>
            <w:r>
              <w:t>§164.312(e) transmission security</w:t>
            </w:r>
          </w:p>
        </w:tc>
        <w:tc>
          <w:tcPr>
            <w:tcW w:type="dxa" w:w="3216"/>
          </w:tcPr>
          <w:p>
            <w:r>
              <w:t>data-sovereignty 3-layer routing + TLS enforced at gateway</w:t>
            </w:r>
          </w:p>
        </w:tc>
      </w:tr>
      <w:tr>
        <w:tc>
          <w:tcPr>
            <w:tcW w:type="dxa" w:w="3216"/>
          </w:tcPr>
          <w:p>
            <w:r>
              <w:t>SEC</w:t>
            </w:r>
          </w:p>
        </w:tc>
        <w:tc>
          <w:tcPr>
            <w:tcW w:type="dxa" w:w="3216"/>
          </w:tcPr>
          <w:p>
            <w:r>
              <w:t>17a-4(f) electronic records WORM</w:t>
            </w:r>
          </w:p>
        </w:tc>
        <w:tc>
          <w:tcPr>
            <w:tcW w:type="dxa" w:w="3216"/>
          </w:tcPr>
          <w:p>
            <w:r>
              <w:t>WORMAuditBackend</w:t>
            </w:r>
          </w:p>
        </w:tc>
      </w:tr>
      <w:tr>
        <w:tc>
          <w:tcPr>
            <w:tcW w:type="dxa" w:w="3216"/>
          </w:tcPr>
          <w:p>
            <w:r>
              <w:t>FINRA</w:t>
            </w:r>
          </w:p>
        </w:tc>
        <w:tc>
          <w:tcPr>
            <w:tcW w:type="dxa" w:w="3216"/>
          </w:tcPr>
          <w:p>
            <w:r>
              <w:t>4511 retention 6 years</w:t>
            </w:r>
          </w:p>
        </w:tc>
        <w:tc>
          <w:tcPr>
            <w:tcW w:type="dxa" w:w="3216"/>
          </w:tcPr>
          <w:p>
            <w:r>
              <w:t>RetentionPolicy defaults</w:t>
            </w:r>
          </w:p>
        </w:tc>
      </w:tr>
      <w:tr>
        <w:tc>
          <w:tcPr>
            <w:tcW w:type="dxa" w:w="3216"/>
          </w:tcPr>
          <w:p>
            <w:r>
              <w:t>SOX</w:t>
            </w:r>
          </w:p>
        </w:tc>
        <w:tc>
          <w:tcPr>
            <w:tcW w:type="dxa" w:w="3216"/>
          </w:tcPr>
          <w:p>
            <w:r>
              <w:t>§404 change control</w:t>
            </w:r>
          </w:p>
        </w:tc>
        <w:tc>
          <w:tcPr>
            <w:tcW w:type="dxa" w:w="3216"/>
          </w:tcPr>
          <w:p>
            <w:r>
              <w:t>Signed spec + audit of prompt / routing changes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