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366F1"/>
          <w:sz w:val="22"/>
        </w:rPr>
        <w:t>STC FRAMEWORK</w:t>
      </w:r>
    </w:p>
    <w:p>
      <w:pPr>
        <w:jc w:val="center"/>
      </w:pPr>
      <w:r>
        <w:rPr>
          <w:b/>
          <w:sz w:val="52"/>
        </w:rPr>
        <w:t>Enterprise Architecture</w:t>
      </w:r>
    </w:p>
    <w:p>
      <w:pPr>
        <w:jc w:val="center"/>
      </w:pPr>
      <w:r>
        <w:rPr>
          <w:i/>
          <w:color w:val="6B7280"/>
          <w:sz w:val="26"/>
        </w:rPr>
        <w:t>Production-grade deployment blueprint</w:t>
      </w:r>
    </w:p>
    <w:p>
      <w:pPr>
        <w:jc w:val="center"/>
      </w:pPr>
      <w:r>
        <w:rPr>
          <w:color w:val="9CA3AF"/>
          <w:sz w:val="20"/>
        </w:rPr>
        <w:t>HA · Scalability · Resilience · Performance · DR</w:t>
      </w:r>
    </w:p>
    <w:p/>
    <w:p>
      <w:pPr>
        <w:jc w:val="center"/>
      </w:pPr>
      <w:r>
        <w:rPr>
          <w:b/>
          <w:color w:val="DC2626"/>
          <w:sz w:val="20"/>
        </w:rPr>
        <w:t>CLASSIFICATION: INTERNAL</w:t>
      </w:r>
    </w:p>
    <w:p>
      <w:pPr>
        <w:jc w:val="center"/>
      </w:pPr>
      <w:r>
        <w:rPr>
          <w:color w:val="4B5563"/>
          <w:sz w:val="20"/>
        </w:rPr>
        <w:t>Document ID: STC-EA-2.0</w:t>
      </w:r>
    </w:p>
    <w:p>
      <w:pPr>
        <w:jc w:val="center"/>
      </w:pPr>
      <w:r>
        <w:rPr>
          <w:color w:val="4B5563"/>
          <w:sz w:val="20"/>
        </w:rPr>
        <w:t>Author: Nitesh Ambastha</w:t>
      </w:r>
    </w:p>
    <w:p>
      <w:pPr>
        <w:jc w:val="center"/>
      </w:pPr>
      <w:r>
        <w:rPr>
          <w:color w:val="4B5563"/>
          <w:sz w:val="20"/>
        </w:rPr>
        <w:t>Version 2.0 — April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sz w:val="22"/>
        </w:rPr>
        <w:t>1. Purpose</w:t>
      </w:r>
    </w:p>
    <w:p>
      <w:r>
        <w:rPr>
          <w:sz w:val="22"/>
        </w:rPr>
        <w:t>2. Deployment Topology</w:t>
      </w:r>
    </w:p>
    <w:p>
      <w:r>
        <w:rPr>
          <w:sz w:val="22"/>
        </w:rPr>
        <w:t>3. Scaling Strategy</w:t>
      </w:r>
    </w:p>
    <w:p>
      <w:r>
        <w:rPr>
          <w:sz w:val="22"/>
        </w:rPr>
        <w:t>4. Availability &amp; Resilience</w:t>
      </w:r>
    </w:p>
    <w:p>
      <w:r>
        <w:rPr>
          <w:sz w:val="22"/>
        </w:rPr>
        <w:t>5. Performance</w:t>
      </w:r>
    </w:p>
    <w:p>
      <w:r>
        <w:rPr>
          <w:sz w:val="22"/>
        </w:rPr>
        <w:t>6. Multi-Region &amp; Disaster Recovery</w:t>
      </w:r>
    </w:p>
    <w:p>
      <w:r>
        <w:rPr>
          <w:sz w:val="22"/>
        </w:rPr>
        <w:t>7. Observability Stack</w:t>
      </w:r>
    </w:p>
    <w:p>
      <w:r>
        <w:rPr>
          <w:sz w:val="22"/>
        </w:rPr>
        <w:t>8. Change Management</w:t>
      </w:r>
    </w:p>
    <w:p>
      <w:r>
        <w:rPr>
          <w:sz w:val="22"/>
        </w:rPr>
        <w:t>9. Capacity &amp; Cost Model</w:t>
      </w:r>
    </w:p>
    <w:p>
      <w:r>
        <w:rPr>
          <w:sz w:val="22"/>
        </w:rPr>
        <w:t>10. Operational Checklists</w:t>
      </w:r>
    </w:p>
    <w:p>
      <w:r>
        <w:br w:type="page"/>
      </w:r>
    </w:p>
    <w:p>
      <w:pPr>
        <w:pStyle w:val="Heading1"/>
      </w:pPr>
      <w:r>
        <w:t>1. Purpose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EF3C7"/>
            <w:vAlign w:val="center"/>
          </w:tcPr>
          <w:p>
            <w:r>
              <w:rPr>
                <w:b/>
                <w:color w:val="1E3A8A"/>
                <w:sz w:val="20"/>
              </w:rPr>
              <w:t>April 2026 update — regulated-environment hardening</w:t>
            </w:r>
          </w:p>
          <w:p>
            <w:r>
              <w:rPr>
                <w:color w:val="1F2937"/>
                <w:sz w:val="20"/>
              </w:rPr>
              <w:t>This document has been updated to reflect the Round-1 and Round-2 staff-review remediations: HMAC-SHA256 audit chain, WORM-compatible audit backend, ed25519-signed declarative spec, strict production startup invariants, per-event-class retention policies, clock-safe per-tenant budget tracker, idempotency-aware erasure, and 255 regression tests across six audit suites (test_security, test_privacy, test_observability, test_enterprise, test_staff_review, test_staff_review_round2).</w:t>
            </w:r>
          </w:p>
        </w:tc>
      </w:tr>
    </w:tbl>
    <w:p/>
    <w:p>
      <w:r>
        <w:rPr>
          <w:sz w:val="22"/>
        </w:rPr>
        <w:t>This document describes the enterprise architecture for running STC Framework in production. Audience: enterprise architects, SRE leads, platform engineering. Paired with the Security Architecture and Cyber Defense documents, it is the artifact an EA review board approves before a regulated deployment.</w:t>
      </w:r>
    </w:p>
    <w:p>
      <w:pPr>
        <w:pStyle w:val="Heading1"/>
      </w:pPr>
      <w:r>
        <w:t>2. Deployment Topology</w:t>
      </w:r>
    </w:p>
    <w:p>
      <w:pPr>
        <w:pStyle w:val="Heading2"/>
      </w:pPr>
      <w:r>
        <w:t>2.1 Recommended Pod Layout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Deployment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HA Guidance</w:t>
            </w:r>
          </w:p>
        </w:tc>
      </w:tr>
      <w:tr>
        <w:tc>
          <w:tcPr>
            <w:tcW w:type="dxa" w:w="3216"/>
          </w:tcPr>
          <w:p>
            <w:r>
              <w:t>STCSystem (Flask service)</w:t>
            </w:r>
          </w:p>
        </w:tc>
        <w:tc>
          <w:tcPr>
            <w:tcW w:type="dxa" w:w="3216"/>
          </w:tcPr>
          <w:p>
            <w:r>
              <w:t>Kubernetes Deployment</w:t>
            </w:r>
          </w:p>
        </w:tc>
        <w:tc>
          <w:tcPr>
            <w:tcW w:type="dxa" w:w="3216"/>
          </w:tcPr>
          <w:p>
            <w:r>
              <w:t>3+ replicas across 3 AZs; HPA on stc_inflight_requests</w:t>
            </w:r>
          </w:p>
        </w:tc>
      </w:tr>
      <w:tr>
        <w:tc>
          <w:tcPr>
            <w:tcW w:type="dxa" w:w="3216"/>
          </w:tcPr>
          <w:p>
            <w:r>
              <w:t>LiteLLM gateway</w:t>
            </w:r>
          </w:p>
        </w:tc>
        <w:tc>
          <w:tcPr>
            <w:tcW w:type="dxa" w:w="3216"/>
          </w:tcPr>
          <w:p>
            <w:r>
              <w:t>Kubernetes Deployment</w:t>
            </w:r>
          </w:p>
        </w:tc>
        <w:tc>
          <w:tcPr>
            <w:tcW w:type="dxa" w:w="3216"/>
          </w:tcPr>
          <w:p>
            <w:r>
              <w:t>2+ replicas; Redis-backed for routing state</w:t>
            </w:r>
          </w:p>
        </w:tc>
      </w:tr>
      <w:tr>
        <w:tc>
          <w:tcPr>
            <w:tcW w:type="dxa" w:w="3216"/>
          </w:tcPr>
          <w:p>
            <w:r>
              <w:t>Presidio</w:t>
            </w:r>
          </w:p>
        </w:tc>
        <w:tc>
          <w:tcPr>
            <w:tcW w:type="dxa" w:w="3216"/>
          </w:tcPr>
          <w:p>
            <w:r>
              <w:t>Sidecar or service</w:t>
            </w:r>
          </w:p>
        </w:tc>
        <w:tc>
          <w:tcPr>
            <w:tcW w:type="dxa" w:w="3216"/>
          </w:tcPr>
          <w:p>
            <w:r>
              <w:t>Single instance per Flask pod (warmed at startup)</w:t>
            </w:r>
          </w:p>
        </w:tc>
      </w:tr>
      <w:tr>
        <w:tc>
          <w:tcPr>
            <w:tcW w:type="dxa" w:w="3216"/>
          </w:tcPr>
          <w:p>
            <w:r>
              <w:t>Qdrant</w:t>
            </w:r>
          </w:p>
        </w:tc>
        <w:tc>
          <w:tcPr>
            <w:tcW w:type="dxa" w:w="3216"/>
          </w:tcPr>
          <w:p>
            <w:r>
              <w:t>StatefulSet</w:t>
            </w:r>
          </w:p>
        </w:tc>
        <w:tc>
          <w:tcPr>
            <w:tcW w:type="dxa" w:w="3216"/>
          </w:tcPr>
          <w:p>
            <w:r>
              <w:t>3-node cluster with replication</w:t>
            </w:r>
          </w:p>
        </w:tc>
      </w:tr>
      <w:tr>
        <w:tc>
          <w:tcPr>
            <w:tcW w:type="dxa" w:w="3216"/>
          </w:tcPr>
          <w:p>
            <w:r>
              <w:t>Ollama (restricted-tier)</w:t>
            </w:r>
          </w:p>
        </w:tc>
        <w:tc>
          <w:tcPr>
            <w:tcW w:type="dxa" w:w="3216"/>
          </w:tcPr>
          <w:p>
            <w:r>
              <w:t>StatefulSet / GPU pool</w:t>
            </w:r>
          </w:p>
        </w:tc>
        <w:tc>
          <w:tcPr>
            <w:tcW w:type="dxa" w:w="3216"/>
          </w:tcPr>
          <w:p>
            <w:r>
              <w:t>Local-only; data sovereignty</w:t>
            </w:r>
          </w:p>
        </w:tc>
      </w:tr>
      <w:tr>
        <w:tc>
          <w:tcPr>
            <w:tcW w:type="dxa" w:w="3216"/>
          </w:tcPr>
          <w:p>
            <w:r>
              <w:t>Audit store (WORM)</w:t>
            </w:r>
          </w:p>
        </w:tc>
        <w:tc>
          <w:tcPr>
            <w:tcW w:type="dxa" w:w="3216"/>
          </w:tcPr>
          <w:p>
            <w:r>
              <w:t>S3 Object Lock bucket / Immudb / equivalent</w:t>
            </w:r>
          </w:p>
        </w:tc>
        <w:tc>
          <w:tcPr>
            <w:tcW w:type="dxa" w:w="3216"/>
          </w:tcPr>
          <w:p>
            <w:r>
              <w:t>Region-replicated with compliance-mode lock</w:t>
            </w:r>
          </w:p>
        </w:tc>
      </w:tr>
      <w:tr>
        <w:tc>
          <w:tcPr>
            <w:tcW w:type="dxa" w:w="3216"/>
          </w:tcPr>
          <w:p>
            <w:r>
              <w:t>Prometheus + OTel collector</w:t>
            </w:r>
          </w:p>
        </w:tc>
        <w:tc>
          <w:tcPr>
            <w:tcW w:type="dxa" w:w="3216"/>
          </w:tcPr>
          <w:p>
            <w:r>
              <w:t>Cluster-wide</w:t>
            </w:r>
          </w:p>
        </w:tc>
        <w:tc>
          <w:tcPr>
            <w:tcW w:type="dxa" w:w="3216"/>
          </w:tcPr>
          <w:p>
            <w:r>
              <w:t>Standard SRE practice</w:t>
            </w:r>
          </w:p>
        </w:tc>
      </w:tr>
      <w:tr>
        <w:tc>
          <w:tcPr>
            <w:tcW w:type="dxa" w:w="3216"/>
          </w:tcPr>
          <w:p>
            <w:r>
              <w:t>Langfuse</w:t>
            </w:r>
          </w:p>
        </w:tc>
        <w:tc>
          <w:tcPr>
            <w:tcW w:type="dxa" w:w="3216"/>
          </w:tcPr>
          <w:p>
            <w:r>
              <w:t>Optional — Kubernetes Deployment + Postgres</w:t>
            </w:r>
          </w:p>
        </w:tc>
        <w:tc>
          <w:tcPr>
            <w:tcW w:type="dxa" w:w="3216"/>
          </w:tcPr>
          <w:p>
            <w:r>
              <w:t>For versioned prompt registry</w:t>
            </w:r>
          </w:p>
        </w:tc>
      </w:tr>
    </w:tbl>
    <w:p/>
    <w:p>
      <w:pPr>
        <w:pStyle w:val="Heading2"/>
      </w:pPr>
      <w:r>
        <w:t>2.2 Worker Sizing Formula</w:t>
      </w:r>
    </w:p>
    <w:p>
      <w:r>
        <w:rPr>
          <w:sz w:val="22"/>
        </w:rPr>
        <w:t>Gunicorn with threaded workers is the supported mode. The Flask worker owns an asyncio event loop thread (_SystemRunner) for the STCSystem. Request threads submit to the loop and wait on futures. This means concurrency is driven by loop capacity, not thread count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</w:tcPr>
          <w:p>
            <w:r>
              <w:rPr>
                <w:b/>
              </w:rPr>
              <w:t>-w (workers)</w:t>
            </w:r>
          </w:p>
        </w:tc>
        <w:tc>
          <w:tcPr>
            <w:tcW w:type="dxa" w:w="4824"/>
          </w:tcPr>
          <w:p>
            <w:r>
              <w:t>1–2 per vCPU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--threads per worker</w:t>
            </w:r>
          </w:p>
        </w:tc>
        <w:tc>
          <w:tcPr>
            <w:tcW w:type="dxa" w:w="4824"/>
          </w:tcPr>
          <w:p>
            <w:r>
              <w:t>8–16 (bounded by STC_LLM_BULKHEAD)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STC_LLM_BULKHEAD</w:t>
            </w:r>
          </w:p>
        </w:tc>
        <w:tc>
          <w:tcPr>
            <w:tcW w:type="dxa" w:w="4824"/>
          </w:tcPr>
          <w:p>
            <w:r>
              <w:t>64–128 for LLM-heavy workloads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STC_VECTOR_BULKHEAD</w:t>
            </w:r>
          </w:p>
        </w:tc>
        <w:tc>
          <w:tcPr>
            <w:tcW w:type="dxa" w:w="4824"/>
          </w:tcPr>
          <w:p>
            <w:r>
              <w:t>64–128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STC_EMBEDDING_BULKHEAD</w:t>
            </w:r>
          </w:p>
        </w:tc>
        <w:tc>
          <w:tcPr>
            <w:tcW w:type="dxa" w:w="4824"/>
          </w:tcPr>
          <w:p>
            <w:r>
              <w:t>64–128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Memory per worker</w:t>
            </w:r>
          </w:p>
        </w:tc>
        <w:tc>
          <w:tcPr>
            <w:tcW w:type="dxa" w:w="4824"/>
          </w:tcPr>
          <w:p>
            <w:r>
              <w:t>~300–600 MiB base + Presidio; headroom for context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terminationGracePeriodSeconds</w:t>
            </w:r>
          </w:p>
        </w:tc>
        <w:tc>
          <w:tcPr>
            <w:tcW w:type="dxa" w:w="4824"/>
          </w:tcPr>
          <w:p>
            <w:r>
              <w:t>≥ 35 (drain_timeout + 5)</w:t>
            </w:r>
          </w:p>
        </w:tc>
      </w:tr>
    </w:tbl>
    <w:p/>
    <w:p>
      <w:pPr>
        <w:pStyle w:val="Heading1"/>
      </w:pPr>
      <w:r>
        <w:t>3. Scaling Strategy</w:t>
      </w:r>
    </w:p>
    <w:p>
      <w:pPr>
        <w:pStyle w:val="Heading2"/>
      </w:pPr>
      <w:r>
        <w:t>3.1 Horizontal Scaling Dimensions</w:t>
      </w:r>
    </w:p>
    <w:p>
      <w:pPr>
        <w:pStyle w:val="ListBullet"/>
      </w:pPr>
      <w:r>
        <w:t>Stateless: STCSystem instances hold in-memory state (singletons) but do not require sticky sessions — any pod can serve any tenant.</w:t>
      </w:r>
    </w:p>
    <w:p>
      <w:pPr>
        <w:pStyle w:val="ListBullet"/>
      </w:pPr>
      <w:r>
        <w:t>Shared state: audit log is pod-local unless a shared backend (S3 Object Lock, Immudb, Postgres) is configured.</w:t>
      </w:r>
    </w:p>
    <w:p>
      <w:pPr>
        <w:pStyle w:val="ListBullet"/>
      </w:pPr>
      <w:r>
        <w:t>History store: defaults to in-memory (per-pod); swap to SQLite / Postgres for cross-pod optimization.</w:t>
      </w:r>
    </w:p>
    <w:p>
      <w:pPr>
        <w:pStyle w:val="ListBullet"/>
      </w:pPr>
      <w:r>
        <w:t>Rate-limit and budget tracking: pod-local by default; for strict cross-pod enforcement, plug in a Redis-backed tracker conforming to the TenantBudgetTracker / TenantRateLimiter protocols.</w:t>
      </w:r>
    </w:p>
    <w:p>
      <w:pPr>
        <w:pStyle w:val="Heading2"/>
      </w:pPr>
      <w:r>
        <w:t>3.2 HPA / KEDA Signals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Signal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Threshold (example)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216"/>
          </w:tcPr>
          <w:p>
            <w:r>
              <w:t>stc_inflight_requests</w:t>
            </w:r>
          </w:p>
        </w:tc>
        <w:tc>
          <w:tcPr>
            <w:tcW w:type="dxa" w:w="3216"/>
          </w:tcPr>
          <w:p>
            <w:r>
              <w:t>&gt; 75% of STC_LLM_BULKHEAD</w:t>
            </w:r>
          </w:p>
        </w:tc>
        <w:tc>
          <w:tcPr>
            <w:tcW w:type="dxa" w:w="3216"/>
          </w:tcPr>
          <w:p>
            <w:r>
              <w:t>Scale up</w:t>
            </w:r>
          </w:p>
        </w:tc>
      </w:tr>
      <w:tr>
        <w:tc>
          <w:tcPr>
            <w:tcW w:type="dxa" w:w="3216"/>
          </w:tcPr>
          <w:p>
            <w:r>
              <w:t>stc_bulkhead_rejections_total (rate)</w:t>
            </w:r>
          </w:p>
        </w:tc>
        <w:tc>
          <w:tcPr>
            <w:tcW w:type="dxa" w:w="3216"/>
          </w:tcPr>
          <w:p>
            <w:r>
              <w:t>&gt; 0 for 2 min</w:t>
            </w:r>
          </w:p>
        </w:tc>
        <w:tc>
          <w:tcPr>
            <w:tcW w:type="dxa" w:w="3216"/>
          </w:tcPr>
          <w:p>
            <w:r>
              <w:t>Scale up</w:t>
            </w:r>
          </w:p>
        </w:tc>
      </w:tr>
      <w:tr>
        <w:tc>
          <w:tcPr>
            <w:tcW w:type="dxa" w:w="3216"/>
          </w:tcPr>
          <w:p>
            <w:r>
              <w:t>stc_stage_latency_ms{stage="stalwart"} p99</w:t>
            </w:r>
          </w:p>
        </w:tc>
        <w:tc>
          <w:tcPr>
            <w:tcW w:type="dxa" w:w="3216"/>
          </w:tcPr>
          <w:p>
            <w:r>
              <w:t>&gt; 3s for 5 min</w:t>
            </w:r>
          </w:p>
        </w:tc>
        <w:tc>
          <w:tcPr>
            <w:tcW w:type="dxa" w:w="3216"/>
          </w:tcPr>
          <w:p>
            <w:r>
              <w:t>Scale up</w:t>
            </w:r>
          </w:p>
        </w:tc>
      </w:tr>
      <w:tr>
        <w:tc>
          <w:tcPr>
            <w:tcW w:type="dxa" w:w="3216"/>
          </w:tcPr>
          <w:p>
            <w:r>
              <w:t>CPU utilization</w:t>
            </w:r>
          </w:p>
        </w:tc>
        <w:tc>
          <w:tcPr>
            <w:tcW w:type="dxa" w:w="3216"/>
          </w:tcPr>
          <w:p>
            <w:r>
              <w:t>&gt; 70%</w:t>
            </w:r>
          </w:p>
        </w:tc>
        <w:tc>
          <w:tcPr>
            <w:tcW w:type="dxa" w:w="3216"/>
          </w:tcPr>
          <w:p>
            <w:r>
              <w:t>Scale up (secondary)</w:t>
            </w:r>
          </w:p>
        </w:tc>
      </w:tr>
      <w:tr>
        <w:tc>
          <w:tcPr>
            <w:tcW w:type="dxa" w:w="3216"/>
          </w:tcPr>
          <w:p>
            <w:r>
              <w:t>stc_queries_total rate</w:t>
            </w:r>
          </w:p>
        </w:tc>
        <w:tc>
          <w:tcPr>
            <w:tcW w:type="dxa" w:w="3216"/>
          </w:tcPr>
          <w:p>
            <w:r>
              <w:t>&lt; 10% of baseline for 10 min</w:t>
            </w:r>
          </w:p>
        </w:tc>
        <w:tc>
          <w:tcPr>
            <w:tcW w:type="dxa" w:w="3216"/>
          </w:tcPr>
          <w:p>
            <w:r>
              <w:t>Scale down cautiously</w:t>
            </w:r>
          </w:p>
        </w:tc>
      </w:tr>
    </w:tbl>
    <w:p/>
    <w:p>
      <w:pPr>
        <w:pStyle w:val="Heading1"/>
      </w:pPr>
      <w:r>
        <w:t>4. Availability &amp; Resilience</w:t>
      </w:r>
    </w:p>
    <w:p>
      <w:pPr>
        <w:pStyle w:val="Heading2"/>
      </w:pPr>
      <w:r>
        <w:t>4.1 Resilience Primitives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Primitive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Failure it mitigates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Configuration</w:t>
            </w:r>
          </w:p>
        </w:tc>
      </w:tr>
      <w:tr>
        <w:tc>
          <w:tcPr>
            <w:tcW w:type="dxa" w:w="3216"/>
          </w:tcPr>
          <w:p>
            <w:r>
              <w:t>Retry with full-jitter exponential backoff</w:t>
            </w:r>
          </w:p>
        </w:tc>
        <w:tc>
          <w:tcPr>
            <w:tcW w:type="dxa" w:w="3216"/>
          </w:tcPr>
          <w:p>
            <w:r>
              <w:t>Transient upstream (429, 5xx)</w:t>
            </w:r>
          </w:p>
        </w:tc>
        <w:tc>
          <w:tcPr>
            <w:tcW w:type="dxa" w:w="3216"/>
          </w:tcPr>
          <w:p>
            <w:r>
              <w:t>STC_LLM_RETRY_MAX_ATTEMPTS=3</w:t>
            </w:r>
          </w:p>
        </w:tc>
      </w:tr>
      <w:tr>
        <w:tc>
          <w:tcPr>
            <w:tcW w:type="dxa" w:w="3216"/>
          </w:tcPr>
          <w:p>
            <w:r>
              <w:t>Per-downstream circuit breaker</w:t>
            </w:r>
          </w:p>
        </w:tc>
        <w:tc>
          <w:tcPr>
            <w:tcW w:type="dxa" w:w="3216"/>
          </w:tcPr>
          <w:p>
            <w:r>
              <w:t>Sustained upstream outage</w:t>
            </w:r>
          </w:p>
        </w:tc>
        <w:tc>
          <w:tcPr>
            <w:tcW w:type="dxa" w:w="3216"/>
          </w:tcPr>
          <w:p>
            <w:r>
              <w:t>STC_LLM_CIRCUIT_FAIL_MAX=5, STC_LLM_CIRCUIT_RESET_SEC=30</w:t>
            </w:r>
          </w:p>
        </w:tc>
      </w:tr>
      <w:tr>
        <w:tc>
          <w:tcPr>
            <w:tcW w:type="dxa" w:w="3216"/>
          </w:tcPr>
          <w:p>
            <w:r>
              <w:t>Async timeout</w:t>
            </w:r>
          </w:p>
        </w:tc>
        <w:tc>
          <w:tcPr>
            <w:tcW w:type="dxa" w:w="3216"/>
          </w:tcPr>
          <w:p>
            <w:r>
              <w:t>Hung upstream</w:t>
            </w:r>
          </w:p>
        </w:tc>
        <w:tc>
          <w:tcPr>
            <w:tcW w:type="dxa" w:w="3216"/>
          </w:tcPr>
          <w:p>
            <w:r>
              <w:t>STC_LLM_TIMEOUT_SEC=30</w:t>
            </w:r>
          </w:p>
        </w:tc>
      </w:tr>
      <w:tr>
        <w:tc>
          <w:tcPr>
            <w:tcW w:type="dxa" w:w="3216"/>
          </w:tcPr>
          <w:p>
            <w:r>
              <w:t>Bulkhead</w:t>
            </w:r>
          </w:p>
        </w:tc>
        <w:tc>
          <w:tcPr>
            <w:tcW w:type="dxa" w:w="3216"/>
          </w:tcPr>
          <w:p>
            <w:r>
              <w:t>Slow upstream exhausting workers</w:t>
            </w:r>
          </w:p>
        </w:tc>
        <w:tc>
          <w:tcPr>
            <w:tcW w:type="dxa" w:w="3216"/>
          </w:tcPr>
          <w:p>
            <w:r>
              <w:t>STC_LLM_BULKHEAD=64</w:t>
            </w:r>
          </w:p>
        </w:tc>
      </w:tr>
      <w:tr>
        <w:tc>
          <w:tcPr>
            <w:tcW w:type="dxa" w:w="3216"/>
          </w:tcPr>
          <w:p>
            <w:r>
              <w:t>Fallback chain</w:t>
            </w:r>
          </w:p>
        </w:tc>
        <w:tc>
          <w:tcPr>
            <w:tcW w:type="dxa" w:w="3216"/>
          </w:tcPr>
          <w:p>
            <w:r>
              <w:t>Primary model down</w:t>
            </w:r>
          </w:p>
        </w:tc>
        <w:tc>
          <w:tcPr>
            <w:tcW w:type="dxa" w:w="3216"/>
          </w:tcPr>
          <w:p>
            <w:r>
              <w:t>Declared in data_sovereignty.routing_policy[tier]</w:t>
            </w:r>
          </w:p>
        </w:tc>
      </w:tr>
      <w:tr>
        <w:tc>
          <w:tcPr>
            <w:tcW w:type="dxa" w:w="3216"/>
          </w:tcPr>
          <w:p>
            <w:r>
              <w:t>Degradation state machine</w:t>
            </w:r>
          </w:p>
        </w:tc>
        <w:tc>
          <w:tcPr>
            <w:tcW w:type="dxa" w:w="3216"/>
          </w:tcPr>
          <w:p>
            <w:r>
              <w:t>Sustained rail failures</w:t>
            </w:r>
          </w:p>
        </w:tc>
        <w:tc>
          <w:tcPr>
            <w:tcW w:type="dxa" w:w="3216"/>
          </w:tcPr>
          <w:p>
            <w:r>
              <w:t>critic.escalation.circuit_breaker</w:t>
            </w:r>
          </w:p>
        </w:tc>
      </w:tr>
    </w:tbl>
    <w:p/>
    <w:p>
      <w:pPr>
        <w:pStyle w:val="Heading2"/>
      </w:pPr>
      <w:r>
        <w:t>4.2 Graceful Shutdown</w:t>
      </w:r>
    </w:p>
    <w:p>
      <w:r>
        <w:rPr>
          <w:sz w:val="22"/>
        </w:rPr>
        <w:t>SIGTERM triggers runner.shutdown(drain_timeout=30). Sequence: _stopping=True rejects new requests → InflightTracker.wait_idle blocks on pending work → adapters close via aclose() in dependency order → audit log closes last. Kubernetes preStop hook is compatible — ensure terminationGracePeriodSeconds ≥ 35.</w:t>
      </w:r>
    </w:p>
    <w:p>
      <w:pPr>
        <w:pStyle w:val="Heading2"/>
      </w:pPr>
      <w:r>
        <w:t>4.3 Failure Modes &amp; Responses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Failure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Detection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216"/>
          </w:tcPr>
          <w:p>
            <w:r>
              <w:t>LLM provider outage</w:t>
            </w:r>
          </w:p>
        </w:tc>
        <w:tc>
          <w:tcPr>
            <w:tcW w:type="dxa" w:w="3216"/>
          </w:tcPr>
          <w:p>
            <w:r>
              <w:t>stc_circuit_breaker_state{downstream=llm:*} == 2</w:t>
            </w:r>
          </w:p>
        </w:tc>
        <w:tc>
          <w:tcPr>
            <w:tcW w:type="dxa" w:w="3216"/>
          </w:tcPr>
          <w:p>
            <w:r>
              <w:t>Fallback chain selects next model; if all fail, /readyz returns 503</w:t>
            </w:r>
          </w:p>
        </w:tc>
      </w:tr>
      <w:tr>
        <w:tc>
          <w:tcPr>
            <w:tcW w:type="dxa" w:w="3216"/>
          </w:tcPr>
          <w:p>
            <w:r>
              <w:t>Vector store down</w:t>
            </w:r>
          </w:p>
        </w:tc>
        <w:tc>
          <w:tcPr>
            <w:tcW w:type="dxa" w:w="3216"/>
          </w:tcPr>
          <w:p>
            <w:r>
              <w:t>Circuit + keyword-search fallback</w:t>
            </w:r>
          </w:p>
        </w:tc>
        <w:tc>
          <w:tcPr>
            <w:tcW w:type="dxa" w:w="3216"/>
          </w:tcPr>
          <w:p>
            <w:r>
              <w:t>Stalwart retrieval degrades to keyword search</w:t>
            </w:r>
          </w:p>
        </w:tc>
      </w:tr>
      <w:tr>
        <w:tc>
          <w:tcPr>
            <w:tcW w:type="dxa" w:w="3216"/>
          </w:tcPr>
          <w:p>
            <w:r>
              <w:t>Audit disk full</w:t>
            </w:r>
          </w:p>
        </w:tc>
        <w:tc>
          <w:tcPr>
            <w:tcW w:type="dxa" w:w="3216"/>
          </w:tcPr>
          <w:p>
            <w:r>
              <w:t>stc_governance_events_total drops; OSError</w:t>
            </w:r>
          </w:p>
        </w:tc>
        <w:tc>
          <w:tcPr>
            <w:tcW w:type="dxa" w:w="3216"/>
          </w:tcPr>
          <w:p>
            <w:r>
              <w:t>Audit-disk alert; operator intervention</w:t>
            </w:r>
          </w:p>
        </w:tc>
      </w:tr>
      <w:tr>
        <w:tc>
          <w:tcPr>
            <w:tcW w:type="dxa" w:w="3216"/>
          </w:tcPr>
          <w:p>
            <w:r>
              <w:t>Presidio mis-configured</w:t>
            </w:r>
          </w:p>
        </w:tc>
        <w:tc>
          <w:tcPr>
            <w:tcW w:type="dxa" w:w="3216"/>
          </w:tcPr>
          <w:p>
            <w:r>
              <w:t>Startup warmup fails (logged)</w:t>
            </w:r>
          </w:p>
        </w:tc>
        <w:tc>
          <w:tcPr>
            <w:tcW w:type="dxa" w:w="3216"/>
          </w:tcPr>
          <w:p>
            <w:r>
              <w:t>Regex fallback keeps redaction working</w:t>
            </w:r>
          </w:p>
        </w:tc>
      </w:tr>
      <w:tr>
        <w:tc>
          <w:tcPr>
            <w:tcW w:type="dxa" w:w="3216"/>
          </w:tcPr>
          <w:p>
            <w:r>
              <w:t>Spec signature invalid at startup</w:t>
            </w:r>
          </w:p>
        </w:tc>
        <w:tc>
          <w:tcPr>
            <w:tcW w:type="dxa" w:w="3216"/>
          </w:tcPr>
          <w:p>
            <w:r>
              <w:t>STCError</w:t>
            </w:r>
          </w:p>
        </w:tc>
        <w:tc>
          <w:tcPr>
            <w:tcW w:type="dxa" w:w="3216"/>
          </w:tcPr>
          <w:p>
            <w:r>
              <w:t>Pod fails readiness; image re-check</w:t>
            </w:r>
          </w:p>
        </w:tc>
      </w:tr>
    </w:tbl>
    <w:p/>
    <w:p>
      <w:pPr>
        <w:pStyle w:val="Heading1"/>
      </w:pPr>
      <w:r>
        <w:t>5. Performance</w:t>
      </w:r>
    </w:p>
    <w:p>
      <w:pPr>
        <w:pStyle w:val="Heading2"/>
      </w:pPr>
      <w:r>
        <w:t>5.1 Latency Budget Example (p95 target)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Budget (ms)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t>Input rails</w:t>
            </w:r>
          </w:p>
        </w:tc>
        <w:tc>
          <w:tcPr>
            <w:tcW w:type="dxa" w:w="3216"/>
          </w:tcPr>
          <w:p>
            <w:r>
              <w:t>25</w:t>
            </w:r>
          </w:p>
        </w:tc>
        <w:tc>
          <w:tcPr>
            <w:tcW w:type="dxa" w:w="3216"/>
          </w:tcPr>
          <w:p>
            <w:r>
              <w:t>Bulkhead 128; regex-only validators</w:t>
            </w:r>
          </w:p>
        </w:tc>
      </w:tr>
      <w:tr>
        <w:tc>
          <w:tcPr>
            <w:tcW w:type="dxa" w:w="3216"/>
          </w:tcPr>
          <w:p>
            <w:r>
              <w:t>Embedding</w:t>
            </w:r>
          </w:p>
        </w:tc>
        <w:tc>
          <w:tcPr>
            <w:tcW w:type="dxa" w:w="3216"/>
          </w:tcPr>
          <w:p>
            <w:r>
              <w:t>50</w:t>
            </w:r>
          </w:p>
        </w:tc>
        <w:tc>
          <w:tcPr>
            <w:tcW w:type="dxa" w:w="3216"/>
          </w:tcPr>
          <w:p>
            <w:r>
              <w:t>Ollama local; Qdrant search &lt;10ms</w:t>
            </w:r>
          </w:p>
        </w:tc>
      </w:tr>
      <w:tr>
        <w:tc>
          <w:tcPr>
            <w:tcW w:type="dxa" w:w="3216"/>
          </w:tcPr>
          <w:p>
            <w:r>
              <w:t>Vector search</w:t>
            </w:r>
          </w:p>
        </w:tc>
        <w:tc>
          <w:tcPr>
            <w:tcW w:type="dxa" w:w="3216"/>
          </w:tcPr>
          <w:p>
            <w:r>
              <w:t>25</w:t>
            </w:r>
          </w:p>
        </w:tc>
        <w:tc>
          <w:tcPr>
            <w:tcW w:type="dxa" w:w="3216"/>
          </w:tcPr>
          <w:p>
            <w:r>
              <w:t>In-process cache warm</w:t>
            </w:r>
          </w:p>
        </w:tc>
      </w:tr>
      <w:tr>
        <w:tc>
          <w:tcPr>
            <w:tcW w:type="dxa" w:w="3216"/>
          </w:tcPr>
          <w:p>
            <w:r>
              <w:t>LLM call (cloud)</w:t>
            </w:r>
          </w:p>
        </w:tc>
        <w:tc>
          <w:tcPr>
            <w:tcW w:type="dxa" w:w="3216"/>
          </w:tcPr>
          <w:p>
            <w:r>
              <w:t>1500</w:t>
            </w:r>
          </w:p>
        </w:tc>
        <w:tc>
          <w:tcPr>
            <w:tcW w:type="dxa" w:w="3216"/>
          </w:tcPr>
          <w:p>
            <w:r>
              <w:t>Claude-Sonnet-style provider</w:t>
            </w:r>
          </w:p>
        </w:tc>
      </w:tr>
      <w:tr>
        <w:tc>
          <w:tcPr>
            <w:tcW w:type="dxa" w:w="3216"/>
          </w:tcPr>
          <w:p>
            <w:r>
              <w:t>Output rails</w:t>
            </w:r>
          </w:p>
        </w:tc>
        <w:tc>
          <w:tcPr>
            <w:tcW w:type="dxa" w:w="3216"/>
          </w:tcPr>
          <w:p>
            <w:r>
              <w:t>40</w:t>
            </w:r>
          </w:p>
        </w:tc>
        <w:tc>
          <w:tcPr>
            <w:tcW w:type="dxa" w:w="3216"/>
          </w:tcPr>
          <w:p>
            <w:r>
              <w:t>Includes Presidio scan</w:t>
            </w:r>
          </w:p>
        </w:tc>
      </w:tr>
      <w:tr>
        <w:tc>
          <w:tcPr>
            <w:tcW w:type="dxa" w:w="3216"/>
          </w:tcPr>
          <w:p>
            <w:r>
              <w:t>Audit write</w:t>
            </w:r>
          </w:p>
        </w:tc>
        <w:tc>
          <w:tcPr>
            <w:tcW w:type="dxa" w:w="3216"/>
          </w:tcPr>
          <w:p>
            <w:r>
              <w:t>5</w:t>
            </w:r>
          </w:p>
        </w:tc>
        <w:tc>
          <w:tcPr>
            <w:tcW w:type="dxa" w:w="3216"/>
          </w:tcPr>
          <w:p>
            <w:r>
              <w:t>JSONL; 50 for WORM with fsync</w:t>
            </w:r>
          </w:p>
        </w:tc>
      </w:tr>
      <w:tr>
        <w:tc>
          <w:tcPr>
            <w:tcW w:type="dxa" w:w="3216"/>
          </w:tcPr>
          <w:p>
            <w:r>
              <w:t>Budget settle + metrics</w:t>
            </w:r>
          </w:p>
        </w:tc>
        <w:tc>
          <w:tcPr>
            <w:tcW w:type="dxa" w:w="3216"/>
          </w:tcPr>
          <w:p>
            <w:r>
              <w:t>2</w:t>
            </w:r>
          </w:p>
        </w:tc>
        <w:tc>
          <w:tcPr>
            <w:tcW w:type="dxa" w:w="3216"/>
          </w:tcPr>
          <w:p>
            <w:r>
              <w:t>-</w:t>
            </w:r>
          </w:p>
        </w:tc>
      </w:tr>
      <w:tr>
        <w:tc>
          <w:tcPr>
            <w:tcW w:type="dxa" w:w="3216"/>
          </w:tcPr>
          <w:p>
            <w:r>
              <w:t>Total p95 target</w:t>
            </w:r>
          </w:p>
        </w:tc>
        <w:tc>
          <w:tcPr>
            <w:tcW w:type="dxa" w:w="3216"/>
          </w:tcPr>
          <w:p>
            <w:r>
              <w:t>&lt; 2,000</w:t>
            </w:r>
          </w:p>
        </w:tc>
        <w:tc>
          <w:tcPr>
            <w:tcW w:type="dxa" w:w="3216"/>
          </w:tcPr>
          <w:p>
            <w:r>
              <w:t>-</w:t>
            </w:r>
          </w:p>
        </w:tc>
      </w:tr>
    </w:tbl>
    <w:p/>
    <w:p>
      <w:pPr>
        <w:pStyle w:val="Heading2"/>
      </w:pPr>
      <w:r>
        <w:t>5.2 Throughput Expectations</w:t>
      </w:r>
    </w:p>
    <w:p>
      <w:r>
        <w:rPr>
          <w:sz w:val="22"/>
        </w:rPr>
        <w:t>A 2 vCPU / 2 GiB pod with STC_LLM_BULKHEAD=64 and mock LLM sustains ∼500 QPS. With cloud LLM and p95 ≈2s, sustained QPS drops to ∼30 per pod (bottleneck is outbound LLM concurrency). Scale horizontally; Stalwart is stateless.</w:t>
      </w:r>
    </w:p>
    <w:p>
      <w:pPr>
        <w:pStyle w:val="Heading2"/>
      </w:pPr>
      <w:r>
        <w:t>5.3 Cold-Start Mitigation</w:t>
      </w:r>
    </w:p>
    <w:p>
      <w:pPr>
        <w:pStyle w:val="ListBullet"/>
      </w:pPr>
      <w:r>
        <w:t>Presidio warmup at astart() removes the ∼1s spaCy cold start.</w:t>
      </w:r>
    </w:p>
    <w:p>
      <w:pPr>
        <w:pStyle w:val="ListBullet"/>
      </w:pPr>
      <w:r>
        <w:t>Adapter healthcheck at astart() fails the pod before traffic lands.</w:t>
      </w:r>
    </w:p>
    <w:p>
      <w:pPr>
        <w:pStyle w:val="ListBullet"/>
      </w:pPr>
      <w:r>
        <w:t>Lazy imports for cryptography / langgraph keep cold start fast (&lt;2s).</w:t>
      </w:r>
    </w:p>
    <w:p>
      <w:pPr>
        <w:pStyle w:val="Heading1"/>
      </w:pPr>
      <w:r>
        <w:t>6. Multi-Region &amp; Disaster Recovery</w:t>
      </w:r>
    </w:p>
    <w:p>
      <w:pPr>
        <w:pStyle w:val="Heading2"/>
      </w:pPr>
      <w:r>
        <w:t>6.1 Active-Passive (Recommended Default)</w:t>
      </w:r>
    </w:p>
    <w:p>
      <w:r>
        <w:rPr>
          <w:sz w:val="22"/>
        </w:rPr>
        <w:t>Primary region serves all traffic. Audit log is streamed to a cross-region WORM replica (S3 Object Lock with cross-region replication). Standby region stays cold with spec image and keys but no active pods. RPO ≈ 5 minutes (audit lag); RTO ≈ 15 minutes (cold-start + DNS cutover).</w:t>
      </w:r>
    </w:p>
    <w:p>
      <w:pPr>
        <w:pStyle w:val="Heading2"/>
      </w:pPr>
      <w:r>
        <w:t>6.2 Active-Active (Advanced)</w:t>
      </w:r>
    </w:p>
    <w:p>
      <w:r>
        <w:rPr>
          <w:sz w:val="22"/>
        </w:rPr>
        <w:t>Stateless pods can serve traffic in any region. Cross-region shared state (audit, budget, rate-limit) requires a shared backend (distributed cache / database) conforming to the Protocol contracts. Current Tier-2 roadmap item (see STAFF_REVIEW.md).</w:t>
      </w:r>
    </w:p>
    <w:p>
      <w:pPr>
        <w:pStyle w:val="Heading2"/>
      </w:pPr>
      <w:r>
        <w:t>6.3 Key Management for DR</w:t>
      </w:r>
    </w:p>
    <w:p>
      <w:pPr>
        <w:pStyle w:val="ListBullet"/>
      </w:pPr>
      <w:r>
        <w:t>STC_AUDIT_HMAC_KEY must be the same across regions to verify replicated chains.</w:t>
      </w:r>
    </w:p>
    <w:p>
      <w:pPr>
        <w:pStyle w:val="ListBullet"/>
      </w:pPr>
      <w:r>
        <w:t>STC_TOKENIZATION_KEY must be the same for token-store replication.</w:t>
      </w:r>
    </w:p>
    <w:p>
      <w:pPr>
        <w:pStyle w:val="ListBullet"/>
      </w:pPr>
      <w:r>
        <w:t>Spec public key (STC_SPEC_PUBLIC_KEY) must match the region that signed the spec.</w:t>
      </w:r>
    </w:p>
    <w:p>
      <w:pPr>
        <w:pStyle w:val="ListBullet"/>
      </w:pPr>
      <w:r>
        <w:t>Use KMS replication for all three; store versioned copies so old audits remain verifiable.</w:t>
      </w:r>
    </w:p>
    <w:p>
      <w:pPr>
        <w:pStyle w:val="Heading1"/>
      </w:pPr>
      <w:r>
        <w:t>7. Observability Stack</w:t>
      </w:r>
    </w:p>
    <w:p>
      <w:pPr>
        <w:pStyle w:val="Heading2"/>
      </w:pPr>
      <w:r>
        <w:t>7.1 Three Pillars</w:t>
      </w:r>
    </w:p>
    <w:p>
      <w:pPr>
        <w:pStyle w:val="ListBullet"/>
      </w:pPr>
      <w:r>
        <w:t>Metrics: 17 Prometheus metrics, scraped by the standard SRE stack.</w:t>
      </w:r>
    </w:p>
    <w:p>
      <w:pPr>
        <w:pStyle w:val="ListBullet"/>
      </w:pPr>
      <w:r>
        <w:t>Traces: OpenTelemetry via STC_OTLP_ENDPOINT; every query is rooted at a stc.aquery span.</w:t>
      </w:r>
    </w:p>
    <w:p>
      <w:pPr>
        <w:pStyle w:val="ListBullet"/>
      </w:pPr>
      <w:r>
        <w:t>Logs: structlog JSON with automatic trace-context binding; ship to Loki / Elastic / Splunk.</w:t>
      </w:r>
    </w:p>
    <w:p>
      <w:pPr>
        <w:pStyle w:val="Heading2"/>
      </w:pPr>
      <w:r>
        <w:t>7.2 Audit as a Fourth Pillar</w:t>
      </w:r>
    </w:p>
    <w:p>
      <w:r>
        <w:rPr>
          <w:sz w:val="22"/>
        </w:rPr>
        <w:t>Audit is NOT a log. It is the regulator-grade record of what happened. HMAC-chained, tamper-evident, per-event-class retention. Ships separately from structured logs so a SIEM retention setting cannot accidentally delete compliance evidence.</w:t>
      </w:r>
    </w:p>
    <w:p>
      <w:pPr>
        <w:pStyle w:val="Heading1"/>
      </w:pPr>
      <w:r>
        <w:t>8. Change Management</w:t>
      </w:r>
    </w:p>
    <w:p>
      <w:pPr>
        <w:pStyle w:val="ListBullet"/>
      </w:pPr>
      <w:r>
        <w:t>Code change: standard PR flow; six audit test suites must pass.</w:t>
      </w:r>
    </w:p>
    <w:p>
      <w:pPr>
        <w:pStyle w:val="ListBullet"/>
      </w:pPr>
      <w:r>
        <w:t>Spec change: resign spec with ed25519; bump version:. Audit records a system_start event with spec_version for every deploy.</w:t>
      </w:r>
    </w:p>
    <w:p>
      <w:pPr>
        <w:pStyle w:val="ListBullet"/>
      </w:pPr>
      <w:r>
        <w:t>Prompt rotation: Trainer.publish_prompt emits prompt_registered and prompt_activated audit events. No redeploy required.</w:t>
      </w:r>
    </w:p>
    <w:p>
      <w:pPr>
        <w:pStyle w:val="ListBullet"/>
      </w:pPr>
      <w:r>
        <w:t>Routing change: Trainer.apply_routing_optimization emits routing_updated events. Limited to models declared in spec.</w:t>
      </w:r>
    </w:p>
    <w:p>
      <w:pPr>
        <w:pStyle w:val="ListBullet"/>
      </w:pPr>
      <w:r>
        <w:t>Secret rotation: rotate HMAC / tokenization keys quarterly. Old records remain verifiable via key_id.</w:t>
      </w:r>
    </w:p>
    <w:p>
      <w:pPr>
        <w:pStyle w:val="ListBullet"/>
      </w:pPr>
      <w:r>
        <w:t>Emergency rollback: image-level. Pod readiness refuses to start unhealthy pods.</w:t>
      </w:r>
    </w:p>
    <w:p>
      <w:pPr>
        <w:pStyle w:val="Heading1"/>
      </w:pPr>
      <w:r>
        <w:t>9. Capacity &amp; Cost Model</w:t>
      </w:r>
    </w:p>
    <w:p>
      <w:pPr>
        <w:pStyle w:val="Heading2"/>
      </w:pPr>
      <w:r>
        <w:t>9.1 Cost Drivers (per 1M queries)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Unit cost (rough)</w:t>
            </w:r>
          </w:p>
        </w:tc>
        <w:tc>
          <w:tcPr>
            <w:tcW w:type="dxa" w:w="3216"/>
            <w:shd w:val="clear" w:color="auto" w:fill="E0E7FF"/>
          </w:tcPr>
          <w:p>
            <w:r>
              <w:rPr>
                <w:b/>
              </w:rPr>
              <w:t>1M queries total</w:t>
            </w:r>
          </w:p>
        </w:tc>
      </w:tr>
      <w:tr>
        <w:tc>
          <w:tcPr>
            <w:tcW w:type="dxa" w:w="3216"/>
          </w:tcPr>
          <w:p>
            <w:r>
              <w:t>LLM tokens (cloud)</w:t>
            </w:r>
          </w:p>
        </w:tc>
        <w:tc>
          <w:tcPr>
            <w:tcW w:type="dxa" w:w="3216"/>
          </w:tcPr>
          <w:p>
            <w:r>
              <w:t>$0.003 / 1K tokens</w:t>
            </w:r>
          </w:p>
        </w:tc>
        <w:tc>
          <w:tcPr>
            <w:tcW w:type="dxa" w:w="3216"/>
          </w:tcPr>
          <w:p>
            <w:r>
              <w:t>$2,000 @ 700 tokens avg</w:t>
            </w:r>
          </w:p>
        </w:tc>
      </w:tr>
      <w:tr>
        <w:tc>
          <w:tcPr>
            <w:tcW w:type="dxa" w:w="3216"/>
          </w:tcPr>
          <w:p>
            <w:r>
              <w:t>Embeddings (Ollama-local)</w:t>
            </w:r>
          </w:p>
        </w:tc>
        <w:tc>
          <w:tcPr>
            <w:tcW w:type="dxa" w:w="3216"/>
          </w:tcPr>
          <w:p>
            <w:r>
              <w:t>CPU-bound</w:t>
            </w:r>
          </w:p>
        </w:tc>
        <w:tc>
          <w:tcPr>
            <w:tcW w:type="dxa" w:w="3216"/>
          </w:tcPr>
          <w:p>
            <w:r>
              <w:t>Negligible</w:t>
            </w:r>
          </w:p>
        </w:tc>
      </w:tr>
      <w:tr>
        <w:tc>
          <w:tcPr>
            <w:tcW w:type="dxa" w:w="3216"/>
          </w:tcPr>
          <w:p>
            <w:r>
              <w:t>Qdrant storage</w:t>
            </w:r>
          </w:p>
        </w:tc>
        <w:tc>
          <w:tcPr>
            <w:tcW w:type="dxa" w:w="3216"/>
          </w:tcPr>
          <w:p>
            <w:r>
              <w:t>~$0.10 / GB-month</w:t>
            </w:r>
          </w:p>
        </w:tc>
        <w:tc>
          <w:tcPr>
            <w:tcW w:type="dxa" w:w="3216"/>
          </w:tcPr>
          <w:p>
            <w:r>
              <w:t>Depends on document corpus</w:t>
            </w:r>
          </w:p>
        </w:tc>
      </w:tr>
      <w:tr>
        <w:tc>
          <w:tcPr>
            <w:tcW w:type="dxa" w:w="3216"/>
          </w:tcPr>
          <w:p>
            <w:r>
              <w:t>Compute</w:t>
            </w:r>
          </w:p>
        </w:tc>
        <w:tc>
          <w:tcPr>
            <w:tcW w:type="dxa" w:w="3216"/>
          </w:tcPr>
          <w:p>
            <w:r>
              <w:t>Varies</w:t>
            </w:r>
          </w:p>
        </w:tc>
        <w:tc>
          <w:tcPr>
            <w:tcW w:type="dxa" w:w="3216"/>
          </w:tcPr>
          <w:p>
            <w:r>
              <w:t>~$500 for 30 QPS steady</w:t>
            </w:r>
          </w:p>
        </w:tc>
      </w:tr>
      <w:tr>
        <w:tc>
          <w:tcPr>
            <w:tcW w:type="dxa" w:w="3216"/>
          </w:tcPr>
          <w:p>
            <w:r>
              <w:t>Audit storage</w:t>
            </w:r>
          </w:p>
        </w:tc>
        <w:tc>
          <w:tcPr>
            <w:tcW w:type="dxa" w:w="3216"/>
          </w:tcPr>
          <w:p>
            <w:r>
              <w:t>~$0.02 / GB</w:t>
            </w:r>
          </w:p>
        </w:tc>
        <w:tc>
          <w:tcPr>
            <w:tcW w:type="dxa" w:w="3216"/>
          </w:tcPr>
          <w:p>
            <w:r>
              <w:t>&lt;$50 for 1M queries</w:t>
            </w:r>
          </w:p>
        </w:tc>
      </w:tr>
      <w:tr>
        <w:tc>
          <w:tcPr>
            <w:tcW w:type="dxa" w:w="3216"/>
          </w:tcPr>
          <w:p>
            <w:r>
              <w:t>Tracing + metrics</w:t>
            </w:r>
          </w:p>
        </w:tc>
        <w:tc>
          <w:tcPr>
            <w:tcW w:type="dxa" w:w="3216"/>
          </w:tcPr>
          <w:p>
            <w:r>
              <w:t>Varies</w:t>
            </w:r>
          </w:p>
        </w:tc>
        <w:tc>
          <w:tcPr>
            <w:tcW w:type="dxa" w:w="3216"/>
          </w:tcPr>
          <w:p>
            <w:r>
              <w:t>Typically 5-10% of compute</w:t>
            </w:r>
          </w:p>
        </w:tc>
      </w:tr>
    </w:tbl>
    <w:p/>
    <w:p>
      <w:pPr>
        <w:pStyle w:val="Heading2"/>
      </w:pPr>
      <w:r>
        <w:t>9.2 Per-Tenant Cost Caps</w:t>
      </w:r>
    </w:p>
    <w:p>
      <w:pPr>
        <w:pStyle w:val="ListBullet"/>
      </w:pPr>
      <w:r>
        <w:t>cost_thresholds.max_per_task_usd — per-task reservation ceiling.</w:t>
      </w:r>
    </w:p>
    <w:p>
      <w:pPr>
        <w:pStyle w:val="ListBullet"/>
      </w:pPr>
      <w:r>
        <w:t>cost_thresholds.daily_budget_usd — rolling 24h cap.</w:t>
      </w:r>
    </w:p>
    <w:p>
      <w:pPr>
        <w:pStyle w:val="ListBullet"/>
      </w:pPr>
      <w:r>
        <w:t>cost_thresholds.monthly_budget_usd — rolling 30d cap.</w:t>
      </w:r>
    </w:p>
    <w:p>
      <w:pPr>
        <w:pStyle w:val="ListBullet"/>
      </w:pPr>
      <w:r>
        <w:t>maintenance_triggers.cost_above_per_task_usd — triggers degraded mode.</w:t>
      </w:r>
    </w:p>
    <w:p>
      <w:pPr>
        <w:pStyle w:val="ListBullet"/>
      </w:pPr>
      <w:r>
        <w:t>Exceeded budgets raise STCError(reason="tenant_budget_exceeded") and emit an audit record + Prometheus rejection metric.</w:t>
      </w:r>
    </w:p>
    <w:p>
      <w:pPr>
        <w:pStyle w:val="Heading1"/>
      </w:pPr>
      <w:r>
        <w:t>10. Operational Checklists</w:t>
      </w:r>
    </w:p>
    <w:p>
      <w:pPr>
        <w:pStyle w:val="Heading2"/>
      </w:pPr>
      <w:r>
        <w:t>10.1 Pre-Deploy</w:t>
      </w:r>
    </w:p>
    <w:p>
      <w:pPr>
        <w:pStyle w:val="ListNumber"/>
      </w:pPr>
      <w:r>
        <w:t>All six test suites green; coverage ≥ 70%.</w:t>
      </w:r>
    </w:p>
    <w:p>
      <w:pPr>
        <w:pStyle w:val="ListNumber"/>
      </w:pPr>
      <w:r>
        <w:t>pip-audit clean; SBOM generated.</w:t>
      </w:r>
    </w:p>
    <w:p>
      <w:pPr>
        <w:pStyle w:val="ListNumber"/>
      </w:pPr>
      <w:r>
        <w:t>Spec signed; spec.yaml.sig in image.</w:t>
      </w:r>
    </w:p>
    <w:p>
      <w:pPr>
        <w:pStyle w:val="ListNumber"/>
      </w:pPr>
      <w:r>
        <w:t>All required env vars declared (STC_AUDIT_HMAC_KEY, STC_SPEC_PUBLIC_KEY, STC_TOKENIZATION_KEY, STC_TOKEN_STORE_KEY).</w:t>
      </w:r>
    </w:p>
    <w:p>
      <w:pPr>
        <w:pStyle w:val="ListNumber"/>
      </w:pPr>
      <w:r>
        <w:t>STC_ENV=prod on production; STC_ENV=staging on staging.</w:t>
      </w:r>
    </w:p>
    <w:p>
      <w:pPr>
        <w:pStyle w:val="ListNumber"/>
      </w:pPr>
      <w:r>
        <w:t>terminationGracePeriodSeconds ≥ 35 on the Deployment.</w:t>
      </w:r>
    </w:p>
    <w:p>
      <w:pPr>
        <w:pStyle w:val="ListNumber"/>
      </w:pPr>
      <w:r>
        <w:t>PodDisruptionBudget prevents simultaneous drain of too many pods.</w:t>
      </w:r>
    </w:p>
    <w:p>
      <w:pPr>
        <w:pStyle w:val="ListNumber"/>
      </w:pPr>
      <w:r>
        <w:t>Prometheus alert rules updated; corresponding RUNBOOK.md entries exist.</w:t>
      </w:r>
    </w:p>
    <w:p>
      <w:pPr>
        <w:pStyle w:val="Heading2"/>
      </w:pPr>
      <w:r>
        <w:t>10.2 Post-Deploy Verification</w:t>
      </w:r>
    </w:p>
    <w:p>
      <w:pPr>
        <w:pStyle w:val="ListNumber"/>
      </w:pPr>
      <w:r>
        <w:t>curl /readyz returns 200; every adapter reports ok.</w:t>
      </w:r>
    </w:p>
    <w:p>
      <w:pPr>
        <w:pStyle w:val="ListNumber"/>
      </w:pPr>
      <w:r>
        <w:t>curl /metrics returns Prometheus scrape.</w:t>
      </w:r>
    </w:p>
    <w:p>
      <w:pPr>
        <w:pStyle w:val="ListNumber"/>
      </w:pPr>
      <w:r>
        <w:t>stc-governance verify-chain on a live audit directory returns ok.</w:t>
      </w:r>
    </w:p>
    <w:p>
      <w:pPr>
        <w:pStyle w:val="ListNumber"/>
      </w:pPr>
      <w:r>
        <w:t>Synthetic probe: run adversarial/runner.py against the new deployment; critical-severity pass rate 100%.</w:t>
      </w:r>
    </w:p>
    <w:p>
      <w:pPr>
        <w:pStyle w:val="ListNumber"/>
      </w:pPr>
      <w:r>
        <w:t>Smoke test with a known tenant_id; verify audit record created and retrievable via DSAR.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