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366F1"/>
          <w:sz w:val="22"/>
        </w:rPr>
        <w:t>STC FRAMEWORK</w:t>
      </w:r>
    </w:p>
    <w:p>
      <w:pPr>
        <w:jc w:val="center"/>
      </w:pPr>
      <w:r>
        <w:rPr>
          <w:b/>
          <w:sz w:val="52"/>
        </w:rPr>
        <w:t>Product Requirements Document</w:t>
      </w:r>
    </w:p>
    <w:p>
      <w:pPr>
        <w:jc w:val="center"/>
      </w:pPr>
      <w:r>
        <w:rPr>
          <w:i/>
          <w:color w:val="6B7280"/>
          <w:sz w:val="26"/>
        </w:rPr>
        <w:t>STC Framework</w:t>
      </w:r>
    </w:p>
    <w:p>
      <w:pPr>
        <w:jc w:val="center"/>
      </w:pPr>
      <w:r>
        <w:rPr>
          <w:color w:val="9CA3AF"/>
          <w:sz w:val="20"/>
        </w:rPr>
        <w:t>Reverse-engineered v1.0 — what the product is and why it exists</w:t>
      </w:r>
    </w:p>
    <w:p/>
    <w:p>
      <w:pPr>
        <w:jc w:val="center"/>
      </w:pPr>
      <w:r>
        <w:rPr>
          <w:b/>
          <w:color w:val="DC2626"/>
          <w:sz w:val="20"/>
        </w:rPr>
        <w:t>CLASSIFICATION: INTERNAL</w:t>
      </w:r>
    </w:p>
    <w:p>
      <w:pPr>
        <w:jc w:val="center"/>
      </w:pPr>
      <w:r>
        <w:rPr>
          <w:color w:val="4B5563"/>
          <w:sz w:val="20"/>
        </w:rPr>
        <w:t>Document ID: STC-PRD-1.0</w:t>
      </w:r>
    </w:p>
    <w:p>
      <w:pPr>
        <w:jc w:val="center"/>
      </w:pPr>
      <w:r>
        <w:rPr>
          <w:color w:val="4B5563"/>
          <w:sz w:val="20"/>
        </w:rPr>
        <w:t>Author: Nitesh Ambastha</w:t>
      </w:r>
    </w:p>
    <w:p>
      <w:pPr>
        <w:jc w:val="center"/>
      </w:pPr>
      <w:r>
        <w:rPr>
          <w:color w:val="4B5563"/>
          <w:sz w:val="20"/>
        </w:rPr>
        <w:t>Version 1.0 —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2"/>
        </w:rPr>
        <w:t>1. Document Control</w:t>
      </w:r>
    </w:p>
    <w:p>
      <w:r>
        <w:rPr>
          <w:sz w:val="22"/>
        </w:rPr>
        <w:t>2. Problem Statement</w:t>
      </w:r>
    </w:p>
    <w:p>
      <w:r>
        <w:rPr>
          <w:sz w:val="22"/>
        </w:rPr>
        <w:t>3. Goals &amp; Non-Goals</w:t>
      </w:r>
    </w:p>
    <w:p>
      <w:r>
        <w:rPr>
          <w:sz w:val="22"/>
        </w:rPr>
        <w:t>4. Personas &amp; Use Cases</w:t>
      </w:r>
    </w:p>
    <w:p>
      <w:r>
        <w:rPr>
          <w:sz w:val="22"/>
        </w:rPr>
        <w:t>5. Functional Requirements</w:t>
      </w:r>
    </w:p>
    <w:p>
      <w:r>
        <w:rPr>
          <w:sz w:val="22"/>
        </w:rPr>
        <w:t>6. Non-Functional Requirements</w:t>
      </w:r>
    </w:p>
    <w:p>
      <w:r>
        <w:rPr>
          <w:sz w:val="22"/>
        </w:rPr>
        <w:t>7. Compliance Requirements</w:t>
      </w:r>
    </w:p>
    <w:p>
      <w:r>
        <w:rPr>
          <w:sz w:val="22"/>
        </w:rPr>
        <w:t>8. Release Criteria</w:t>
      </w:r>
    </w:p>
    <w:p>
      <w:r>
        <w:rPr>
          <w:sz w:val="22"/>
        </w:rPr>
        <w:t>9. Out-of-Scope &amp; Roadmap</w:t>
      </w:r>
    </w:p>
    <w:p>
      <w:r>
        <w:rPr>
          <w:sz w:val="22"/>
        </w:rPr>
        <w:t>10. Success Metrics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824"/>
          </w:tcPr>
          <w:p>
            <w:r>
              <w:t>STC Framework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824"/>
          </w:tcPr>
          <w:p>
            <w:r>
              <w:t>Product Requirements Document (PRD)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824"/>
          </w:tcPr>
          <w:p>
            <w:r>
              <w:t>STC-PRD-1.0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24"/>
          </w:tcPr>
          <w:p>
            <w:r>
              <w:t>1.0 — April 2026 (reverse-engineered)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824"/>
          </w:tcPr>
          <w:p>
            <w:r>
              <w:t>Approved for implementation (retroactive)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824"/>
          </w:tcPr>
          <w:p>
            <w:r>
              <w:t>Nitesh Ambastha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Reviewers</w:t>
            </w:r>
          </w:p>
        </w:tc>
        <w:tc>
          <w:tcPr>
            <w:tcW w:type="dxa" w:w="4824"/>
          </w:tcPr>
          <w:p>
            <w:r>
              <w:t>CISO, CDO, Head of Platform, Compliance, Legal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Target release</w:t>
            </w:r>
          </w:p>
        </w:tc>
        <w:tc>
          <w:tcPr>
            <w:tcW w:type="dxa" w:w="4824"/>
          </w:tcPr>
          <w:p>
            <w:r>
              <w:t>v0.2.0 (shipped)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BEAFE"/>
            <w:vAlign w:val="center"/>
          </w:tcPr>
          <w:p>
            <w:r>
              <w:rPr>
                <w:b/>
                <w:color w:val="1E3A8A"/>
                <w:sz w:val="20"/>
              </w:rPr>
              <w:t>About this document</w:t>
            </w:r>
          </w:p>
          <w:p>
            <w:r>
              <w:rPr>
                <w:color w:val="1F2937"/>
                <w:sz w:val="20"/>
              </w:rPr>
              <w:t>This PRD was reverse-engineered from the v0.2.0 codebase and the six audit-suite regressions (test_security, test_privacy, test_observability, test_enterprise, test_staff_review, test_staff_review_round2). Every requirement listed is backed by a passing test. Treat this as the canonical product spec going forward; new features extend this document.</w:t>
            </w:r>
          </w:p>
        </w:tc>
      </w:tr>
    </w:tbl>
    <w:p/>
    <w:p>
      <w:pPr>
        <w:pStyle w:val="Heading1"/>
      </w:pPr>
      <w:r>
        <w:t>2. Problem Statement</w:t>
      </w:r>
    </w:p>
    <w:p>
      <w:pPr>
        <w:pStyle w:val="Heading2"/>
      </w:pPr>
      <w:r>
        <w:t>2.1 The Market Gap</w:t>
      </w:r>
    </w:p>
    <w:p>
      <w:r>
        <w:rPr>
          <w:sz w:val="22"/>
        </w:rPr>
        <w:t>Enterprise AI agent adoption is bottlenecked by governance, not capability. Frameworks optimise for "one agent that does everything"; regulated environments require separation of duties, tamper-evident audit, provable data sovereignty, and granular tenant controls. Existing frameworks bolt these on as middleware, leaving compliance teams to audit half-built controls under deadline pressure.</w:t>
      </w:r>
    </w:p>
    <w:p>
      <w:pPr>
        <w:pStyle w:val="Heading2"/>
      </w:pPr>
      <w:r>
        <w:t>2.2 User Pain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User type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Pain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How STC addresses it</w:t>
            </w:r>
          </w:p>
        </w:tc>
      </w:tr>
      <w:tr>
        <w:tc>
          <w:tcPr>
            <w:tcW w:type="dxa" w:w="3216"/>
          </w:tcPr>
          <w:p>
            <w:r>
              <w:t>Platform engineer</w:t>
            </w:r>
          </w:p>
        </w:tc>
        <w:tc>
          <w:tcPr>
            <w:tcW w:type="dxa" w:w="3216"/>
          </w:tcPr>
          <w:p>
            <w:r>
              <w:t>Agents that work in dev fail in prod under cost / latency / safety regressions</w:t>
            </w:r>
          </w:p>
        </w:tc>
        <w:tc>
          <w:tcPr>
            <w:tcW w:type="dxa" w:w="3216"/>
          </w:tcPr>
          <w:p>
            <w:r>
              <w:t>Observability by default; budget + rate limit + circuit breaker</w:t>
            </w:r>
          </w:p>
        </w:tc>
      </w:tr>
      <w:tr>
        <w:tc>
          <w:tcPr>
            <w:tcW w:type="dxa" w:w="3216"/>
          </w:tcPr>
          <w:p>
            <w:r>
              <w:t>Compliance officer</w:t>
            </w:r>
          </w:p>
        </w:tc>
        <w:tc>
          <w:tcPr>
            <w:tcW w:type="dxa" w:w="3216"/>
          </w:tcPr>
          <w:p>
            <w:r>
              <w:t>Cannot map code to regulation line-by-line</w:t>
            </w:r>
          </w:p>
        </w:tc>
        <w:tc>
          <w:tcPr>
            <w:tcW w:type="dxa" w:w="3216"/>
          </w:tcPr>
          <w:p>
            <w:r>
              <w:t>Declarative spec + 26-event audit catalogue + regulatory crosswalk</w:t>
            </w:r>
          </w:p>
        </w:tc>
      </w:tr>
      <w:tr>
        <w:tc>
          <w:tcPr>
            <w:tcW w:type="dxa" w:w="3216"/>
          </w:tcPr>
          <w:p>
            <w:r>
              <w:t>Security lead</w:t>
            </w:r>
          </w:p>
        </w:tc>
        <w:tc>
          <w:tcPr>
            <w:tcW w:type="dxa" w:w="3216"/>
          </w:tcPr>
          <w:p>
            <w:r>
              <w:t>Audit log is a text file that anyone can edit</w:t>
            </w:r>
          </w:p>
        </w:tc>
        <w:tc>
          <w:tcPr>
            <w:tcW w:type="dxa" w:w="3216"/>
          </w:tcPr>
          <w:p>
            <w:r>
              <w:t>HMAC-chained tamper-evident log + WORM pairing + signed spec</w:t>
            </w:r>
          </w:p>
        </w:tc>
      </w:tr>
      <w:tr>
        <w:tc>
          <w:tcPr>
            <w:tcW w:type="dxa" w:w="3216"/>
          </w:tcPr>
          <w:p>
            <w:r>
              <w:t>Data protection officer</w:t>
            </w:r>
          </w:p>
        </w:tc>
        <w:tc>
          <w:tcPr>
            <w:tcW w:type="dxa" w:w="3216"/>
          </w:tcPr>
          <w:p>
            <w:r>
              <w:t>GDPR Art. 17 erasure is a one-off script every time</w:t>
            </w:r>
          </w:p>
        </w:tc>
        <w:tc>
          <w:tcPr>
            <w:tcW w:type="dxa" w:w="3216"/>
          </w:tcPr>
          <w:p>
            <w:r>
              <w:t>governance.erase_tenant walks every store; DSAR export; stc-governance CLI</w:t>
            </w:r>
          </w:p>
        </w:tc>
      </w:tr>
      <w:tr>
        <w:tc>
          <w:tcPr>
            <w:tcW w:type="dxa" w:w="3216"/>
          </w:tcPr>
          <w:p>
            <w:r>
              <w:t>SRE</w:t>
            </w:r>
          </w:p>
        </w:tc>
        <w:tc>
          <w:tcPr>
            <w:tcW w:type="dxa" w:w="3216"/>
          </w:tcPr>
          <w:p>
            <w:r>
              <w:t>Pods silently serve traffic into dead dependencies</w:t>
            </w:r>
          </w:p>
        </w:tc>
        <w:tc>
          <w:tcPr>
            <w:tcW w:type="dxa" w:w="3216"/>
          </w:tcPr>
          <w:p>
            <w:r>
              <w:t>Deep /readyz with per-adapter probes; fail-fast startup</w:t>
            </w:r>
          </w:p>
        </w:tc>
      </w:tr>
      <w:tr>
        <w:tc>
          <w:tcPr>
            <w:tcW w:type="dxa" w:w="3216"/>
          </w:tcPr>
          <w:p>
            <w:r>
              <w:t>Product manager</w:t>
            </w:r>
          </w:p>
        </w:tc>
        <w:tc>
          <w:tcPr>
            <w:tcW w:type="dxa" w:w="3216"/>
          </w:tcPr>
          <w:p>
            <w:r>
              <w:t>Cannot trust their own agent's numbers</w:t>
            </w:r>
          </w:p>
        </w:tc>
        <w:tc>
          <w:tcPr>
            <w:tcW w:type="dxa" w:w="3216"/>
          </w:tcPr>
          <w:p>
            <w:r>
              <w:t>Numerical accuracy validator + citation required rail</w:t>
            </w:r>
          </w:p>
        </w:tc>
      </w:tr>
    </w:tbl>
    <w:p/>
    <w:p>
      <w:pPr>
        <w:pStyle w:val="Heading2"/>
      </w:pPr>
      <w:r>
        <w:t>2.3 Why Now</w:t>
      </w:r>
    </w:p>
    <w:p>
      <w:pPr>
        <w:pStyle w:val="ListBullet"/>
      </w:pPr>
      <w:r>
        <w:t>EU AI Act enters enforcement phase 2026–2027. Regulators expect controllable, auditable AI.</w:t>
      </w:r>
    </w:p>
    <w:p>
      <w:pPr>
        <w:pStyle w:val="ListBullet"/>
      </w:pPr>
      <w:r>
        <w:t>SEC is testing AI-agent deployments in broker-dealer contexts (17a-4 applies).</w:t>
      </w:r>
    </w:p>
    <w:p>
      <w:pPr>
        <w:pStyle w:val="ListBullet"/>
      </w:pPr>
      <w:r>
        <w:t>GDPR Art. 17 enforcement precedents expanding to AI-generated content.</w:t>
      </w:r>
    </w:p>
    <w:p>
      <w:pPr>
        <w:pStyle w:val="ListBullet"/>
      </w:pPr>
      <w:r>
        <w:t>Cost-DDoS against GPT/Claude-class APIs is an observed attack pattern.</w:t>
      </w:r>
    </w:p>
    <w:p>
      <w:pPr>
        <w:pStyle w:val="Heading1"/>
      </w:pPr>
      <w:r>
        <w:t>3. Goals &amp; Non-Goals</w:t>
      </w:r>
    </w:p>
    <w:p>
      <w:pPr>
        <w:pStyle w:val="Heading2"/>
      </w:pPr>
      <w:r>
        <w:t>3.1 Goals</w:t>
      </w:r>
    </w:p>
    <w:p>
      <w:pPr>
        <w:pStyle w:val="ListBullet"/>
      </w:pPr>
      <w:r>
        <w:t>G1 — Ship an AI-agent framework that passes regulated audit without wrappers.</w:t>
      </w:r>
    </w:p>
    <w:p>
      <w:pPr>
        <w:pStyle w:val="ListBullet"/>
      </w:pPr>
      <w:r>
        <w:t>G2 — Separation of duties enforced by architecture, not by convention.</w:t>
      </w:r>
    </w:p>
    <w:p>
      <w:pPr>
        <w:pStyle w:val="ListBullet"/>
      </w:pPr>
      <w:r>
        <w:t>G3 — Data sovereignty provable at three layers (spec, routing, dispatch).</w:t>
      </w:r>
    </w:p>
    <w:p>
      <w:pPr>
        <w:pStyle w:val="ListBullet"/>
      </w:pPr>
      <w:r>
        <w:t>G4 — Audit log that survives adversarial write access.</w:t>
      </w:r>
    </w:p>
    <w:p>
      <w:pPr>
        <w:pStyle w:val="ListBullet"/>
      </w:pPr>
      <w:r>
        <w:t>G5 — GDPR / CCPA / HIPAA / FINRA / SEC 17a-4 primitives built in.</w:t>
      </w:r>
    </w:p>
    <w:p>
      <w:pPr>
        <w:pStyle w:val="ListBullet"/>
      </w:pPr>
      <w:r>
        <w:t>G6 — Zero-install defaults so a developer can go from pip install to working demo in under 2 minutes.</w:t>
      </w:r>
    </w:p>
    <w:p>
      <w:pPr>
        <w:pStyle w:val="ListBullet"/>
      </w:pPr>
      <w:r>
        <w:t>G7 — Optional adapter layer so customers bring their own LLM / vector store / audit sink without forking.</w:t>
      </w:r>
    </w:p>
    <w:p>
      <w:pPr>
        <w:pStyle w:val="Heading2"/>
      </w:pPr>
      <w:r>
        <w:t>3.2 Non-Goals</w:t>
      </w:r>
    </w:p>
    <w:p>
      <w:pPr>
        <w:pStyle w:val="ListBullet"/>
      </w:pPr>
      <w:r>
        <w:t>NG1 — Ship a model. STC is infra; LLMs are adapters.</w:t>
      </w:r>
    </w:p>
    <w:p>
      <w:pPr>
        <w:pStyle w:val="ListBullet"/>
      </w:pPr>
      <w:r>
        <w:t>NG2 — Replace Langfuse / Arize / Kong. STC integrates with these; it is not a competitor.</w:t>
      </w:r>
    </w:p>
    <w:p>
      <w:pPr>
        <w:pStyle w:val="ListBullet"/>
      </w:pPr>
      <w:r>
        <w:t>NG3 — Multi-language SDK (v1). Python-only for v0.x; evaluate JS / Java later.</w:t>
      </w:r>
    </w:p>
    <w:p>
      <w:pPr>
        <w:pStyle w:val="ListBullet"/>
      </w:pPr>
      <w:r>
        <w:t>NG4 — Self-contained RLHF training. Agent Lightning optional; STC supplies the traces.</w:t>
      </w:r>
    </w:p>
    <w:p>
      <w:pPr>
        <w:pStyle w:val="ListBullet"/>
      </w:pPr>
      <w:r>
        <w:t>NG5 — End-user-facing UI. STC is a library + a reference Flask service; chat UIs are out of scope.</w:t>
      </w:r>
    </w:p>
    <w:p>
      <w:pPr>
        <w:pStyle w:val="Heading1"/>
      </w:pPr>
      <w:r>
        <w:t>4. Personas &amp; Use Cases</w:t>
      </w:r>
    </w:p>
    <w:p>
      <w:pPr>
        <w:pStyle w:val="Heading2"/>
      </w:pPr>
      <w:r>
        <w:t>4.1 Primary Personas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Primary success metric</w:t>
            </w:r>
          </w:p>
        </w:tc>
      </w:tr>
      <w:tr>
        <w:tc>
          <w:tcPr>
            <w:tcW w:type="dxa" w:w="3216"/>
          </w:tcPr>
          <w:p>
            <w:r>
              <w:t>Platform Engineer</w:t>
            </w:r>
          </w:p>
        </w:tc>
        <w:tc>
          <w:tcPr>
            <w:tcW w:type="dxa" w:w="3216"/>
          </w:tcPr>
          <w:p>
            <w:r>
              <w:t>Integrates STC into their product</w:t>
            </w:r>
          </w:p>
        </w:tc>
        <w:tc>
          <w:tcPr>
            <w:tcW w:type="dxa" w:w="3216"/>
          </w:tcPr>
          <w:p>
            <w:r>
              <w:t>Time-to-first-query &lt; 2 min; p95 overhead &lt; 50ms</w:t>
            </w:r>
          </w:p>
        </w:tc>
      </w:tr>
      <w:tr>
        <w:tc>
          <w:tcPr>
            <w:tcW w:type="dxa" w:w="3216"/>
          </w:tcPr>
          <w:p>
            <w:r>
              <w:t>Compliance Officer</w:t>
            </w:r>
          </w:p>
        </w:tc>
        <w:tc>
          <w:tcPr>
            <w:tcW w:type="dxa" w:w="3216"/>
          </w:tcPr>
          <w:p>
            <w:r>
              <w:t>Audits for regulator</w:t>
            </w:r>
          </w:p>
        </w:tc>
        <w:tc>
          <w:tcPr>
            <w:tcW w:type="dxa" w:w="3216"/>
          </w:tcPr>
          <w:p>
            <w:r>
              <w:t>Can answer 'did we comply with Art. 17 on 2026-01-15?' from audit alone</w:t>
            </w:r>
          </w:p>
        </w:tc>
      </w:tr>
      <w:tr>
        <w:tc>
          <w:tcPr>
            <w:tcW w:type="dxa" w:w="3216"/>
          </w:tcPr>
          <w:p>
            <w:r>
              <w:t>Security Lead</w:t>
            </w:r>
          </w:p>
        </w:tc>
        <w:tc>
          <w:tcPr>
            <w:tcW w:type="dxa" w:w="3216"/>
          </w:tcPr>
          <w:p>
            <w:r>
              <w:t>Owns cyber posture</w:t>
            </w:r>
          </w:p>
        </w:tc>
        <w:tc>
          <w:tcPr>
            <w:tcW w:type="dxa" w:w="3216"/>
          </w:tcPr>
          <w:p>
            <w:r>
              <w:t>Tamper-evident log + adversarial probe suite pass 100% critical</w:t>
            </w:r>
          </w:p>
        </w:tc>
      </w:tr>
      <w:tr>
        <w:tc>
          <w:tcPr>
            <w:tcW w:type="dxa" w:w="3216"/>
          </w:tcPr>
          <w:p>
            <w:r>
              <w:t>SRE</w:t>
            </w:r>
          </w:p>
        </w:tc>
        <w:tc>
          <w:tcPr>
            <w:tcW w:type="dxa" w:w="3216"/>
          </w:tcPr>
          <w:p>
            <w:r>
              <w:t>Keeps it running</w:t>
            </w:r>
          </w:p>
        </w:tc>
        <w:tc>
          <w:tcPr>
            <w:tcW w:type="dxa" w:w="3216"/>
          </w:tcPr>
          <w:p>
            <w:r>
              <w:t>/readyz is honest; graceful shutdown on every SIGTERM</w:t>
            </w:r>
          </w:p>
        </w:tc>
      </w:tr>
      <w:tr>
        <w:tc>
          <w:tcPr>
            <w:tcW w:type="dxa" w:w="3216"/>
          </w:tcPr>
          <w:p>
            <w:r>
              <w:t>Product Manager</w:t>
            </w:r>
          </w:p>
        </w:tc>
        <w:tc>
          <w:tcPr>
            <w:tcW w:type="dxa" w:w="3216"/>
          </w:tcPr>
          <w:p>
            <w:r>
              <w:t>Owns agent quality</w:t>
            </w:r>
          </w:p>
        </w:tc>
        <w:tc>
          <w:tcPr>
            <w:tcW w:type="dxa" w:w="3216"/>
          </w:tcPr>
          <w:p>
            <w:r>
              <w:t>Hallucination rate &lt; 2%; cost per tenant tracked</w:t>
            </w:r>
          </w:p>
        </w:tc>
      </w:tr>
      <w:tr>
        <w:tc>
          <w:tcPr>
            <w:tcW w:type="dxa" w:w="3216"/>
          </w:tcPr>
          <w:p>
            <w:r>
              <w:t>Data Engineer</w:t>
            </w:r>
          </w:p>
        </w:tc>
        <w:tc>
          <w:tcPr>
            <w:tcW w:type="dxa" w:w="3216"/>
          </w:tcPr>
          <w:p>
            <w:r>
              <w:t>Governs data flows</w:t>
            </w:r>
          </w:p>
        </w:tc>
        <w:tc>
          <w:tcPr>
            <w:tcW w:type="dxa" w:w="3216"/>
          </w:tcPr>
          <w:p>
            <w:r>
              <w:t>DSAR + erasure commands single-command; lineage provable</w:t>
            </w:r>
          </w:p>
        </w:tc>
      </w:tr>
    </w:tbl>
    <w:p/>
    <w:p>
      <w:pPr>
        <w:pStyle w:val="Heading2"/>
      </w:pPr>
      <w:r>
        <w:t>4.2 Primary Use Cases</w:t>
      </w:r>
    </w:p>
    <w:p>
      <w:pPr>
        <w:pStyle w:val="ListNumber"/>
      </w:pPr>
      <w:r>
        <w:t>UC1 — Regulated financial Q&amp;A over SEC filings with numerical accuracy and citation requirements.</w:t>
      </w:r>
    </w:p>
    <w:p>
      <w:pPr>
        <w:pStyle w:val="ListNumber"/>
      </w:pPr>
      <w:r>
        <w:t>UC2 — Healthcare information retrieval with HIPAA-grade PHI redaction.</w:t>
      </w:r>
    </w:p>
    <w:p>
      <w:pPr>
        <w:pStyle w:val="ListNumber"/>
      </w:pPr>
      <w:r>
        <w:t>UC3 — Internal knowledge-base agent with per-tenant isolation across business units.</w:t>
      </w:r>
    </w:p>
    <w:p>
      <w:pPr>
        <w:pStyle w:val="ListNumber"/>
      </w:pPr>
      <w:r>
        <w:t>UC4 — Customer-facing AI assistant with budget caps preventing runaway cost per free-tier user.</w:t>
      </w:r>
    </w:p>
    <w:p>
      <w:pPr>
        <w:pStyle w:val="ListNumber"/>
      </w:pPr>
      <w:r>
        <w:t>UC5 — Legal document assistance with signed-spec audit for discovery defensibility.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Core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216"/>
          </w:tcPr>
          <w:p>
            <w:r>
              <w:t>FR-001</w:t>
            </w:r>
          </w:p>
        </w:tc>
        <w:tc>
          <w:tcPr>
            <w:tcW w:type="dxa" w:w="3216"/>
          </w:tcPr>
          <w:p>
            <w:r>
              <w:t>Async aquery(query, tenant_id, idempotency_key) entry point</w:t>
            </w:r>
          </w:p>
        </w:tc>
        <w:tc>
          <w:tcPr>
            <w:tcW w:type="dxa" w:w="3216"/>
          </w:tcPr>
          <w:p>
            <w:r>
              <w:t>system.py::aquery</w:t>
            </w:r>
          </w:p>
        </w:tc>
      </w:tr>
      <w:tr>
        <w:tc>
          <w:tcPr>
            <w:tcW w:type="dxa" w:w="3216"/>
          </w:tcPr>
          <w:p>
            <w:r>
              <w:t>FR-002</w:t>
            </w:r>
          </w:p>
        </w:tc>
        <w:tc>
          <w:tcPr>
            <w:tcW w:type="dxa" w:w="3216"/>
          </w:tcPr>
          <w:p>
            <w:r>
              <w:t>Ten-step defensive pipeline executed in stable order</w:t>
            </w:r>
          </w:p>
        </w:tc>
        <w:tc>
          <w:tcPr>
            <w:tcW w:type="dxa" w:w="3216"/>
          </w:tcPr>
          <w:p>
            <w:r>
              <w:t>Documented in system.py module docstring</w:t>
            </w:r>
          </w:p>
        </w:tc>
      </w:tr>
      <w:tr>
        <w:tc>
          <w:tcPr>
            <w:tcW w:type="dxa" w:w="3216"/>
          </w:tcPr>
          <w:p>
            <w:r>
              <w:t>FR-003</w:t>
            </w:r>
          </w:p>
        </w:tc>
        <w:tc>
          <w:tcPr>
            <w:tcW w:type="dxa" w:w="3216"/>
          </w:tcPr>
          <w:p>
            <w:r>
              <w:t>Sync facade STCSystem.query refuses to run inside a running event loop</w:t>
            </w:r>
          </w:p>
        </w:tc>
        <w:tc>
          <w:tcPr>
            <w:tcW w:type="dxa" w:w="3216"/>
          </w:tcPr>
          <w:p>
            <w:r>
              <w:t>test_system.py</w:t>
            </w:r>
          </w:p>
        </w:tc>
      </w:tr>
      <w:tr>
        <w:tc>
          <w:tcPr>
            <w:tcW w:type="dxa" w:w="3216"/>
          </w:tcPr>
          <w:p>
            <w:r>
              <w:t>FR-004</w:t>
            </w:r>
          </w:p>
        </w:tc>
        <w:tc>
          <w:tcPr>
            <w:tcW w:type="dxa" w:w="3216"/>
          </w:tcPr>
          <w:p>
            <w:r>
              <w:t>Stalwart executes classify → retrieve → reason</w:t>
            </w:r>
          </w:p>
        </w:tc>
        <w:tc>
          <w:tcPr>
            <w:tcW w:type="dxa" w:w="3216"/>
          </w:tcPr>
          <w:p>
            <w:r>
              <w:t>stalwart/agent.py</w:t>
            </w:r>
          </w:p>
        </w:tc>
      </w:tr>
      <w:tr>
        <w:tc>
          <w:tcPr>
            <w:tcW w:type="dxa" w:w="3216"/>
          </w:tcPr>
          <w:p>
            <w:r>
              <w:t>FR-005</w:t>
            </w:r>
          </w:p>
        </w:tc>
        <w:tc>
          <w:tcPr>
            <w:tcW w:type="dxa" w:w="3216"/>
          </w:tcPr>
          <w:p>
            <w:r>
              <w:t>Critic validates input rails before LLM spend</w:t>
            </w:r>
          </w:p>
        </w:tc>
        <w:tc>
          <w:tcPr>
            <w:tcW w:type="dxa" w:w="3216"/>
          </w:tcPr>
          <w:p>
            <w:r>
              <w:t>test_privacy.py::TestAuditCoverage</w:t>
            </w:r>
          </w:p>
        </w:tc>
      </w:tr>
      <w:tr>
        <w:tc>
          <w:tcPr>
            <w:tcW w:type="dxa" w:w="3216"/>
          </w:tcPr>
          <w:p>
            <w:r>
              <w:t>FR-006</w:t>
            </w:r>
          </w:p>
        </w:tc>
        <w:tc>
          <w:tcPr>
            <w:tcW w:type="dxa" w:w="3216"/>
          </w:tcPr>
          <w:p>
            <w:r>
              <w:t>Critic validates output rails before response delivery</w:t>
            </w:r>
          </w:p>
        </w:tc>
        <w:tc>
          <w:tcPr>
            <w:tcW w:type="dxa" w:w="3216"/>
          </w:tcPr>
          <w:p>
            <w:r>
              <w:t>critic/critic.py::aevaluate_output</w:t>
            </w:r>
          </w:p>
        </w:tc>
      </w:tr>
      <w:tr>
        <w:tc>
          <w:tcPr>
            <w:tcW w:type="dxa" w:w="3216"/>
          </w:tcPr>
          <w:p>
            <w:r>
              <w:t>FR-007</w:t>
            </w:r>
          </w:p>
        </w:tc>
        <w:tc>
          <w:tcPr>
            <w:tcW w:type="dxa" w:w="3216"/>
          </w:tcPr>
          <w:p>
            <w:r>
              <w:t>Trainer observes traces and adjusts routing / prompts without direct runtime mutation</w:t>
            </w:r>
          </w:p>
        </w:tc>
        <w:tc>
          <w:tcPr>
            <w:tcW w:type="dxa" w:w="3216"/>
          </w:tcPr>
          <w:p>
            <w:r>
              <w:t>trainer/*</w:t>
            </w:r>
          </w:p>
        </w:tc>
      </w:tr>
    </w:tbl>
    <w:p/>
    <w:p>
      <w:pPr>
        <w:pStyle w:val="Heading2"/>
      </w:pPr>
      <w:r>
        <w:t>5.2 Compliance &amp; Audit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216"/>
          </w:tcPr>
          <w:p>
            <w:r>
              <w:t>FR-101</w:t>
            </w:r>
          </w:p>
        </w:tc>
        <w:tc>
          <w:tcPr>
            <w:tcW w:type="dxa" w:w="3216"/>
          </w:tcPr>
          <w:p>
            <w:r>
              <w:t>Every query emits a query_accepted audit record</w:t>
            </w:r>
          </w:p>
        </w:tc>
        <w:tc>
          <w:tcPr>
            <w:tcW w:type="dxa" w:w="3216"/>
          </w:tcPr>
          <w:p>
            <w:r>
              <w:t>test_privacy.py</w:t>
            </w:r>
          </w:p>
        </w:tc>
      </w:tr>
      <w:tr>
        <w:tc>
          <w:tcPr>
            <w:tcW w:type="dxa" w:w="3216"/>
          </w:tcPr>
          <w:p>
            <w:r>
              <w:t>FR-102</w:t>
            </w:r>
          </w:p>
        </w:tc>
        <w:tc>
          <w:tcPr>
            <w:tcW w:type="dxa" w:w="3216"/>
          </w:tcPr>
          <w:p>
            <w:r>
              <w:t>Every rail failure emits a rail_failed audit record</w:t>
            </w:r>
          </w:p>
        </w:tc>
        <w:tc>
          <w:tcPr>
            <w:tcW w:type="dxa" w:w="3216"/>
          </w:tcPr>
          <w:p>
            <w:r>
              <w:t>test_privacy.py</w:t>
            </w:r>
          </w:p>
        </w:tc>
      </w:tr>
      <w:tr>
        <w:tc>
          <w:tcPr>
            <w:tcW w:type="dxa" w:w="3216"/>
          </w:tcPr>
          <w:p>
            <w:r>
              <w:t>FR-103</w:t>
            </w:r>
          </w:p>
        </w:tc>
        <w:tc>
          <w:tcPr>
            <w:tcW w:type="dxa" w:w="3216"/>
          </w:tcPr>
          <w:p>
            <w:r>
              <w:t>Every LLM call emits an llm_call audit record with cost, tokens, data_tier, boundary_crossing</w:t>
            </w:r>
          </w:p>
        </w:tc>
        <w:tc>
          <w:tcPr>
            <w:tcW w:type="dxa" w:w="3216"/>
          </w:tcPr>
          <w:p>
            <w:r>
              <w:t>test_observability.py</w:t>
            </w:r>
          </w:p>
        </w:tc>
      </w:tr>
      <w:tr>
        <w:tc>
          <w:tcPr>
            <w:tcW w:type="dxa" w:w="3216"/>
          </w:tcPr>
          <w:p>
            <w:r>
              <w:t>FR-104</w:t>
            </w:r>
          </w:p>
        </w:tc>
        <w:tc>
          <w:tcPr>
            <w:tcW w:type="dxa" w:w="3216"/>
          </w:tcPr>
          <w:p>
            <w:r>
              <w:t>Every audit record carries an HMAC-SHA256 entry_hash bound to the previous record</w:t>
            </w:r>
          </w:p>
        </w:tc>
        <w:tc>
          <w:tcPr>
            <w:tcW w:type="dxa" w:w="3216"/>
          </w:tcPr>
          <w:p>
            <w:r>
              <w:t>test_staff_review_round2.py::TestHMACChain</w:t>
            </w:r>
          </w:p>
        </w:tc>
      </w:tr>
      <w:tr>
        <w:tc>
          <w:tcPr>
            <w:tcW w:type="dxa" w:w="3216"/>
          </w:tcPr>
          <w:p>
            <w:r>
              <w:t>FR-105</w:t>
            </w:r>
          </w:p>
        </w:tc>
        <w:tc>
          <w:tcPr>
            <w:tcW w:type="dxa" w:w="3216"/>
          </w:tcPr>
          <w:p>
            <w:r>
              <w:t>verify_chain detects truncation, content tampering, and wrong-key forgery</w:t>
            </w:r>
          </w:p>
        </w:tc>
        <w:tc>
          <w:tcPr>
            <w:tcW w:type="dxa" w:w="3216"/>
          </w:tcPr>
          <w:p>
            <w:r>
              <w:t>test_staff_review_round2.py</w:t>
            </w:r>
          </w:p>
        </w:tc>
      </w:tr>
      <w:tr>
        <w:tc>
          <w:tcPr>
            <w:tcW w:type="dxa" w:w="3216"/>
          </w:tcPr>
          <w:p>
            <w:r>
              <w:t>FR-106</w:t>
            </w:r>
          </w:p>
        </w:tc>
        <w:tc>
          <w:tcPr>
            <w:tcW w:type="dxa" w:w="3216"/>
          </w:tcPr>
          <w:p>
            <w:r>
              <w:t>WORMAuditBackend refuses erase_tenant and prune_before</w:t>
            </w:r>
          </w:p>
        </w:tc>
        <w:tc>
          <w:tcPr>
            <w:tcW w:type="dxa" w:w="3216"/>
          </w:tcPr>
          <w:p>
            <w:r>
              <w:t>test_staff_review_round2.py::TestWORMBackend</w:t>
            </w:r>
          </w:p>
        </w:tc>
      </w:tr>
      <w:tr>
        <w:tc>
          <w:tcPr>
            <w:tcW w:type="dxa" w:w="3216"/>
          </w:tcPr>
          <w:p>
            <w:r>
              <w:t>FR-107</w:t>
            </w:r>
          </w:p>
        </w:tc>
        <w:tc>
          <w:tcPr>
            <w:tcW w:type="dxa" w:w="3216"/>
          </w:tcPr>
          <w:p>
            <w:r>
              <w:t>Ed25519 signed spec verified at startup in prod</w:t>
            </w:r>
          </w:p>
        </w:tc>
        <w:tc>
          <w:tcPr>
            <w:tcW w:type="dxa" w:w="3216"/>
          </w:tcPr>
          <w:p>
            <w:r>
              <w:t>test_staff_review_round2.py::TestSpecSignature</w:t>
            </w:r>
          </w:p>
        </w:tc>
      </w:tr>
      <w:tr>
        <w:tc>
          <w:tcPr>
            <w:tcW w:type="dxa" w:w="3216"/>
          </w:tcPr>
          <w:p>
            <w:r>
              <w:t>FR-108</w:t>
            </w:r>
          </w:p>
        </w:tc>
        <w:tc>
          <w:tcPr>
            <w:tcW w:type="dxa" w:w="3216"/>
          </w:tcPr>
          <w:p>
            <w:r>
              <w:t>26-event AuditEvent catalogue</w:t>
            </w:r>
          </w:p>
        </w:tc>
        <w:tc>
          <w:tcPr>
            <w:tcW w:type="dxa" w:w="3216"/>
          </w:tcPr>
          <w:p>
            <w:r>
              <w:t>governance/events.py</w:t>
            </w:r>
          </w:p>
        </w:tc>
      </w:tr>
      <w:tr>
        <w:tc>
          <w:tcPr>
            <w:tcW w:type="dxa" w:w="3216"/>
          </w:tcPr>
          <w:p>
            <w:r>
              <w:t>FR-109</w:t>
            </w:r>
          </w:p>
        </w:tc>
        <w:tc>
          <w:tcPr>
            <w:tcW w:type="dxa" w:w="3216"/>
          </w:tcPr>
          <w:p>
            <w:r>
              <w:t>Per-event-class retention policies</w:t>
            </w:r>
          </w:p>
        </w:tc>
        <w:tc>
          <w:tcPr>
            <w:tcW w:type="dxa" w:w="3216"/>
          </w:tcPr>
          <w:p>
            <w:r>
              <w:t>test_staff_review_round2.py::TestPerEventRetention</w:t>
            </w:r>
          </w:p>
        </w:tc>
      </w:tr>
    </w:tbl>
    <w:p/>
    <w:p>
      <w:pPr>
        <w:pStyle w:val="Heading2"/>
      </w:pPr>
      <w:r>
        <w:t>5.3 Data Sovereignty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216"/>
          </w:tcPr>
          <w:p>
            <w:r>
              <w:t>FR-201</w:t>
            </w:r>
          </w:p>
        </w:tc>
        <w:tc>
          <w:tcPr>
            <w:tcW w:type="dxa" w:w="3216"/>
          </w:tcPr>
          <w:p>
            <w:r>
              <w:t>Data classification into public / internal / restricted on every query</w:t>
            </w:r>
          </w:p>
        </w:tc>
        <w:tc>
          <w:tcPr>
            <w:tcW w:type="dxa" w:w="3216"/>
          </w:tcPr>
          <w:p>
            <w:r>
              <w:t>sentinel/classifier.py</w:t>
            </w:r>
          </w:p>
        </w:tc>
      </w:tr>
      <w:tr>
        <w:tc>
          <w:tcPr>
            <w:tcW w:type="dxa" w:w="3216"/>
          </w:tcPr>
          <w:p>
            <w:r>
              <w:t>FR-202</w:t>
            </w:r>
          </w:p>
        </w:tc>
        <w:tc>
          <w:tcPr>
            <w:tcW w:type="dxa" w:w="3216"/>
          </w:tcPr>
          <w:p>
            <w:r>
              <w:t>Restricted-tier data routed only to local / VPC models</w:t>
            </w:r>
          </w:p>
        </w:tc>
        <w:tc>
          <w:tcPr>
            <w:tcW w:type="dxa" w:w="3216"/>
          </w:tcPr>
          <w:p>
            <w:r>
              <w:t>test_security.py::TestDataSovereigntyEnforcement</w:t>
            </w:r>
          </w:p>
        </w:tc>
      </w:tr>
      <w:tr>
        <w:tc>
          <w:tcPr>
            <w:tcW w:type="dxa" w:w="3216"/>
          </w:tcPr>
          <w:p>
            <w:r>
              <w:t>FR-203</w:t>
            </w:r>
          </w:p>
        </w:tc>
        <w:tc>
          <w:tcPr>
            <w:tcW w:type="dxa" w:w="3216"/>
          </w:tcPr>
          <w:p>
            <w:r>
              <w:t>Three-layer enforcement: spec load, routing mutation, dispatch</w:t>
            </w:r>
          </w:p>
        </w:tc>
        <w:tc>
          <w:tcPr>
            <w:tcW w:type="dxa" w:w="3216"/>
          </w:tcPr>
          <w:p>
            <w:r>
              <w:t>test_security.py</w:t>
            </w:r>
          </w:p>
        </w:tc>
      </w:tr>
      <w:tr>
        <w:tc>
          <w:tcPr>
            <w:tcW w:type="dxa" w:w="3216"/>
          </w:tcPr>
          <w:p>
            <w:r>
              <w:t>FR-204</w:t>
            </w:r>
          </w:p>
        </w:tc>
        <w:tc>
          <w:tcPr>
            <w:tcW w:type="dxa" w:w="3216"/>
          </w:tcPr>
          <w:p>
            <w:r>
              <w:t>Boundary crossings always audited</w:t>
            </w:r>
          </w:p>
        </w:tc>
        <w:tc>
          <w:tcPr>
            <w:tcW w:type="dxa" w:w="3216"/>
          </w:tcPr>
          <w:p>
            <w:r>
              <w:t>test_privacy.py</w:t>
            </w:r>
          </w:p>
        </w:tc>
      </w:tr>
      <w:tr>
        <w:tc>
          <w:tcPr>
            <w:tcW w:type="dxa" w:w="3216"/>
          </w:tcPr>
          <w:p>
            <w:r>
              <w:t>FR-205</w:t>
            </w:r>
          </w:p>
        </w:tc>
        <w:tc>
          <w:tcPr>
            <w:tcW w:type="dxa" w:w="3216"/>
          </w:tcPr>
          <w:p>
            <w:r>
              <w:t>Presidio PII redaction before every LLM call</w:t>
            </w:r>
          </w:p>
        </w:tc>
        <w:tc>
          <w:tcPr>
            <w:tcW w:type="dxa" w:w="3216"/>
          </w:tcPr>
          <w:p>
            <w:r>
              <w:t>sentinel/redaction.py</w:t>
            </w:r>
          </w:p>
        </w:tc>
      </w:tr>
      <w:tr>
        <w:tc>
          <w:tcPr>
            <w:tcW w:type="dxa" w:w="3216"/>
          </w:tcPr>
          <w:p>
            <w:r>
              <w:t>FR-206</w:t>
            </w:r>
          </w:p>
        </w:tc>
        <w:tc>
          <w:tcPr>
            <w:tcW w:type="dxa" w:w="3216"/>
          </w:tcPr>
          <w:p>
            <w:r>
              <w:t>Retrieved chunks redacted before context assembly</w:t>
            </w:r>
          </w:p>
        </w:tc>
        <w:tc>
          <w:tcPr>
            <w:tcW w:type="dxa" w:w="3216"/>
          </w:tcPr>
          <w:p>
            <w:r>
              <w:t>test_privacy.py::TestPIILeakSurface</w:t>
            </w:r>
          </w:p>
        </w:tc>
      </w:tr>
      <w:tr>
        <w:tc>
          <w:tcPr>
            <w:tcW w:type="dxa" w:w="3216"/>
          </w:tcPr>
          <w:p>
            <w:r>
              <w:t>FR-207</w:t>
            </w:r>
          </w:p>
        </w:tc>
        <w:tc>
          <w:tcPr>
            <w:tcW w:type="dxa" w:w="3216"/>
          </w:tcPr>
          <w:p>
            <w:r>
              <w:t>HMAC-keyed surrogate tokenization available for restricted-tier data</w:t>
            </w:r>
          </w:p>
        </w:tc>
        <w:tc>
          <w:tcPr>
            <w:tcW w:type="dxa" w:w="3216"/>
          </w:tcPr>
          <w:p>
            <w:r>
              <w:t>sentinel/tokenization.py</w:t>
            </w:r>
          </w:p>
        </w:tc>
      </w:tr>
    </w:tbl>
    <w:p/>
    <w:p>
      <w:pPr>
        <w:pStyle w:val="Heading2"/>
      </w:pPr>
      <w:r>
        <w:t>5.4 Subject Rights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216"/>
          </w:tcPr>
          <w:p>
            <w:r>
              <w:t>FR-301</w:t>
            </w:r>
          </w:p>
        </w:tc>
        <w:tc>
          <w:tcPr>
            <w:tcW w:type="dxa" w:w="3216"/>
          </w:tcPr>
          <w:p>
            <w:r>
              <w:t>DSAR export returns all tenant-scoped data as a single JSON</w:t>
            </w:r>
          </w:p>
        </w:tc>
        <w:tc>
          <w:tcPr>
            <w:tcW w:type="dxa" w:w="3216"/>
          </w:tcPr>
          <w:p>
            <w:r>
              <w:t>test_privacy.py::TestDSAR</w:t>
            </w:r>
          </w:p>
        </w:tc>
      </w:tr>
      <w:tr>
        <w:tc>
          <w:tcPr>
            <w:tcW w:type="dxa" w:w="3216"/>
          </w:tcPr>
          <w:p>
            <w:r>
              <w:t>FR-302</w:t>
            </w:r>
          </w:p>
        </w:tc>
        <w:tc>
          <w:tcPr>
            <w:tcW w:type="dxa" w:w="3216"/>
          </w:tcPr>
          <w:p>
            <w:r>
              <w:t>Right-to-erasure removes tenant data from 7 stores (audit, history, vectors, tokens, idempotency, budget, RL)</w:t>
            </w:r>
          </w:p>
        </w:tc>
        <w:tc>
          <w:tcPr>
            <w:tcW w:type="dxa" w:w="3216"/>
          </w:tcPr>
          <w:p>
            <w:r>
              <w:t>test_staff_review_round2.py::TestIdempotencyClearedOnErase</w:t>
            </w:r>
          </w:p>
        </w:tc>
      </w:tr>
      <w:tr>
        <w:tc>
          <w:tcPr>
            <w:tcW w:type="dxa" w:w="3216"/>
          </w:tcPr>
          <w:p>
            <w:r>
              <w:t>FR-303</w:t>
            </w:r>
          </w:p>
        </w:tc>
        <w:tc>
          <w:tcPr>
            <w:tcW w:type="dxa" w:w="3216"/>
          </w:tcPr>
          <w:p>
            <w:r>
              <w:t>DSAR and erasure calls are themselves audited</w:t>
            </w:r>
          </w:p>
        </w:tc>
        <w:tc>
          <w:tcPr>
            <w:tcW w:type="dxa" w:w="3216"/>
          </w:tcPr>
          <w:p>
            <w:r>
              <w:t>test_privacy.py</w:t>
            </w:r>
          </w:p>
        </w:tc>
      </w:tr>
      <w:tr>
        <w:tc>
          <w:tcPr>
            <w:tcW w:type="dxa" w:w="3216"/>
          </w:tcPr>
          <w:p>
            <w:r>
              <w:t>FR-304</w:t>
            </w:r>
          </w:p>
        </w:tc>
        <w:tc>
          <w:tcPr>
            <w:tcW w:type="dxa" w:w="3216"/>
          </w:tcPr>
          <w:p>
            <w:r>
              <w:t>Erasure receipt retained for 6 years (does not itself erase)</w:t>
            </w:r>
          </w:p>
        </w:tc>
        <w:tc>
          <w:tcPr>
            <w:tcW w:type="dxa" w:w="3216"/>
          </w:tcPr>
          <w:p>
            <w:r>
              <w:t>retention policy</w:t>
            </w:r>
          </w:p>
        </w:tc>
      </w:tr>
      <w:tr>
        <w:tc>
          <w:tcPr>
            <w:tcW w:type="dxa" w:w="3216"/>
          </w:tcPr>
          <w:p>
            <w:r>
              <w:t>FR-305</w:t>
            </w:r>
          </w:p>
        </w:tc>
        <w:tc>
          <w:tcPr>
            <w:tcW w:type="dxa" w:w="3216"/>
          </w:tcPr>
          <w:p>
            <w:r>
              <w:t>CLI exposes verify-chain, dsar, erase, retention</w:t>
            </w:r>
          </w:p>
        </w:tc>
        <w:tc>
          <w:tcPr>
            <w:tcW w:type="dxa" w:w="3216"/>
          </w:tcPr>
          <w:p>
            <w:r>
              <w:t>test_staff_review.py::TestGovernanceCLI</w:t>
            </w:r>
          </w:p>
        </w:tc>
      </w:tr>
    </w:tbl>
    <w:p/>
    <w:p>
      <w:pPr>
        <w:pStyle w:val="Heading2"/>
      </w:pPr>
      <w:r>
        <w:t>5.5 Security Controls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216"/>
          </w:tcPr>
          <w:p>
            <w:r>
              <w:t>FR-401</w:t>
            </w:r>
          </w:p>
        </w:tc>
        <w:tc>
          <w:tcPr>
            <w:tcW w:type="dxa" w:w="3216"/>
          </w:tcPr>
          <w:p>
            <w:r>
              <w:t>16 prompt-injection rule families</w:t>
            </w:r>
          </w:p>
        </w:tc>
        <w:tc>
          <w:tcPr>
            <w:tcW w:type="dxa" w:w="3216"/>
          </w:tcPr>
          <w:p>
            <w:r>
              <w:t>test_security.py::TestInjectionDetection</w:t>
            </w:r>
          </w:p>
        </w:tc>
      </w:tr>
      <w:tr>
        <w:tc>
          <w:tcPr>
            <w:tcW w:type="dxa" w:w="3216"/>
          </w:tcPr>
          <w:p>
            <w:r>
              <w:t>FR-402</w:t>
            </w:r>
          </w:p>
        </w:tc>
        <w:tc>
          <w:tcPr>
            <w:tcW w:type="dxa" w:w="3216"/>
          </w:tcPr>
          <w:p>
            <w:r>
              <w:t>Zero-width / BiDi override normalisation on all input</w:t>
            </w:r>
          </w:p>
        </w:tc>
        <w:tc>
          <w:tcPr>
            <w:tcW w:type="dxa" w:w="3216"/>
          </w:tcPr>
          <w:p>
            <w:r>
              <w:t>test_security.py::TestSanitizerInvariants</w:t>
            </w:r>
          </w:p>
        </w:tc>
      </w:tr>
      <w:tr>
        <w:tc>
          <w:tcPr>
            <w:tcW w:type="dxa" w:w="3216"/>
          </w:tcPr>
          <w:p>
            <w:r>
              <w:t>FR-403</w:t>
            </w:r>
          </w:p>
        </w:tc>
        <w:tc>
          <w:tcPr>
            <w:tcW w:type="dxa" w:w="3216"/>
          </w:tcPr>
          <w:p>
            <w:r>
              <w:t>Header CR/LF/NUL stripping</w:t>
            </w:r>
          </w:p>
        </w:tc>
        <w:tc>
          <w:tcPr>
            <w:tcW w:type="dxa" w:w="3216"/>
          </w:tcPr>
          <w:p>
            <w:r>
              <w:t>test_security.py::TestHeaderSanitization</w:t>
            </w:r>
          </w:p>
        </w:tc>
      </w:tr>
      <w:tr>
        <w:tc>
          <w:tcPr>
            <w:tcW w:type="dxa" w:w="3216"/>
          </w:tcPr>
          <w:p>
            <w:r>
              <w:t>FR-404</w:t>
            </w:r>
          </w:p>
        </w:tc>
        <w:tc>
          <w:tcPr>
            <w:tcW w:type="dxa" w:w="3216"/>
          </w:tcPr>
          <w:p>
            <w:r>
              <w:t>Bounded-quantifier regex (ReDoS-safe) in redaction + injection rules</w:t>
            </w:r>
          </w:p>
        </w:tc>
        <w:tc>
          <w:tcPr>
            <w:tcW w:type="dxa" w:w="3216"/>
          </w:tcPr>
          <w:p>
            <w:r>
              <w:t>test_security.py::TestReDoSHardening</w:t>
            </w:r>
          </w:p>
        </w:tc>
      </w:tr>
      <w:tr>
        <w:tc>
          <w:tcPr>
            <w:tcW w:type="dxa" w:w="3216"/>
          </w:tcPr>
          <w:p>
            <w:r>
              <w:t>FR-405</w:t>
            </w:r>
          </w:p>
        </w:tc>
        <w:tc>
          <w:tcPr>
            <w:tcW w:type="dxa" w:w="3216"/>
          </w:tcPr>
          <w:p>
            <w:r>
              <w:t>Input size limits: query 8KB, chunk 8KB, context 120KB, request 64KB</w:t>
            </w:r>
          </w:p>
        </w:tc>
        <w:tc>
          <w:tcPr>
            <w:tcW w:type="dxa" w:w="3216"/>
          </w:tcPr>
          <w:p>
            <w:r>
              <w:t>security/limits.py</w:t>
            </w:r>
          </w:p>
        </w:tc>
      </w:tr>
      <w:tr>
        <w:tc>
          <w:tcPr>
            <w:tcW w:type="dxa" w:w="3216"/>
          </w:tcPr>
          <w:p>
            <w:r>
              <w:t>FR-406</w:t>
            </w:r>
          </w:p>
        </w:tc>
        <w:tc>
          <w:tcPr>
            <w:tcW w:type="dxa" w:w="3216"/>
          </w:tcPr>
          <w:p>
            <w:r>
              <w:t>Output-injection rail catches reflective attacks</w:t>
            </w:r>
          </w:p>
        </w:tc>
        <w:tc>
          <w:tcPr>
            <w:tcW w:type="dxa" w:w="3216"/>
          </w:tcPr>
          <w:p>
            <w:r>
              <w:t>critic/validators/injection.py</w:t>
            </w:r>
          </w:p>
        </w:tc>
      </w:tr>
    </w:tbl>
    <w:p/>
    <w:p>
      <w:pPr>
        <w:pStyle w:val="Heading2"/>
      </w:pPr>
      <w:r>
        <w:t>5.6 Production Safety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216"/>
          </w:tcPr>
          <w:p>
            <w:r>
              <w:t>FR-501</w:t>
            </w:r>
          </w:p>
        </w:tc>
        <w:tc>
          <w:tcPr>
            <w:tcW w:type="dxa" w:w="3216"/>
          </w:tcPr>
          <w:p>
            <w:r>
              <w:t>Per-tenant budget (daily + monthly) with atomic reserve/settle</w:t>
            </w:r>
          </w:p>
        </w:tc>
        <w:tc>
          <w:tcPr>
            <w:tcW w:type="dxa" w:w="3216"/>
          </w:tcPr>
          <w:p>
            <w:r>
              <w:t>test_staff_review_round2.py::TestBudgetDayBuckets</w:t>
            </w:r>
          </w:p>
        </w:tc>
      </w:tr>
      <w:tr>
        <w:tc>
          <w:tcPr>
            <w:tcW w:type="dxa" w:w="3216"/>
          </w:tcPr>
          <w:p>
            <w:r>
              <w:t>FR-502</w:t>
            </w:r>
          </w:p>
        </w:tc>
        <w:tc>
          <w:tcPr>
            <w:tcW w:type="dxa" w:w="3216"/>
          </w:tcPr>
          <w:p>
            <w:r>
              <w:t>Per-tenant token-bucket rate limiter with bounded memory</w:t>
            </w:r>
          </w:p>
        </w:tc>
        <w:tc>
          <w:tcPr>
            <w:tcW w:type="dxa" w:w="3216"/>
          </w:tcPr>
          <w:p>
            <w:r>
              <w:t>test_staff_review.py::TestRateLimiter</w:t>
            </w:r>
          </w:p>
        </w:tc>
      </w:tr>
      <w:tr>
        <w:tc>
          <w:tcPr>
            <w:tcW w:type="dxa" w:w="3216"/>
          </w:tcPr>
          <w:p>
            <w:r>
              <w:t>FR-503</w:t>
            </w:r>
          </w:p>
        </w:tc>
        <w:tc>
          <w:tcPr>
            <w:tcW w:type="dxa" w:w="3216"/>
          </w:tcPr>
          <w:p>
            <w:r>
              <w:t>Idempotency cache for safe client retries</w:t>
            </w:r>
          </w:p>
        </w:tc>
        <w:tc>
          <w:tcPr>
            <w:tcW w:type="dxa" w:w="3216"/>
          </w:tcPr>
          <w:p>
            <w:r>
              <w:t>test_enterprise.py::TestIdempotency</w:t>
            </w:r>
          </w:p>
        </w:tc>
      </w:tr>
      <w:tr>
        <w:tc>
          <w:tcPr>
            <w:tcW w:type="dxa" w:w="3216"/>
          </w:tcPr>
          <w:p>
            <w:r>
              <w:t>FR-504</w:t>
            </w:r>
          </w:p>
        </w:tc>
        <w:tc>
          <w:tcPr>
            <w:tcW w:type="dxa" w:w="3216"/>
          </w:tcPr>
          <w:p>
            <w:r>
              <w:t>Graceful shutdown with in-flight drain on SIGTERM</w:t>
            </w:r>
          </w:p>
        </w:tc>
        <w:tc>
          <w:tcPr>
            <w:tcW w:type="dxa" w:w="3216"/>
          </w:tcPr>
          <w:p>
            <w:r>
              <w:t>test_enterprise.py::TestGracefulShutdown</w:t>
            </w:r>
          </w:p>
        </w:tc>
      </w:tr>
      <w:tr>
        <w:tc>
          <w:tcPr>
            <w:tcW w:type="dxa" w:w="3216"/>
          </w:tcPr>
          <w:p>
            <w:r>
              <w:t>FR-505</w:t>
            </w:r>
          </w:p>
        </w:tc>
        <w:tc>
          <w:tcPr>
            <w:tcW w:type="dxa" w:w="3216"/>
          </w:tcPr>
          <w:p>
            <w:r>
              <w:t>Strict prod startup enforces 6 fail-closed invariants</w:t>
            </w:r>
          </w:p>
        </w:tc>
        <w:tc>
          <w:tcPr>
            <w:tcW w:type="dxa" w:w="3216"/>
          </w:tcPr>
          <w:p>
            <w:r>
              <w:t>test_staff_review_round2.py::TestStrictProdMode</w:t>
            </w:r>
          </w:p>
        </w:tc>
      </w:tr>
      <w:tr>
        <w:tc>
          <w:tcPr>
            <w:tcW w:type="dxa" w:w="3216"/>
          </w:tcPr>
          <w:p>
            <w:r>
              <w:t>FR-506</w:t>
            </w:r>
          </w:p>
        </w:tc>
        <w:tc>
          <w:tcPr>
            <w:tcW w:type="dxa" w:w="3216"/>
          </w:tcPr>
          <w:p>
            <w:r>
              <w:t>Deep /readyz probes every adapter</w:t>
            </w:r>
          </w:p>
        </w:tc>
        <w:tc>
          <w:tcPr>
            <w:tcW w:type="dxa" w:w="3216"/>
          </w:tcPr>
          <w:p>
            <w:r>
              <w:t>test_observability.py::TestHealthProbe</w:t>
            </w:r>
          </w:p>
        </w:tc>
      </w:tr>
      <w:tr>
        <w:tc>
          <w:tcPr>
            <w:tcW w:type="dxa" w:w="3216"/>
          </w:tcPr>
          <w:p>
            <w:r>
              <w:t>FR-507</w:t>
            </w:r>
          </w:p>
        </w:tc>
        <w:tc>
          <w:tcPr>
            <w:tcW w:type="dxa" w:w="3216"/>
          </w:tcPr>
          <w:p>
            <w:r>
              <w:t>Presidio warm-up at astart() eliminates cold-start penalty</w:t>
            </w:r>
          </w:p>
        </w:tc>
        <w:tc>
          <w:tcPr>
            <w:tcW w:type="dxa" w:w="3216"/>
          </w:tcPr>
          <w:p>
            <w:r>
              <w:t>test_staff_review_round2.py::TestPresidioWarmup</w:t>
            </w:r>
          </w:p>
        </w:tc>
      </w:tr>
    </w:tbl>
    <w:p/>
    <w:p>
      <w:pPr>
        <w:pStyle w:val="Heading2"/>
      </w:pPr>
      <w:r>
        <w:t>5.7 Observability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216"/>
          </w:tcPr>
          <w:p>
            <w:r>
              <w:t>FR-601</w:t>
            </w:r>
          </w:p>
        </w:tc>
        <w:tc>
          <w:tcPr>
            <w:tcW w:type="dxa" w:w="3216"/>
          </w:tcPr>
          <w:p>
            <w:r>
              <w:t>17 Prometheus metrics with bounded cardinality via tenant_label()</w:t>
            </w:r>
          </w:p>
        </w:tc>
        <w:tc>
          <w:tcPr>
            <w:tcW w:type="dxa" w:w="3216"/>
          </w:tcPr>
          <w:p>
            <w:r>
              <w:t>test_observability.py</w:t>
            </w:r>
          </w:p>
        </w:tc>
      </w:tr>
      <w:tr>
        <w:tc>
          <w:tcPr>
            <w:tcW w:type="dxa" w:w="3216"/>
          </w:tcPr>
          <w:p>
            <w:r>
              <w:t>FR-602</w:t>
            </w:r>
          </w:p>
        </w:tc>
        <w:tc>
          <w:tcPr>
            <w:tcW w:type="dxa" w:w="3216"/>
          </w:tcPr>
          <w:p>
            <w:r>
              <w:t>OpenTelemetry root span stc.aquery per query with child spans per stage</w:t>
            </w:r>
          </w:p>
        </w:tc>
        <w:tc>
          <w:tcPr>
            <w:tcW w:type="dxa" w:w="3216"/>
          </w:tcPr>
          <w:p>
            <w:r>
              <w:t>test_observability.py::TestCorrelationBinding</w:t>
            </w:r>
          </w:p>
        </w:tc>
      </w:tr>
      <w:tr>
        <w:tc>
          <w:tcPr>
            <w:tcW w:type="dxa" w:w="3216"/>
          </w:tcPr>
          <w:p>
            <w:r>
              <w:t>FR-603</w:t>
            </w:r>
          </w:p>
        </w:tc>
        <w:tc>
          <w:tcPr>
            <w:tcW w:type="dxa" w:w="3216"/>
          </w:tcPr>
          <w:p>
            <w:r>
              <w:t>Structured JSON logs with trace_id, span_id, tenant_id, persona auto-bound</w:t>
            </w:r>
          </w:p>
        </w:tc>
        <w:tc>
          <w:tcPr>
            <w:tcW w:type="dxa" w:w="3216"/>
          </w:tcPr>
          <w:p>
            <w:r>
              <w:t>config/logging.py</w:t>
            </w:r>
          </w:p>
        </w:tc>
      </w:tr>
      <w:tr>
        <w:tc>
          <w:tcPr>
            <w:tcW w:type="dxa" w:w="3216"/>
          </w:tcPr>
          <w:p>
            <w:r>
              <w:t>FR-604</w:t>
            </w:r>
          </w:p>
        </w:tc>
        <w:tc>
          <w:tcPr>
            <w:tcW w:type="dxa" w:w="3216"/>
          </w:tcPr>
          <w:p>
            <w:r>
              <w:t>Per-stage latency histogram (input_rails, stalwart, output_rails)</w:t>
            </w:r>
          </w:p>
        </w:tc>
        <w:tc>
          <w:tcPr>
            <w:tcW w:type="dxa" w:w="3216"/>
          </w:tcPr>
          <w:p>
            <w:r>
              <w:t>test_observability.py</w:t>
            </w:r>
          </w:p>
        </w:tc>
      </w:tr>
      <w:tr>
        <w:tc>
          <w:tcPr>
            <w:tcW w:type="dxa" w:w="3216"/>
          </w:tcPr>
          <w:p>
            <w:r>
              <w:t>FR-605</w:t>
            </w:r>
          </w:p>
        </w:tc>
        <w:tc>
          <w:tcPr>
            <w:tcW w:type="dxa" w:w="3216"/>
          </w:tcPr>
          <w:p>
            <w:r>
              <w:t>PII-safe log filter drops content fields unless STC_LOG_CONTENT=true</w:t>
            </w:r>
          </w:p>
        </w:tc>
        <w:tc>
          <w:tcPr>
            <w:tcW w:type="dxa" w:w="3216"/>
          </w:tcPr>
          <w:p>
            <w:r>
              <w:t>config/logging.py</w:t>
            </w:r>
          </w:p>
        </w:tc>
      </w:tr>
    </w:tbl>
    <w:p/>
    <w:p>
      <w:pPr>
        <w:pStyle w:val="Heading2"/>
      </w:pPr>
      <w:r>
        <w:t>5.8 Extensibility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216"/>
          </w:tcPr>
          <w:p>
            <w:r>
              <w:t>FR-701</w:t>
            </w:r>
          </w:p>
        </w:tc>
        <w:tc>
          <w:tcPr>
            <w:tcW w:type="dxa" w:w="3216"/>
          </w:tcPr>
          <w:p>
            <w:r>
              <w:t>LLM adapter Protocol with 2+ reference implementations (mock, litellm)</w:t>
            </w:r>
          </w:p>
        </w:tc>
        <w:tc>
          <w:tcPr>
            <w:tcW w:type="dxa" w:w="3216"/>
          </w:tcPr>
          <w:p>
            <w:r>
              <w:t>adapters/llm/</w:t>
            </w:r>
          </w:p>
        </w:tc>
      </w:tr>
      <w:tr>
        <w:tc>
          <w:tcPr>
            <w:tcW w:type="dxa" w:w="3216"/>
          </w:tcPr>
          <w:p>
            <w:r>
              <w:t>FR-702</w:t>
            </w:r>
          </w:p>
        </w:tc>
        <w:tc>
          <w:tcPr>
            <w:tcW w:type="dxa" w:w="3216"/>
          </w:tcPr>
          <w:p>
            <w:r>
              <w:t>Vector store Protocol with 2+ implementations (in_memory, qdrant)</w:t>
            </w:r>
          </w:p>
        </w:tc>
        <w:tc>
          <w:tcPr>
            <w:tcW w:type="dxa" w:w="3216"/>
          </w:tcPr>
          <w:p>
            <w:r>
              <w:t>adapters/vector_store/</w:t>
            </w:r>
          </w:p>
        </w:tc>
      </w:tr>
      <w:tr>
        <w:tc>
          <w:tcPr>
            <w:tcW w:type="dxa" w:w="3216"/>
          </w:tcPr>
          <w:p>
            <w:r>
              <w:t>FR-703</w:t>
            </w:r>
          </w:p>
        </w:tc>
        <w:tc>
          <w:tcPr>
            <w:tcW w:type="dxa" w:w="3216"/>
          </w:tcPr>
          <w:p>
            <w:r>
              <w:t>Audit backend Protocol with 2+ implementations (jsonl, worm)</w:t>
            </w:r>
          </w:p>
        </w:tc>
        <w:tc>
          <w:tcPr>
            <w:tcW w:type="dxa" w:w="3216"/>
          </w:tcPr>
          <w:p>
            <w:r>
              <w:t>adapters/audit_backend/</w:t>
            </w:r>
          </w:p>
        </w:tc>
      </w:tr>
      <w:tr>
        <w:tc>
          <w:tcPr>
            <w:tcW w:type="dxa" w:w="3216"/>
          </w:tcPr>
          <w:p>
            <w:r>
              <w:t>FR-704</w:t>
            </w:r>
          </w:p>
        </w:tc>
        <w:tc>
          <w:tcPr>
            <w:tcW w:type="dxa" w:w="3216"/>
          </w:tcPr>
          <w:p>
            <w:r>
              <w:t>New validator = new file + spec entry + __init__ registration; no framework changes</w:t>
            </w:r>
          </w:p>
        </w:tc>
        <w:tc>
          <w:tcPr>
            <w:tcW w:type="dxa" w:w="3216"/>
          </w:tcPr>
          <w:p>
            <w:r>
              <w:t>CONTRIBUTING.md Recipe 1</w:t>
            </w:r>
          </w:p>
        </w:tc>
      </w:tr>
      <w:tr>
        <w:tc>
          <w:tcPr>
            <w:tcW w:type="dxa" w:w="3216"/>
          </w:tcPr>
          <w:p>
            <w:r>
              <w:t>FR-705</w:t>
            </w:r>
          </w:p>
        </w:tc>
        <w:tc>
          <w:tcPr>
            <w:tcW w:type="dxa" w:w="3216"/>
          </w:tcPr>
          <w:p>
            <w:r>
              <w:t>New event type = single enum addition</w:t>
            </w:r>
          </w:p>
        </w:tc>
        <w:tc>
          <w:tcPr>
            <w:tcW w:type="dxa" w:w="3216"/>
          </w:tcPr>
          <w:p>
            <w:r>
              <w:t>CONTRIBUTING.md Recipe 3</w:t>
            </w:r>
          </w:p>
        </w:tc>
      </w:tr>
    </w:tbl>
    <w:p/>
    <w:p>
      <w:pPr>
        <w:pStyle w:val="Heading1"/>
      </w:pPr>
      <w:r>
        <w:t>6.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3216"/>
          </w:tcPr>
          <w:p>
            <w:r>
              <w:t>Performance</w:t>
            </w:r>
          </w:p>
        </w:tc>
        <w:tc>
          <w:tcPr>
            <w:tcW w:type="dxa" w:w="3216"/>
          </w:tcPr>
          <w:p>
            <w:r>
              <w:t>Framework overhead p95</w:t>
            </w:r>
          </w:p>
        </w:tc>
        <w:tc>
          <w:tcPr>
            <w:tcW w:type="dxa" w:w="3216"/>
          </w:tcPr>
          <w:p>
            <w:r>
              <w:t>&lt; 50 ms (excluding LLM)</w:t>
            </w:r>
          </w:p>
        </w:tc>
      </w:tr>
      <w:tr>
        <w:tc>
          <w:tcPr>
            <w:tcW w:type="dxa" w:w="3216"/>
          </w:tcPr>
          <w:p>
            <w:r>
              <w:t>Performance</w:t>
            </w:r>
          </w:p>
        </w:tc>
        <w:tc>
          <w:tcPr>
            <w:tcW w:type="dxa" w:w="3216"/>
          </w:tcPr>
          <w:p>
            <w:r>
              <w:t>First-token latency p95 with cloud LLM</w:t>
            </w:r>
          </w:p>
        </w:tc>
        <w:tc>
          <w:tcPr>
            <w:tcW w:type="dxa" w:w="3216"/>
          </w:tcPr>
          <w:p>
            <w:r>
              <w:t>&lt; 2,000 ms</w:t>
            </w:r>
          </w:p>
        </w:tc>
      </w:tr>
      <w:tr>
        <w:tc>
          <w:tcPr>
            <w:tcW w:type="dxa" w:w="3216"/>
          </w:tcPr>
          <w:p>
            <w:r>
              <w:t>Performance</w:t>
            </w:r>
          </w:p>
        </w:tc>
        <w:tc>
          <w:tcPr>
            <w:tcW w:type="dxa" w:w="3216"/>
          </w:tcPr>
          <w:p>
            <w:r>
              <w:t>Sustained QPS per 2-vCPU pod, mock LLM</w:t>
            </w:r>
          </w:p>
        </w:tc>
        <w:tc>
          <w:tcPr>
            <w:tcW w:type="dxa" w:w="3216"/>
          </w:tcPr>
          <w:p>
            <w:r>
              <w:t>≥ 500</w:t>
            </w:r>
          </w:p>
        </w:tc>
      </w:tr>
      <w:tr>
        <w:tc>
          <w:tcPr>
            <w:tcW w:type="dxa" w:w="3216"/>
          </w:tcPr>
          <w:p>
            <w:r>
              <w:t>Availability</w:t>
            </w:r>
          </w:p>
        </w:tc>
        <w:tc>
          <w:tcPr>
            <w:tcW w:type="dxa" w:w="3216"/>
          </w:tcPr>
          <w:p>
            <w:r>
              <w:t>SLO</w:t>
            </w:r>
          </w:p>
        </w:tc>
        <w:tc>
          <w:tcPr>
            <w:tcW w:type="dxa" w:w="3216"/>
          </w:tcPr>
          <w:p>
            <w:r>
              <w:t>99.9% monthly</w:t>
            </w:r>
          </w:p>
        </w:tc>
      </w:tr>
      <w:tr>
        <w:tc>
          <w:tcPr>
            <w:tcW w:type="dxa" w:w="3216"/>
          </w:tcPr>
          <w:p>
            <w:r>
              <w:t>Availability</w:t>
            </w:r>
          </w:p>
        </w:tc>
        <w:tc>
          <w:tcPr>
            <w:tcW w:type="dxa" w:w="3216"/>
          </w:tcPr>
          <w:p>
            <w:r>
              <w:t>RPO (audit log)</w:t>
            </w:r>
          </w:p>
        </w:tc>
        <w:tc>
          <w:tcPr>
            <w:tcW w:type="dxa" w:w="3216"/>
          </w:tcPr>
          <w:p>
            <w:r>
              <w:t>≤ 5 min with cross-region replication</w:t>
            </w:r>
          </w:p>
        </w:tc>
      </w:tr>
      <w:tr>
        <w:tc>
          <w:tcPr>
            <w:tcW w:type="dxa" w:w="3216"/>
          </w:tcPr>
          <w:p>
            <w:r>
              <w:t>Availability</w:t>
            </w:r>
          </w:p>
        </w:tc>
        <w:tc>
          <w:tcPr>
            <w:tcW w:type="dxa" w:w="3216"/>
          </w:tcPr>
          <w:p>
            <w:r>
              <w:t>RTO</w:t>
            </w:r>
          </w:p>
        </w:tc>
        <w:tc>
          <w:tcPr>
            <w:tcW w:type="dxa" w:w="3216"/>
          </w:tcPr>
          <w:p>
            <w:r>
              <w:t>≤ 15 min cold region cutover</w:t>
            </w:r>
          </w:p>
        </w:tc>
      </w:tr>
      <w:tr>
        <w:tc>
          <w:tcPr>
            <w:tcW w:type="dxa" w:w="3216"/>
          </w:tcPr>
          <w:p>
            <w:r>
              <w:t>Scalability</w:t>
            </w:r>
          </w:p>
        </w:tc>
        <w:tc>
          <w:tcPr>
            <w:tcW w:type="dxa" w:w="3216"/>
          </w:tcPr>
          <w:p>
            <w:r>
              <w:t>Stateless scale-out per pod</w:t>
            </w:r>
          </w:p>
        </w:tc>
        <w:tc>
          <w:tcPr>
            <w:tcW w:type="dxa" w:w="3216"/>
          </w:tcPr>
          <w:p>
            <w:r>
              <w:t>Linear to at least 50 pods</w:t>
            </w:r>
          </w:p>
        </w:tc>
      </w:tr>
      <w:tr>
        <w:tc>
          <w:tcPr>
            <w:tcW w:type="dxa" w:w="3216"/>
          </w:tcPr>
          <w:p>
            <w:r>
              <w:t>Resource</w:t>
            </w:r>
          </w:p>
        </w:tc>
        <w:tc>
          <w:tcPr>
            <w:tcW w:type="dxa" w:w="3216"/>
          </w:tcPr>
          <w:p>
            <w:r>
              <w:t>Per-pod base memory</w:t>
            </w:r>
          </w:p>
        </w:tc>
        <w:tc>
          <w:tcPr>
            <w:tcW w:type="dxa" w:w="3216"/>
          </w:tcPr>
          <w:p>
            <w:r>
              <w:t>≤ 600 MiB with Presidio</w:t>
            </w:r>
          </w:p>
        </w:tc>
      </w:tr>
      <w:tr>
        <w:tc>
          <w:tcPr>
            <w:tcW w:type="dxa" w:w="3216"/>
          </w:tcPr>
          <w:p>
            <w:r>
              <w:t>Resource</w:t>
            </w:r>
          </w:p>
        </w:tc>
        <w:tc>
          <w:tcPr>
            <w:tcW w:type="dxa" w:w="3216"/>
          </w:tcPr>
          <w:p>
            <w:r>
              <w:t>Cold start</w:t>
            </w:r>
          </w:p>
        </w:tc>
        <w:tc>
          <w:tcPr>
            <w:tcW w:type="dxa" w:w="3216"/>
          </w:tcPr>
          <w:p>
            <w:r>
              <w:t>≤ 2 s (sub-1s with Presidio warm)</w:t>
            </w:r>
          </w:p>
        </w:tc>
      </w:tr>
      <w:tr>
        <w:tc>
          <w:tcPr>
            <w:tcW w:type="dxa" w:w="3216"/>
          </w:tcPr>
          <w:p>
            <w:r>
              <w:t>Security</w:t>
            </w:r>
          </w:p>
        </w:tc>
        <w:tc>
          <w:tcPr>
            <w:tcW w:type="dxa" w:w="3216"/>
          </w:tcPr>
          <w:p>
            <w:r>
              <w:t>Audit tamper evidence</w:t>
            </w:r>
          </w:p>
        </w:tc>
        <w:tc>
          <w:tcPr>
            <w:tcW w:type="dxa" w:w="3216"/>
          </w:tcPr>
          <w:p>
            <w:r>
              <w:t>HMAC-SHA256 per record; 100% of 5000+ records verifiable</w:t>
            </w:r>
          </w:p>
        </w:tc>
      </w:tr>
      <w:tr>
        <w:tc>
          <w:tcPr>
            <w:tcW w:type="dxa" w:w="3216"/>
          </w:tcPr>
          <w:p>
            <w:r>
              <w:t>Security</w:t>
            </w:r>
          </w:p>
        </w:tc>
        <w:tc>
          <w:tcPr>
            <w:tcW w:type="dxa" w:w="3216"/>
          </w:tcPr>
          <w:p>
            <w:r>
              <w:t>Adversarial probe pass rate</w:t>
            </w:r>
          </w:p>
        </w:tc>
        <w:tc>
          <w:tcPr>
            <w:tcW w:type="dxa" w:w="3216"/>
          </w:tcPr>
          <w:p>
            <w:r>
              <w:t>≥ 90% overall; 100% critical-severity</w:t>
            </w:r>
          </w:p>
        </w:tc>
      </w:tr>
      <w:tr>
        <w:tc>
          <w:tcPr>
            <w:tcW w:type="dxa" w:w="3216"/>
          </w:tcPr>
          <w:p>
            <w:r>
              <w:t>Reliability</w:t>
            </w:r>
          </w:p>
        </w:tc>
        <w:tc>
          <w:tcPr>
            <w:tcW w:type="dxa" w:w="3216"/>
          </w:tcPr>
          <w:p>
            <w:r>
              <w:t>Circuit breaker recovery</w:t>
            </w:r>
          </w:p>
        </w:tc>
        <w:tc>
          <w:tcPr>
            <w:tcW w:type="dxa" w:w="3216"/>
          </w:tcPr>
          <w:p>
            <w:r>
              <w:t>30-second half-open probe; configurable</w:t>
            </w:r>
          </w:p>
        </w:tc>
      </w:tr>
      <w:tr>
        <w:tc>
          <w:tcPr>
            <w:tcW w:type="dxa" w:w="3216"/>
          </w:tcPr>
          <w:p>
            <w:r>
              <w:t>Testability</w:t>
            </w:r>
          </w:p>
        </w:tc>
        <w:tc>
          <w:tcPr>
            <w:tcW w:type="dxa" w:w="3216"/>
          </w:tcPr>
          <w:p>
            <w:r>
              <w:t>Code coverage</w:t>
            </w:r>
          </w:p>
        </w:tc>
        <w:tc>
          <w:tcPr>
            <w:tcW w:type="dxa" w:w="3216"/>
          </w:tcPr>
          <w:p>
            <w:r>
              <w:t>≥ 70% on core packages (currently 81.6%)</w:t>
            </w:r>
          </w:p>
        </w:tc>
      </w:tr>
      <w:tr>
        <w:tc>
          <w:tcPr>
            <w:tcW w:type="dxa" w:w="3216"/>
          </w:tcPr>
          <w:p>
            <w:r>
              <w:t>Compatibility</w:t>
            </w:r>
          </w:p>
        </w:tc>
        <w:tc>
          <w:tcPr>
            <w:tcW w:type="dxa" w:w="3216"/>
          </w:tcPr>
          <w:p>
            <w:r>
              <w:t>Python</w:t>
            </w:r>
          </w:p>
        </w:tc>
        <w:tc>
          <w:tcPr>
            <w:tcW w:type="dxa" w:w="3216"/>
          </w:tcPr>
          <w:p>
            <w:r>
              <w:t>3.10, 3.11, 3.12</w:t>
            </w:r>
          </w:p>
        </w:tc>
      </w:tr>
      <w:tr>
        <w:tc>
          <w:tcPr>
            <w:tcW w:type="dxa" w:w="3216"/>
          </w:tcPr>
          <w:p>
            <w:r>
              <w:t>Compatibility</w:t>
            </w:r>
          </w:p>
        </w:tc>
        <w:tc>
          <w:tcPr>
            <w:tcW w:type="dxa" w:w="3216"/>
          </w:tcPr>
          <w:p>
            <w:r>
              <w:t>Operating systems</w:t>
            </w:r>
          </w:p>
        </w:tc>
        <w:tc>
          <w:tcPr>
            <w:tcW w:type="dxa" w:w="3216"/>
          </w:tcPr>
          <w:p>
            <w:r>
              <w:t>Linux (primary), Windows (dev), macOS (dev)</w:t>
            </w:r>
          </w:p>
        </w:tc>
      </w:tr>
    </w:tbl>
    <w:p/>
    <w:p>
      <w:pPr>
        <w:pStyle w:val="Heading1"/>
      </w:pPr>
      <w:r>
        <w:t>7. Compliance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Regulation / Framework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Mechanism</w:t>
            </w:r>
          </w:p>
        </w:tc>
      </w:tr>
      <w:tr>
        <w:tc>
          <w:tcPr>
            <w:tcW w:type="dxa" w:w="3216"/>
          </w:tcPr>
          <w:p>
            <w:r>
              <w:t>GDPR Art. 15</w:t>
            </w:r>
          </w:p>
        </w:tc>
        <w:tc>
          <w:tcPr>
            <w:tcW w:type="dxa" w:w="3216"/>
          </w:tcPr>
          <w:p>
            <w:r>
              <w:t>Right of access fulfilled within 30 days</w:t>
            </w:r>
          </w:p>
        </w:tc>
        <w:tc>
          <w:tcPr>
            <w:tcW w:type="dxa" w:w="3216"/>
          </w:tcPr>
          <w:p>
            <w:r>
              <w:t>DSAR CLI + export API</w:t>
            </w:r>
          </w:p>
        </w:tc>
      </w:tr>
      <w:tr>
        <w:tc>
          <w:tcPr>
            <w:tcW w:type="dxa" w:w="3216"/>
          </w:tcPr>
          <w:p>
            <w:r>
              <w:t>GDPR Art. 17</w:t>
            </w:r>
          </w:p>
        </w:tc>
        <w:tc>
          <w:tcPr>
            <w:tcW w:type="dxa" w:w="3216"/>
          </w:tcPr>
          <w:p>
            <w:r>
              <w:t>Right to erasure fulfilled</w:t>
            </w:r>
          </w:p>
        </w:tc>
        <w:tc>
          <w:tcPr>
            <w:tcW w:type="dxa" w:w="3216"/>
          </w:tcPr>
          <w:p>
            <w:r>
              <w:t>Erasure CLI + 7-store scrubbing</w:t>
            </w:r>
          </w:p>
        </w:tc>
      </w:tr>
      <w:tr>
        <w:tc>
          <w:tcPr>
            <w:tcW w:type="dxa" w:w="3216"/>
          </w:tcPr>
          <w:p>
            <w:r>
              <w:t>GDPR Art. 25</w:t>
            </w:r>
          </w:p>
        </w:tc>
        <w:tc>
          <w:tcPr>
            <w:tcW w:type="dxa" w:w="3216"/>
          </w:tcPr>
          <w:p>
            <w:r>
              <w:t>Privacy by design</w:t>
            </w:r>
          </w:p>
        </w:tc>
        <w:tc>
          <w:tcPr>
            <w:tcW w:type="dxa" w:w="3216"/>
          </w:tcPr>
          <w:p>
            <w:r>
              <w:t>Defaults fail closed; PII redacted before LLM</w:t>
            </w:r>
          </w:p>
        </w:tc>
      </w:tr>
      <w:tr>
        <w:tc>
          <w:tcPr>
            <w:tcW w:type="dxa" w:w="3216"/>
          </w:tcPr>
          <w:p>
            <w:r>
              <w:t>GDPR Art. 30</w:t>
            </w:r>
          </w:p>
        </w:tc>
        <w:tc>
          <w:tcPr>
            <w:tcW w:type="dxa" w:w="3216"/>
          </w:tcPr>
          <w:p>
            <w:r>
              <w:t>Records of processing</w:t>
            </w:r>
          </w:p>
        </w:tc>
        <w:tc>
          <w:tcPr>
            <w:tcW w:type="dxa" w:w="3216"/>
          </w:tcPr>
          <w:p>
            <w:r>
              <w:t>HMAC-chained audit, 26 event types</w:t>
            </w:r>
          </w:p>
        </w:tc>
      </w:tr>
      <w:tr>
        <w:tc>
          <w:tcPr>
            <w:tcW w:type="dxa" w:w="3216"/>
          </w:tcPr>
          <w:p>
            <w:r>
              <w:t>GDPR Art. 32</w:t>
            </w:r>
          </w:p>
        </w:tc>
        <w:tc>
          <w:tcPr>
            <w:tcW w:type="dxa" w:w="3216"/>
          </w:tcPr>
          <w:p>
            <w:r>
              <w:t>Security of processing</w:t>
            </w:r>
          </w:p>
        </w:tc>
        <w:tc>
          <w:tcPr>
            <w:tcW w:type="dxa" w:w="3216"/>
          </w:tcPr>
          <w:p>
            <w:r>
              <w:t>See Security Architecture doc</w:t>
            </w:r>
          </w:p>
        </w:tc>
      </w:tr>
      <w:tr>
        <w:tc>
          <w:tcPr>
            <w:tcW w:type="dxa" w:w="3216"/>
          </w:tcPr>
          <w:p>
            <w:r>
              <w:t>CCPA / CPRA</w:t>
            </w:r>
          </w:p>
        </w:tc>
        <w:tc>
          <w:tcPr>
            <w:tcW w:type="dxa" w:w="3216"/>
          </w:tcPr>
          <w:p>
            <w:r>
              <w:t>Right to know / delete</w:t>
            </w:r>
          </w:p>
        </w:tc>
        <w:tc>
          <w:tcPr>
            <w:tcW w:type="dxa" w:w="3216"/>
          </w:tcPr>
          <w:p>
            <w:r>
              <w:t>Same as GDPR 15/17</w:t>
            </w:r>
          </w:p>
        </w:tc>
      </w:tr>
      <w:tr>
        <w:tc>
          <w:tcPr>
            <w:tcW w:type="dxa" w:w="3216"/>
          </w:tcPr>
          <w:p>
            <w:r>
              <w:t>HIPAA §164.312</w:t>
            </w:r>
          </w:p>
        </w:tc>
        <w:tc>
          <w:tcPr>
            <w:tcW w:type="dxa" w:w="3216"/>
          </w:tcPr>
          <w:p>
            <w:r>
              <w:t>Audit / integrity / transmission security</w:t>
            </w:r>
          </w:p>
        </w:tc>
        <w:tc>
          <w:tcPr>
            <w:tcW w:type="dxa" w:w="3216"/>
          </w:tcPr>
          <w:p>
            <w:r>
              <w:t>HMAC chain + verify_chain + TLS + data sovereignty</w:t>
            </w:r>
          </w:p>
        </w:tc>
      </w:tr>
      <w:tr>
        <w:tc>
          <w:tcPr>
            <w:tcW w:type="dxa" w:w="3216"/>
          </w:tcPr>
          <w:p>
            <w:r>
              <w:t>SEC 17a-4(f)</w:t>
            </w:r>
          </w:p>
        </w:tc>
        <w:tc>
          <w:tcPr>
            <w:tcW w:type="dxa" w:w="3216"/>
          </w:tcPr>
          <w:p>
            <w:r>
              <w:t>Electronic records WORM for 6 years</w:t>
            </w:r>
          </w:p>
        </w:tc>
        <w:tc>
          <w:tcPr>
            <w:tcW w:type="dxa" w:w="3216"/>
          </w:tcPr>
          <w:p>
            <w:r>
              <w:t>WORMAuditBackend paired with S3 Object Lock</w:t>
            </w:r>
          </w:p>
        </w:tc>
      </w:tr>
      <w:tr>
        <w:tc>
          <w:tcPr>
            <w:tcW w:type="dxa" w:w="3216"/>
          </w:tcPr>
          <w:p>
            <w:r>
              <w:t>FINRA 4511</w:t>
            </w:r>
          </w:p>
        </w:tc>
        <w:tc>
          <w:tcPr>
            <w:tcW w:type="dxa" w:w="3216"/>
          </w:tcPr>
          <w:p>
            <w:r>
              <w:t>Retention 6 years for broker-dealer records</w:t>
            </w:r>
          </w:p>
        </w:tc>
        <w:tc>
          <w:tcPr>
            <w:tcW w:type="dxa" w:w="3216"/>
          </w:tcPr>
          <w:p>
            <w:r>
              <w:t>RetentionPolicy defaults</w:t>
            </w:r>
          </w:p>
        </w:tc>
      </w:tr>
      <w:tr>
        <w:tc>
          <w:tcPr>
            <w:tcW w:type="dxa" w:w="3216"/>
          </w:tcPr>
          <w:p>
            <w:r>
              <w:t>SOX §404</w:t>
            </w:r>
          </w:p>
        </w:tc>
        <w:tc>
          <w:tcPr>
            <w:tcW w:type="dxa" w:w="3216"/>
          </w:tcPr>
          <w:p>
            <w:r>
              <w:t>Change controls</w:t>
            </w:r>
          </w:p>
        </w:tc>
        <w:tc>
          <w:tcPr>
            <w:tcW w:type="dxa" w:w="3216"/>
          </w:tcPr>
          <w:p>
            <w:r>
              <w:t>Signed spec + audit of routing/prompt mutations</w:t>
            </w:r>
          </w:p>
        </w:tc>
      </w:tr>
      <w:tr>
        <w:tc>
          <w:tcPr>
            <w:tcW w:type="dxa" w:w="3216"/>
          </w:tcPr>
          <w:p>
            <w:r>
              <w:t>AIUC-1</w:t>
            </w:r>
          </w:p>
        </w:tc>
        <w:tc>
          <w:tcPr>
            <w:tcW w:type="dxa" w:w="3216"/>
          </w:tcPr>
          <w:p>
            <w:r>
              <w:t>All 6 domains</w:t>
            </w:r>
          </w:p>
        </w:tc>
        <w:tc>
          <w:tcPr>
            <w:tcW w:type="dxa" w:w="3216"/>
          </w:tcPr>
          <w:p>
            <w:r>
              <w:t>See AIUC-1 crosswalk</w:t>
            </w:r>
          </w:p>
        </w:tc>
      </w:tr>
    </w:tbl>
    <w:p/>
    <w:p>
      <w:pPr>
        <w:pStyle w:val="Heading1"/>
      </w:pPr>
      <w:r>
        <w:t>8. Release Criteria</w:t>
      </w:r>
    </w:p>
    <w:p>
      <w:pPr>
        <w:pStyle w:val="ListNumber"/>
      </w:pPr>
      <w:r>
        <w:t>All six audit test suites pass (test_security, test_privacy, test_observability, test_enterprise, test_staff_review, test_staff_review_round2).</w:t>
      </w:r>
    </w:p>
    <w:p>
      <w:pPr>
        <w:pStyle w:val="ListNumber"/>
      </w:pPr>
      <w:r>
        <w:t>Coverage ≥ 70% on core packages (spec, critic, trainer, sentinel, resilience, observability, system.py).</w:t>
      </w:r>
    </w:p>
    <w:p>
      <w:pPr>
        <w:pStyle w:val="ListNumber"/>
      </w:pPr>
      <w:r>
        <w:t>pip-audit --strict passes; CycloneDX SBOM artifact generated.</w:t>
      </w:r>
    </w:p>
    <w:p>
      <w:pPr>
        <w:pStyle w:val="ListNumber"/>
      </w:pPr>
      <w:r>
        <w:t>CI secret scan passes.</w:t>
      </w:r>
    </w:p>
    <w:p>
      <w:pPr>
        <w:pStyle w:val="ListNumber"/>
      </w:pPr>
      <w:r>
        <w:t>Adversarial probe suite: 100% critical-severity pass, ≥ 90% overall.</w:t>
      </w:r>
    </w:p>
    <w:p>
      <w:pPr>
        <w:pStyle w:val="ListNumber"/>
      </w:pPr>
      <w:r>
        <w:t>STC_Framework_Architecture_and_Capabilities.docx reflects current shipped capabilities.</w:t>
      </w:r>
    </w:p>
    <w:p>
      <w:pPr>
        <w:pStyle w:val="ListNumber"/>
      </w:pPr>
      <w:r>
        <w:t>CHANGELOG.md entry for every change under ## [Unreleased].</w:t>
      </w:r>
    </w:p>
    <w:p>
      <w:pPr>
        <w:pStyle w:val="ListNumber"/>
      </w:pPr>
      <w:r>
        <w:t>Public API additions referenced in docs/ARCHITECTURE.md or docs/DECISIONS.md.</w:t>
      </w:r>
    </w:p>
    <w:p>
      <w:pPr>
        <w:pStyle w:val="Heading1"/>
      </w:pPr>
      <w:r>
        <w:t>9. Out-of-Scope &amp; Roadmap</w:t>
      </w:r>
    </w:p>
    <w:p>
      <w:pPr>
        <w:pStyle w:val="Heading2"/>
      </w:pPr>
      <w:r>
        <w:t>9.1 Explicitly Out of Scope for v0.2.x</w:t>
      </w:r>
    </w:p>
    <w:p>
      <w:pPr>
        <w:pStyle w:val="ListBullet"/>
      </w:pPr>
      <w:r>
        <w:t>Multi-region active-active with shared state stores.</w:t>
      </w:r>
    </w:p>
    <w:p>
      <w:pPr>
        <w:pStyle w:val="ListBullet"/>
      </w:pPr>
      <w:r>
        <w:t>Streaming LLM responses (SSE / WebSocket).</w:t>
      </w:r>
    </w:p>
    <w:p>
      <w:pPr>
        <w:pStyle w:val="ListBullet"/>
      </w:pPr>
      <w:r>
        <w:t>Shadow-mode / canary deployment of prompt or routing changes.</w:t>
      </w:r>
    </w:p>
    <w:p>
      <w:pPr>
        <w:pStyle w:val="ListBullet"/>
      </w:pPr>
      <w:r>
        <w:t>Feature-flag / kill-switch system.</w:t>
      </w:r>
    </w:p>
    <w:p>
      <w:pPr>
        <w:pStyle w:val="ListBullet"/>
      </w:pPr>
      <w:r>
        <w:t>Multi-language SDKs (Python only).</w:t>
      </w:r>
    </w:p>
    <w:p>
      <w:pPr>
        <w:pStyle w:val="ListBullet"/>
      </w:pPr>
      <w:r>
        <w:t>In-product chat UI.</w:t>
      </w:r>
    </w:p>
    <w:p>
      <w:pPr>
        <w:pStyle w:val="Heading2"/>
      </w:pPr>
      <w:r>
        <w:t>9.2 Tier-2 Roadmap</w:t>
      </w:r>
    </w:p>
    <w:p>
      <w:r>
        <w:rPr>
          <w:sz w:val="22"/>
        </w:rPr>
        <w:t>Full roadmap in docs/security/STAFF_REVIEW.md. Highlights:</w:t>
      </w:r>
    </w:p>
    <w:p>
      <w:pPr>
        <w:pStyle w:val="ListBullet"/>
      </w:pPr>
      <w:r>
        <w:t>S9 — Per-SystemContext DI to support multiple STCSystem instances in one process.</w:t>
      </w:r>
    </w:p>
    <w:p>
      <w:pPr>
        <w:pStyle w:val="ListBullet"/>
      </w:pPr>
      <w:r>
        <w:t>S10 — Streaming LLM responses with rail-on-partial-text semantics.</w:t>
      </w:r>
    </w:p>
    <w:p>
      <w:pPr>
        <w:pStyle w:val="ListBullet"/>
      </w:pPr>
      <w:r>
        <w:t>S11 — Shadow-mode for prompt rollouts (run, record, don't enforce).</w:t>
      </w:r>
    </w:p>
    <w:p>
      <w:pPr>
        <w:pStyle w:val="ListBullet"/>
      </w:pPr>
      <w:r>
        <w:t>S12 — Env-driven feature flags / kill switches for incident response.</w:t>
      </w:r>
    </w:p>
    <w:p>
      <w:pPr>
        <w:pStyle w:val="ListBullet"/>
      </w:pPr>
      <w:r>
        <w:t>S13 — Chaos test harness (failure injection, clock skew, disk full).</w:t>
      </w:r>
    </w:p>
    <w:p>
      <w:pPr>
        <w:pStyle w:val="ListBullet"/>
      </w:pPr>
      <w:r>
        <w:t>S14 — Performance benchmark regression gates in CI.</w:t>
      </w:r>
    </w:p>
    <w:p>
      <w:pPr>
        <w:pStyle w:val="ListBullet"/>
      </w:pPr>
      <w:r>
        <w:t>S15 — Public API stability annotations (@public vs @experimental).</w:t>
      </w:r>
    </w:p>
    <w:p>
      <w:pPr>
        <w:pStyle w:val="ListBullet"/>
      </w:pPr>
      <w:r>
        <w:t>S16 — Config hot-reload.</w:t>
      </w:r>
    </w:p>
    <w:p>
      <w:pPr>
        <w:pStyle w:val="ListBullet"/>
      </w:pPr>
      <w:r>
        <w:t>S17 — Multi-region shared-state adapters (Redis, Postgres).</w:t>
      </w:r>
    </w:p>
    <w:p>
      <w:pPr>
        <w:pStyle w:val="ListBullet"/>
      </w:pPr>
      <w:r>
        <w:t>S18 — LLM model-drift / output-fingerprint detection.</w:t>
      </w:r>
    </w:p>
    <w:p>
      <w:pPr>
        <w:pStyle w:val="Heading1"/>
      </w:pPr>
      <w:r>
        <w:t>10.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0E7FF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824"/>
            <w:shd w:val="clear" w:color="auto" w:fill="E0E7FF"/>
          </w:tcPr>
          <w:p>
            <w:r>
              <w:rPr>
                <w:b/>
              </w:rPr>
              <w:t>Target (first 12 months post-launch)</w:t>
            </w:r>
          </w:p>
        </w:tc>
      </w:tr>
      <w:tr>
        <w:tc>
          <w:tcPr>
            <w:tcW w:type="dxa" w:w="4824"/>
          </w:tcPr>
          <w:p>
            <w:r>
              <w:t>Regulated enterprise deployments</w:t>
            </w:r>
          </w:p>
        </w:tc>
        <w:tc>
          <w:tcPr>
            <w:tcW w:type="dxa" w:w="4824"/>
          </w:tcPr>
          <w:p>
            <w:r>
              <w:t>≥ 5</w:t>
            </w:r>
          </w:p>
        </w:tc>
      </w:tr>
      <w:tr>
        <w:tc>
          <w:tcPr>
            <w:tcW w:type="dxa" w:w="4824"/>
          </w:tcPr>
          <w:p>
            <w:r>
              <w:t>Third-party audit passes</w:t>
            </w:r>
          </w:p>
        </w:tc>
        <w:tc>
          <w:tcPr>
            <w:tcW w:type="dxa" w:w="4824"/>
          </w:tcPr>
          <w:p>
            <w:r>
              <w:t>≥ 2 (SOC 2 Type II, ISO 27001, or equivalent)</w:t>
            </w:r>
          </w:p>
        </w:tc>
      </w:tr>
      <w:tr>
        <w:tc>
          <w:tcPr>
            <w:tcW w:type="dxa" w:w="4824"/>
          </w:tcPr>
          <w:p>
            <w:r>
              <w:t>Security incidents rooted in framework</w:t>
            </w:r>
          </w:p>
        </w:tc>
        <w:tc>
          <w:tcPr>
            <w:tcW w:type="dxa" w:w="4824"/>
          </w:tcPr>
          <w:p>
            <w:r>
              <w:t>0 P0; ≤ 2 P1</w:t>
            </w:r>
          </w:p>
        </w:tc>
      </w:tr>
      <w:tr>
        <w:tc>
          <w:tcPr>
            <w:tcW w:type="dxa" w:w="4824"/>
          </w:tcPr>
          <w:p>
            <w:r>
              <w:t>Mean time to add a new rail</w:t>
            </w:r>
          </w:p>
        </w:tc>
        <w:tc>
          <w:tcPr>
            <w:tcW w:type="dxa" w:w="4824"/>
          </w:tcPr>
          <w:p>
            <w:r>
              <w:t>≤ 2 hours for a junior engineer (CONTRIBUTING Recipe 1 time)</w:t>
            </w:r>
          </w:p>
        </w:tc>
      </w:tr>
      <w:tr>
        <w:tc>
          <w:tcPr>
            <w:tcW w:type="dxa" w:w="4824"/>
          </w:tcPr>
          <w:p>
            <w:r>
              <w:t>Hallucination rate in reference Financial Q&amp;A</w:t>
            </w:r>
          </w:p>
        </w:tc>
        <w:tc>
          <w:tcPr>
            <w:tcW w:type="dxa" w:w="4824"/>
          </w:tcPr>
          <w:p>
            <w:r>
              <w:t>&lt; 2%</w:t>
            </w:r>
          </w:p>
        </w:tc>
      </w:tr>
      <w:tr>
        <w:tc>
          <w:tcPr>
            <w:tcW w:type="dxa" w:w="4824"/>
          </w:tcPr>
          <w:p>
            <w:r>
              <w:t>Adversarial probe pass rate (critical)</w:t>
            </w:r>
          </w:p>
        </w:tc>
        <w:tc>
          <w:tcPr>
            <w:tcW w:type="dxa" w:w="4824"/>
          </w:tcPr>
          <w:p>
            <w:r>
              <w:t>100%</w:t>
            </w:r>
          </w:p>
        </w:tc>
      </w:tr>
      <w:tr>
        <w:tc>
          <w:tcPr>
            <w:tcW w:type="dxa" w:w="4824"/>
          </w:tcPr>
          <w:p>
            <w:r>
              <w:t>Framework-overhead p95</w:t>
            </w:r>
          </w:p>
        </w:tc>
        <w:tc>
          <w:tcPr>
            <w:tcW w:type="dxa" w:w="4824"/>
          </w:tcPr>
          <w:p>
            <w:r>
              <w:t>&lt; 50 ms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