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4A148C"/>
          <w:sz w:val="56"/>
          <w:szCs w:val="56"/>
        </w:rPr>
        <w:t xml:space="preserve">STC FRAMEWORK</w:t>
      </w:r>
    </w:p>
    <w:p>
      <w:pPr>
        <w:spacing w:after="120"/>
        <w:jc w:val="center"/>
      </w:pPr>
      <w:r>
        <w:rPr>
          <w:rFonts w:ascii="Arial" w:cs="Arial" w:eastAsia="Arial" w:hAnsi="Arial"/>
          <w:color w:val="6A1B9A"/>
          <w:sz w:val="36"/>
          <w:szCs w:val="36"/>
        </w:rPr>
        <w:t xml:space="preserve">Enterprise Risk Management</w:t>
      </w:r>
    </w:p>
    <w:p>
      <w:pPr>
        <w:spacing w:after="80"/>
        <w:jc w:val="center"/>
      </w:pPr>
      <w:r>
        <w:rPr>
          <w:rFonts w:ascii="Arial" w:cs="Arial" w:eastAsia="Arial" w:hAnsi="Arial"/>
          <w:color w:val="FF6F00"/>
          <w:sz w:val="28"/>
          <w:szCs w:val="28"/>
        </w:rPr>
        <w:t xml:space="preserve">AI System Risk Framework</w:t>
      </w:r>
    </w:p>
    <w:p>
      <w:pPr>
        <w:spacing w:after="400"/>
        <w:jc w:val="center"/>
      </w:pPr>
      <w:r>
        <w:rPr>
          <w:rFonts w:ascii="Arial" w:cs="Arial" w:eastAsia="Arial" w:hAnsi="Arial"/>
          <w:color w:val="757575"/>
          <w:sz w:val="22"/>
          <w:szCs w:val="22"/>
        </w:rPr>
        <w:t xml:space="preserve">COSO ERM · ISO 31000 · NIST AI RMF · OCC SR 11-7 · Three Lines Model</w:t>
      </w:r>
    </w:p>
    <w:p>
      <w:pPr>
        <w:spacing w:after="80"/>
      </w:pPr>
    </w:p>
    <w:p>
      <w:pPr>
        <w:spacing w:after="80"/>
      </w:pPr>
    </w:p>
    <w:p>
      <w:pPr>
        <w:spacing w:after="80"/>
      </w:pPr>
    </w:p>
    <w:p>
      <w:pPr>
        <w:spacing w:after="80"/>
      </w:pPr>
    </w:p>
    <w:p>
      <w:pPr>
        <w:spacing w:after="60"/>
        <w:jc w:val="center"/>
      </w:pPr>
      <w:r>
        <w:rPr>
          <w:rFonts w:ascii="Arial" w:cs="Arial" w:eastAsia="Arial" w:hAnsi="Arial"/>
          <w:color w:val="444444"/>
          <w:sz w:val="22"/>
          <w:szCs w:val="22"/>
        </w:rPr>
        <w:t xml:space="preserve">Author: Nitesh Ambastha</w:t>
      </w:r>
    </w:p>
    <w:p>
      <w:pPr>
        <w:spacing w:after="60"/>
        <w:jc w:val="center"/>
      </w:pPr>
      <w:r>
        <w:rPr>
          <w:rFonts w:ascii="Arial" w:cs="Arial" w:eastAsia="Arial" w:hAnsi="Arial"/>
          <w:color w:val="444444"/>
          <w:sz w:val="22"/>
          <w:szCs w:val="22"/>
        </w:rPr>
        <w:t xml:space="preserve">Version 1.0 — March 2026</w:t>
      </w:r>
    </w:p>
    <w:p>
      <w:pPr>
        <w:jc w:val="center"/>
      </w:pPr>
      <w:r>
        <w:rPr>
          <w:rFonts w:ascii="Arial" w:cs="Arial" w:eastAsia="Arial" w:hAnsi="Arial"/>
          <w:color w:val="757575"/>
          <w:sz w:val="20"/>
          <w:szCs w:val="20"/>
        </w:rPr>
        <w:t xml:space="preserve">For Risk Committee, Board Risk Oversight, and Regulatory Examination</w:t>
      </w:r>
    </w:p>
    <w:p>
      <w:r>
        <w:br w:type="page"/>
      </w:r>
    </w:p>
    <w:p>
      <w:pPr>
        <w:pStyle w:val="Heading1"/>
        <w:spacing w:before="360" w:after="200"/>
      </w:pPr>
      <w:r>
        <w:rPr>
          <w:rFonts w:ascii="Arial" w:cs="Arial" w:eastAsia="Arial" w:hAnsi="Arial"/>
          <w:b/>
          <w:bCs/>
          <w:color w:val="4A148C"/>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4A148C"/>
          <w:sz w:val="36"/>
          <w:szCs w:val="36"/>
        </w:rPr>
        <w:t xml:space="preserve">1. Risk Governance Structure</w:t>
      </w:r>
    </w:p>
    <w:p>
      <w:pPr>
        <w:spacing w:after="120"/>
      </w:pPr>
      <w:r>
        <w:rPr>
          <w:rFonts w:ascii="Arial" w:cs="Arial" w:eastAsia="Arial" w:hAnsi="Arial"/>
          <w:sz w:val="22"/>
          <w:szCs w:val="22"/>
        </w:rPr>
        <w:t xml:space="preserve">This section establishes the risk governance framework for the STC AI system, aligned with the IIA Three Lines Model and COSO ERM 2017 Principle 2 (Establishes Governance and Operating Structures).</w:t>
      </w:r>
    </w:p>
    <w:p>
      <w:pPr>
        <w:spacing w:after="80"/>
      </w:pPr>
    </w:p>
    <w:p>
      <w:pPr>
        <w:pStyle w:val="Heading2"/>
        <w:spacing w:before="280" w:after="160"/>
      </w:pPr>
      <w:r>
        <w:rPr>
          <w:rFonts w:ascii="Arial" w:cs="Arial" w:eastAsia="Arial" w:hAnsi="Arial"/>
          <w:b/>
          <w:bCs/>
          <w:color w:val="6A1B9A"/>
          <w:sz w:val="28"/>
          <w:szCs w:val="28"/>
        </w:rPr>
        <w:t xml:space="preserve">1.1 Three Lines of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5"/>
        <w:gridCol w:w="1276"/>
        <w:gridCol w:w="3616"/>
        <w:gridCol w:w="2553"/>
      </w:tblGrid>
      <w:tr>
        <w:trPr>
          <w:tblHeader/>
        </w:trPr>
        <w:tc>
          <w:tcPr>
            <w:tcW w:type="dxa" w:w="191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127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1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55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STC Mapping</w:t>
            </w:r>
          </w:p>
        </w:tc>
      </w:tr>
      <w:tr>
        <w:tc>
          <w:tcPr>
            <w:tcW w:type="dxa" w:w="191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First Line: Business &amp; Engineering</w:t>
            </w:r>
          </w:p>
        </w:tc>
        <w:tc>
          <w:tcPr>
            <w:tcW w:type="dxa" w:w="127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Risk Owners</w:t>
            </w:r>
          </w:p>
        </w:tc>
        <w:tc>
          <w:tcPr>
            <w:tcW w:type="dxa" w:w="361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Identify, assess, and manage risks in daily operations; implement controls; escalate emerging risks</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Engineering teams, Product Strategists, Delivery Leads, Stalwart/Trainer operators</w:t>
            </w:r>
          </w:p>
        </w:tc>
      </w:tr>
      <w:tr>
        <w:tc>
          <w:tcPr>
            <w:tcW w:type="dxa" w:w="191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Second Line: Risk Management &amp; Compliance</w:t>
            </w:r>
          </w:p>
        </w:tc>
        <w:tc>
          <w:tcPr>
            <w:tcW w:type="dxa" w:w="127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Risk Oversight</w:t>
            </w:r>
          </w:p>
        </w:tc>
        <w:tc>
          <w:tcPr>
            <w:tcW w:type="dxa" w:w="361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Define risk frameworks, set policies, monitor KRIs, challenge first line, report to committees</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Governance Committee, CISO, Compliance Officer, Model Risk Management</w:t>
            </w:r>
          </w:p>
        </w:tc>
      </w:tr>
      <w:tr>
        <w:tc>
          <w:tcPr>
            <w:tcW w:type="dxa" w:w="191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Third Line: Internal Audit</w:t>
            </w:r>
          </w:p>
        </w:tc>
        <w:tc>
          <w:tcPr>
            <w:tcW w:type="dxa" w:w="127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Independent Assurance</w:t>
            </w:r>
          </w:p>
        </w:tc>
        <w:tc>
          <w:tcPr>
            <w:tcW w:type="dxa" w:w="361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Independent evaluation of risk management effectiveness; report to audit committee/board</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Internal Audit (Control Testing Framework, exception review, annual assessment)</w:t>
            </w:r>
          </w:p>
        </w:tc>
      </w:tr>
    </w:tbl>
    <w:p>
      <w:pPr>
        <w:spacing w:after="80"/>
      </w:pPr>
    </w:p>
    <w:p>
      <w:pPr>
        <w:pStyle w:val="Heading2"/>
        <w:spacing w:before="280" w:after="160"/>
      </w:pPr>
      <w:r>
        <w:rPr>
          <w:rFonts w:ascii="Arial" w:cs="Arial" w:eastAsia="Arial" w:hAnsi="Arial"/>
          <w:b/>
          <w:bCs/>
          <w:color w:val="6A1B9A"/>
          <w:sz w:val="28"/>
          <w:szCs w:val="28"/>
        </w:rPr>
        <w:t xml:space="preserve">1.2 AI Risk Committee Charter</w:t>
      </w:r>
    </w:p>
    <w:p>
      <w:pPr>
        <w:spacing w:after="100"/>
      </w:pPr>
      <w:r>
        <w:rPr>
          <w:rFonts w:ascii="Arial" w:cs="Arial" w:eastAsia="Arial" w:hAnsi="Arial"/>
          <w:b/>
          <w:bCs/>
          <w:sz w:val="22"/>
          <w:szCs w:val="22"/>
        </w:rPr>
        <w:t xml:space="preserve">Name: </w:t>
      </w:r>
      <w:r>
        <w:rPr>
          <w:rFonts w:ascii="Arial" w:cs="Arial" w:eastAsia="Arial" w:hAnsi="Arial"/>
          <w:sz w:val="22"/>
          <w:szCs w:val="22"/>
        </w:rPr>
        <w:t xml:space="preserve">AI Governance &amp; Risk Committee</w:t>
      </w:r>
    </w:p>
    <w:p>
      <w:pPr>
        <w:spacing w:after="100"/>
      </w:pPr>
      <w:r>
        <w:rPr>
          <w:rFonts w:ascii="Arial" w:cs="Arial" w:eastAsia="Arial" w:hAnsi="Arial"/>
          <w:b/>
          <w:bCs/>
          <w:sz w:val="22"/>
          <w:szCs w:val="22"/>
        </w:rPr>
        <w:t xml:space="preserve">Chair: </w:t>
      </w:r>
      <w:r>
        <w:rPr>
          <w:rFonts w:ascii="Arial" w:cs="Arial" w:eastAsia="Arial" w:hAnsi="Arial"/>
          <w:sz w:val="22"/>
          <w:szCs w:val="22"/>
        </w:rPr>
        <w:t xml:space="preserve">Global CIO</w:t>
      </w:r>
    </w:p>
    <w:p>
      <w:pPr>
        <w:spacing w:after="100"/>
      </w:pPr>
      <w:r>
        <w:rPr>
          <w:rFonts w:ascii="Arial" w:cs="Arial" w:eastAsia="Arial" w:hAnsi="Arial"/>
          <w:b/>
          <w:bCs/>
          <w:sz w:val="22"/>
          <w:szCs w:val="22"/>
        </w:rPr>
        <w:t xml:space="preserve">Membership: </w:t>
      </w:r>
      <w:r>
        <w:rPr>
          <w:rFonts w:ascii="Arial" w:cs="Arial" w:eastAsia="Arial" w:hAnsi="Arial"/>
          <w:sz w:val="22"/>
          <w:szCs w:val="22"/>
        </w:rPr>
        <w:t xml:space="preserve">CISO, Chief Compliance Officer, Head of Model Risk, Head of Data Privacy (DPO), representative from Internal Audit (observer), representative from Legal.</w:t>
      </w:r>
    </w:p>
    <w:p>
      <w:pPr>
        <w:spacing w:after="100"/>
      </w:pPr>
      <w:r>
        <w:rPr>
          <w:rFonts w:ascii="Arial" w:cs="Arial" w:eastAsia="Arial" w:hAnsi="Arial"/>
          <w:b/>
          <w:bCs/>
          <w:sz w:val="22"/>
          <w:szCs w:val="22"/>
        </w:rPr>
        <w:t xml:space="preserve">Meeting Cadence: </w:t>
      </w:r>
      <w:r>
        <w:rPr>
          <w:rFonts w:ascii="Arial" w:cs="Arial" w:eastAsia="Arial" w:hAnsi="Arial"/>
          <w:sz w:val="22"/>
          <w:szCs w:val="22"/>
        </w:rPr>
        <w:t xml:space="preserve">Monthly (standard), ad-hoc for material risk events (SEV-1, SEV-2 with regulatory implications).</w:t>
      </w:r>
    </w:p>
    <w:p>
      <w:pPr>
        <w:spacing w:after="100"/>
      </w:pPr>
      <w:r>
        <w:rPr>
          <w:rFonts w:ascii="Arial" w:cs="Arial" w:eastAsia="Arial" w:hAnsi="Arial"/>
          <w:b/>
          <w:bCs/>
          <w:sz w:val="22"/>
          <w:szCs w:val="22"/>
        </w:rPr>
        <w:t xml:space="preserve">Quorum: </w:t>
      </w:r>
      <w:r>
        <w:rPr>
          <w:rFonts w:ascii="Arial" w:cs="Arial" w:eastAsia="Arial" w:hAnsi="Arial"/>
          <w:sz w:val="22"/>
          <w:szCs w:val="22"/>
        </w:rPr>
        <w:t xml:space="preserve">Chair + 3 members.</w:t>
      </w:r>
    </w:p>
    <w:p>
      <w:pPr>
        <w:spacing w:after="100"/>
      </w:pPr>
      <w:r>
        <w:rPr>
          <w:rFonts w:ascii="Arial" w:cs="Arial" w:eastAsia="Arial" w:hAnsi="Arial"/>
          <w:b/>
          <w:bCs/>
          <w:sz w:val="22"/>
          <w:szCs w:val="22"/>
        </w:rPr>
        <w:t xml:space="preserve">Authority: </w:t>
      </w:r>
      <w:r>
        <w:rPr>
          <w:rFonts w:ascii="Arial" w:cs="Arial" w:eastAsia="Arial" w:hAnsi="Arial"/>
          <w:sz w:val="22"/>
          <w:szCs w:val="22"/>
        </w:rPr>
        <w:t xml:space="preserve">Approve AI use cases, accept residual risk, approve risk appetite changes, direct risk treatment actions, escalate to Board Risk Committee.</w:t>
      </w:r>
    </w:p>
    <w:p>
      <w:pPr>
        <w:spacing w:after="100"/>
      </w:pPr>
      <w:r>
        <w:rPr>
          <w:rFonts w:ascii="Arial" w:cs="Arial" w:eastAsia="Arial" w:hAnsi="Arial"/>
          <w:b/>
          <w:bCs/>
          <w:sz w:val="22"/>
          <w:szCs w:val="22"/>
        </w:rPr>
        <w:t xml:space="preserve">Reporting Line: </w:t>
      </w:r>
      <w:r>
        <w:rPr>
          <w:rFonts w:ascii="Arial" w:cs="Arial" w:eastAsia="Arial" w:hAnsi="Arial"/>
          <w:sz w:val="22"/>
          <w:szCs w:val="22"/>
        </w:rPr>
        <w:t xml:space="preserve">Reports to the Enterprise Risk Committee, which reports to the Board Risk Committee.</w:t>
      </w:r>
    </w:p>
    <w:p>
      <w:pPr>
        <w:spacing w:after="80"/>
      </w:pPr>
    </w:p>
    <w:p>
      <w:pPr>
        <w:spacing w:before="200" w:after="120"/>
      </w:pPr>
      <w:r>
        <w:rPr>
          <w:rFonts w:ascii="Arial" w:cs="Arial" w:eastAsia="Arial" w:hAnsi="Arial"/>
          <w:b/>
          <w:bCs/>
          <w:color w:val="4A148C"/>
          <w:sz w:val="24"/>
          <w:szCs w:val="24"/>
        </w:rPr>
        <w:t xml:space="preserve">Committee Decision Log</w:t>
      </w:r>
    </w:p>
    <w:p>
      <w:pPr>
        <w:spacing w:after="120"/>
      </w:pPr>
      <w:r>
        <w:rPr>
          <w:rFonts w:ascii="Arial" w:cs="Arial" w:eastAsia="Arial" w:hAnsi="Arial"/>
          <w:sz w:val="22"/>
          <w:szCs w:val="22"/>
        </w:rPr>
        <w:t xml:space="preserve">All committee decisions are recorded in a formal decision log with: decision date, decision description, risk(s) addressed, voting outcome, conditions/caveats, review date. The decision log is an auditable record and is included in quarterly board risk reports.</w:t>
      </w:r>
    </w:p>
    <w:p>
      <w:r>
        <w:br w:type="page"/>
      </w:r>
    </w:p>
    <w:p>
      <w:pPr>
        <w:pStyle w:val="Heading1"/>
        <w:spacing w:before="360" w:after="200"/>
      </w:pPr>
      <w:r>
        <w:rPr>
          <w:rFonts w:ascii="Arial" w:cs="Arial" w:eastAsia="Arial" w:hAnsi="Arial"/>
          <w:b/>
          <w:bCs/>
          <w:color w:val="4A148C"/>
          <w:sz w:val="36"/>
          <w:szCs w:val="36"/>
        </w:rPr>
        <w:t xml:space="preserve">2. Risk Appetite Statement</w:t>
      </w:r>
    </w:p>
    <w:p>
      <w:pPr>
        <w:spacing w:after="120"/>
      </w:pPr>
      <w:r>
        <w:rPr>
          <w:rFonts w:ascii="Arial" w:cs="Arial" w:eastAsia="Arial" w:hAnsi="Arial"/>
          <w:sz w:val="22"/>
          <w:szCs w:val="22"/>
        </w:rPr>
        <w:t xml:space="preserve">The Risk Appetite Statement defines the types and levels of risk the organization is willing to accept in deploying AI systems. Aligned with COSO ERM Principle 7 (Defines Risk Appetite) and the OCC Heightened Standards.</w:t>
      </w:r>
    </w:p>
    <w:p>
      <w:pPr>
        <w:spacing w:after="80"/>
      </w:pPr>
    </w:p>
    <w:p>
      <w:pPr>
        <w:pStyle w:val="Heading2"/>
        <w:spacing w:before="280" w:after="160"/>
      </w:pPr>
      <w:r>
        <w:rPr>
          <w:rFonts w:ascii="Arial" w:cs="Arial" w:eastAsia="Arial" w:hAnsi="Arial"/>
          <w:b/>
          <w:bCs/>
          <w:color w:val="6A1B9A"/>
          <w:sz w:val="28"/>
          <w:szCs w:val="28"/>
        </w:rPr>
        <w:t xml:space="preserve">2.1 Risk Appetite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851"/>
        <w:gridCol w:w="2553"/>
        <w:gridCol w:w="851"/>
        <w:gridCol w:w="3403"/>
      </w:tblGrid>
      <w:tr>
        <w:trPr>
          <w:tblHeader/>
        </w:trPr>
        <w:tc>
          <w:tcPr>
            <w:tcW w:type="dxa" w:w="170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85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Appetite</w:t>
            </w:r>
          </w:p>
        </w:tc>
        <w:tc>
          <w:tcPr>
            <w:tcW w:type="dxa" w:w="255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Tolerance Threshold</w:t>
            </w:r>
          </w:p>
        </w:tc>
        <w:tc>
          <w:tcPr>
            <w:tcW w:type="dxa" w:w="85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Zero Tolerance</w:t>
            </w:r>
          </w:p>
        </w:tc>
        <w:tc>
          <w:tcPr>
            <w:tcW w:type="dxa" w:w="340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Escalation Trigger</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Data Sovereignty Breach</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Zero</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Any restricted data leaving boundary</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Yes</w:t>
            </w:r>
          </w:p>
        </w:tc>
        <w:tc>
          <w:tcPr>
            <w:tcW w:type="dxa" w:w="340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Immediate CISO + Board notification</w:t>
            </w:r>
          </w:p>
        </w:tc>
      </w:tr>
      <w:tr>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Hallucination (Financial Data)</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Very Low</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 2% hallucination rate</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No</w:t>
            </w:r>
          </w:p>
        </w:tc>
        <w:tc>
          <w:tcPr>
            <w:tcW w:type="dxa" w:w="340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2% triggers Trainer review + committee notification</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Investment Advice Generation</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Zero</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Any AI-generated investment recommendation</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Yes</w:t>
            </w:r>
          </w:p>
        </w:tc>
        <w:tc>
          <w:tcPr>
            <w:tcW w:type="dxa" w:w="340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Immediate system suspension + compliance notification</w:t>
            </w:r>
          </w:p>
        </w:tc>
      </w:tr>
      <w:tr>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Prompt Injection / Jailbreak</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Very Low</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 0.1% successful attacks</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No</w:t>
            </w:r>
          </w:p>
        </w:tc>
        <w:tc>
          <w:tcPr>
            <w:tcW w:type="dxa" w:w="340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0.5% triggers firewall review + committee notification</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Model Integrity Compromise</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Zero</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Any verified model tampering</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Yes</w:t>
            </w:r>
          </w:p>
        </w:tc>
        <w:tc>
          <w:tcPr>
            <w:tcW w:type="dxa" w:w="340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Immediate quarantine + CISO notification</w:t>
            </w:r>
          </w:p>
        </w:tc>
      </w:tr>
      <w:tr>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Cost Overrun</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Low</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 120% of daily budget</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No</w:t>
            </w:r>
          </w:p>
        </w:tc>
        <w:tc>
          <w:tcPr>
            <w:tcW w:type="dxa" w:w="340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100% triggers circuit breaker; &gt; 150% triggers committee review</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System Availability</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 99.95% monthly</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No</w:t>
            </w:r>
          </w:p>
        </w:tc>
        <w:tc>
          <w:tcPr>
            <w:tcW w:type="dxa" w:w="340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&lt; 99.9% triggers post-incident review + committee notification</w:t>
            </w:r>
          </w:p>
        </w:tc>
      </w:tr>
      <w:tr>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Vendor Concentration</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No single provider &gt; 70% of LLM traffic</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No</w:t>
            </w:r>
          </w:p>
        </w:tc>
        <w:tc>
          <w:tcPr>
            <w:tcW w:type="dxa" w:w="340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80% triggers diversification plan</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Regulatory Non-Compliance</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Zero</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Any material regulatory violation</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Yes</w:t>
            </w:r>
          </w:p>
        </w:tc>
        <w:tc>
          <w:tcPr>
            <w:tcW w:type="dxa" w:w="340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Immediate Legal + Compliance + Board notification</w:t>
            </w:r>
          </w:p>
        </w:tc>
      </w:tr>
      <w:tr>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Reputational</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Very Low</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No AI-generated content causes public embarrassment</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No</w:t>
            </w:r>
          </w:p>
        </w:tc>
        <w:tc>
          <w:tcPr>
            <w:tcW w:type="dxa" w:w="340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Any incident triggers crisis communications review</w:t>
            </w:r>
          </w:p>
        </w:tc>
      </w:tr>
    </w:tbl>
    <w:p>
      <w:pPr>
        <w:spacing w:after="80"/>
      </w:pPr>
    </w:p>
    <w:p>
      <w:pPr>
        <w:spacing w:after="120"/>
      </w:pPr>
      <w:r>
        <w:rPr>
          <w:rFonts w:ascii="Arial" w:cs="Arial" w:eastAsia="Arial" w:hAnsi="Arial"/>
          <w:sz w:val="22"/>
          <w:szCs w:val="22"/>
        </w:rPr>
        <w:t xml:space="preserve">Risk appetite is reviewed annually by the AI Governance &amp; Risk Committee and approved by the Board Risk Committee. Material changes to the AI system (new use cases, new models, expanded user base) trigger an interim appetite review.</w:t>
      </w:r>
    </w:p>
    <w:p>
      <w:r>
        <w:br w:type="page"/>
      </w:r>
    </w:p>
    <w:p>
      <w:pPr>
        <w:pStyle w:val="Heading2"/>
        <w:spacing w:before="280" w:after="160"/>
      </w:pPr>
      <w:r>
        <w:rPr>
          <w:rFonts w:ascii="Arial" w:cs="Arial" w:eastAsia="Arial" w:hAnsi="Arial"/>
          <w:b/>
          <w:bCs/>
          <w:color w:val="6A1B9A"/>
          <w:sz w:val="28"/>
          <w:szCs w:val="28"/>
        </w:rPr>
        <w:t xml:space="preserve">2.2 Residual Risk Acceptance Register</w:t>
      </w:r>
    </w:p>
    <w:p>
      <w:pPr>
        <w:spacing w:after="120"/>
      </w:pPr>
      <w:r>
        <w:rPr>
          <w:rFonts w:ascii="Arial" w:cs="Arial" w:eastAsia="Arial" w:hAnsi="Arial"/>
          <w:sz w:val="22"/>
          <w:szCs w:val="22"/>
        </w:rPr>
        <w:t xml:space="preserve">For each mitigated risk, the residual risk after controls are applied must be formally accepted by the appropriate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5"/>
        <w:gridCol w:w="851"/>
        <w:gridCol w:w="2127"/>
        <w:gridCol w:w="851"/>
        <w:gridCol w:w="1383"/>
        <w:gridCol w:w="851"/>
        <w:gridCol w:w="1702"/>
      </w:tblGrid>
      <w:tr>
        <w:trPr>
          <w:tblHeader/>
        </w:trPr>
        <w:tc>
          <w:tcPr>
            <w:tcW w:type="dxa" w:w="159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5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Inherent Risk</w:t>
            </w:r>
          </w:p>
        </w:tc>
        <w:tc>
          <w:tcPr>
            <w:tcW w:type="dxa" w:w="212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Controls Applied</w:t>
            </w:r>
          </w:p>
        </w:tc>
        <w:tc>
          <w:tcPr>
            <w:tcW w:type="dxa" w:w="85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c>
          <w:tcPr>
            <w:tcW w:type="dxa" w:w="138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Accepted By</w:t>
            </w:r>
          </w:p>
        </w:tc>
        <w:tc>
          <w:tcPr>
            <w:tcW w:type="dxa" w:w="85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Review Date</w:t>
            </w:r>
          </w:p>
        </w:tc>
        <w:tc>
          <w:tcPr>
            <w:tcW w:type="dxa" w:w="170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r>
      <w:tr>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Hallucination in responses</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Critic validators, numerical accuracy check, scope enforcement</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w:t>
            </w:r>
          </w:p>
        </w:tc>
        <w:tc>
          <w:tcPr>
            <w:tcW w:type="dxa" w:w="138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 Governance Committee</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Quarterly</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Hallucination rate must remain &lt; 2%</w:t>
            </w:r>
          </w:p>
        </w:tc>
      </w:tr>
      <w:tr>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Prompt injection attack</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LlamaFirewall (97.5% detection), regex fallback, Critic alignment check</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8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CISO</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Detection rate must remain &gt; 95%</w:t>
            </w:r>
          </w:p>
        </w:tc>
      </w:tr>
      <w:tr>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PII leakage to LLM provider</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Presidio PII masking, surrogate tokenization, DLP scan</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Very Low</w:t>
            </w:r>
          </w:p>
        </w:tc>
        <w:tc>
          <w:tcPr>
            <w:tcW w:type="dxa" w:w="138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CISO + DPO</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Quarterly</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Zero PII leakage in monthly tests</w:t>
            </w:r>
          </w:p>
        </w:tc>
      </w:tr>
      <w:tr>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LLM provider data misuse</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Enterprise DPA, API-only (no training), VPC boundary for sensitive data</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8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Governance Committee</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Annual vendor reassessment</w:t>
            </w:r>
          </w:p>
        </w:tc>
      </w:tr>
      <w:tr>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Model drift / degradation</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Trainer monitoring, Critic validation, monthly eval suite</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w:t>
            </w:r>
          </w:p>
        </w:tc>
        <w:tc>
          <w:tcPr>
            <w:tcW w:type="dxa" w:w="138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Global CIO</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Accuracy must remain &gt; 90%</w:t>
            </w:r>
          </w:p>
        </w:tc>
      </w:tr>
      <w:tr>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Autonomous optimization error</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Trainer bounded by spec, Critic validation, change audit trail</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8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Global CIO</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All Trainer changes within spec bounds</w:t>
            </w:r>
          </w:p>
        </w:tc>
      </w:tr>
      <w:tr>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Single AZ failure</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Multi-AZ deployment, pod anti-affinity, Qdrant replication</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Very Low</w:t>
            </w:r>
          </w:p>
        </w:tc>
        <w:tc>
          <w:tcPr>
            <w:tcW w:type="dxa" w:w="138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CTO</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Annually</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Quarterly DR test must pass</w:t>
            </w:r>
          </w:p>
        </w:tc>
      </w:tr>
    </w:tbl>
    <w:p>
      <w:r>
        <w:br w:type="page"/>
      </w:r>
    </w:p>
    <w:p>
      <w:pPr>
        <w:pStyle w:val="Heading1"/>
        <w:spacing w:before="360" w:after="200"/>
      </w:pPr>
      <w:r>
        <w:rPr>
          <w:rFonts w:ascii="Arial" w:cs="Arial" w:eastAsia="Arial" w:hAnsi="Arial"/>
          <w:b/>
          <w:bCs/>
          <w:color w:val="4A148C"/>
          <w:sz w:val="36"/>
          <w:szCs w:val="36"/>
        </w:rPr>
        <w:t xml:space="preserve">3. AI Risk Taxonomy</w:t>
      </w:r>
    </w:p>
    <w:p>
      <w:pPr>
        <w:spacing w:after="120"/>
      </w:pPr>
      <w:r>
        <w:rPr>
          <w:rFonts w:ascii="Arial" w:cs="Arial" w:eastAsia="Arial" w:hAnsi="Arial"/>
          <w:sz w:val="22"/>
          <w:szCs w:val="22"/>
        </w:rPr>
        <w:t xml:space="preserve">Comprehensive risk taxonomy for AI systems in financial services, aligned with NIST AI RMF categories and extended for enterprise context. Each risk has a unique ID for tracing through the risk register, KRI engine, and board reporting.</w:t>
      </w:r>
    </w:p>
    <w:p>
      <w:pPr>
        <w:spacing w:after="80"/>
      </w:pPr>
    </w:p>
    <w:p>
      <w:pPr>
        <w:pStyle w:val="Heading2"/>
        <w:spacing w:before="280" w:after="160"/>
      </w:pPr>
      <w:r>
        <w:rPr>
          <w:rFonts w:ascii="Arial" w:cs="Arial" w:eastAsia="Arial" w:hAnsi="Arial"/>
          <w:b/>
          <w:bCs/>
          <w:color w:val="6A1B9A"/>
          <w:sz w:val="28"/>
          <w:szCs w:val="28"/>
        </w:rPr>
        <w:t xml:space="preserve">3.1 Technology &amp; AI-Specific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899"/>
        <w:gridCol w:w="3798"/>
        <w:gridCol w:w="1628"/>
        <w:gridCol w:w="1085"/>
      </w:tblGrid>
      <w:tr>
        <w:trPr>
          <w:tblHeader/>
        </w:trPr>
        <w:tc>
          <w:tcPr>
            <w:tcW w:type="dxa" w:w="95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189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79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2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NIST AI RMF</w:t>
            </w:r>
          </w:p>
        </w:tc>
        <w:tc>
          <w:tcPr>
            <w:tcW w:type="dxa" w:w="108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Inherent Rating</w:t>
            </w:r>
          </w:p>
        </w:tc>
      </w:tr>
      <w:tr>
        <w:tc>
          <w:tcPr>
            <w:tcW w:type="dxa" w:w="95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T-001</w:t>
            </w:r>
          </w:p>
        </w:tc>
        <w:tc>
          <w:tcPr>
            <w:tcW w:type="dxa" w:w="189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Hallucination</w:t>
            </w:r>
          </w:p>
        </w:tc>
        <w:tc>
          <w:tcPr>
            <w:tcW w:type="dxa" w:w="37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 generates factually incorrect information presented as fact</w:t>
            </w:r>
          </w:p>
        </w:tc>
        <w:tc>
          <w:tcPr>
            <w:tcW w:type="dxa" w:w="162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MANAGE 2.2</w:t>
            </w:r>
          </w:p>
        </w:tc>
        <w:tc>
          <w:tcPr>
            <w:tcW w:type="dxa" w:w="10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95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T-002</w:t>
            </w:r>
          </w:p>
        </w:tc>
        <w:tc>
          <w:tcPr>
            <w:tcW w:type="dxa" w:w="189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Prompt Injection</w:t>
            </w:r>
          </w:p>
        </w:tc>
        <w:tc>
          <w:tcPr>
            <w:tcW w:type="dxa" w:w="37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Adversary manipulates AI behavior through crafted inputs</w:t>
            </w:r>
          </w:p>
        </w:tc>
        <w:tc>
          <w:tcPr>
            <w:tcW w:type="dxa" w:w="162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MANAGE 2.3</w:t>
            </w:r>
          </w:p>
        </w:tc>
        <w:tc>
          <w:tcPr>
            <w:tcW w:type="dxa" w:w="108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95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T-003</w:t>
            </w:r>
          </w:p>
        </w:tc>
        <w:tc>
          <w:tcPr>
            <w:tcW w:type="dxa" w:w="189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Data Sovereignty Breach</w:t>
            </w:r>
          </w:p>
        </w:tc>
        <w:tc>
          <w:tcPr>
            <w:tcW w:type="dxa" w:w="37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Regulated data sent to unauthorized LLM provider or geography</w:t>
            </w:r>
          </w:p>
        </w:tc>
        <w:tc>
          <w:tcPr>
            <w:tcW w:type="dxa" w:w="162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GOVERN 1.6</w:t>
            </w:r>
          </w:p>
        </w:tc>
        <w:tc>
          <w:tcPr>
            <w:tcW w:type="dxa" w:w="10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95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T-004</w:t>
            </w:r>
          </w:p>
        </w:tc>
        <w:tc>
          <w:tcPr>
            <w:tcW w:type="dxa" w:w="189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Model Integrity</w:t>
            </w:r>
          </w:p>
        </w:tc>
        <w:tc>
          <w:tcPr>
            <w:tcW w:type="dxa" w:w="37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Model weights tampered with or replaced (supply chain attack)</w:t>
            </w:r>
          </w:p>
        </w:tc>
        <w:tc>
          <w:tcPr>
            <w:tcW w:type="dxa" w:w="162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MAP 2.3</w:t>
            </w:r>
          </w:p>
        </w:tc>
        <w:tc>
          <w:tcPr>
            <w:tcW w:type="dxa" w:w="108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95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T-005</w:t>
            </w:r>
          </w:p>
        </w:tc>
        <w:tc>
          <w:tcPr>
            <w:tcW w:type="dxa" w:w="189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PII Exposure</w:t>
            </w:r>
          </w:p>
        </w:tc>
        <w:tc>
          <w:tcPr>
            <w:tcW w:type="dxa" w:w="37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Personal data leaked in AI prompts or responses</w:t>
            </w:r>
          </w:p>
        </w:tc>
        <w:tc>
          <w:tcPr>
            <w:tcW w:type="dxa" w:w="162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MANAGE 2.1</w:t>
            </w:r>
          </w:p>
        </w:tc>
        <w:tc>
          <w:tcPr>
            <w:tcW w:type="dxa" w:w="10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95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T-006</w:t>
            </w:r>
          </w:p>
        </w:tc>
        <w:tc>
          <w:tcPr>
            <w:tcW w:type="dxa" w:w="189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Scope Violation</w:t>
            </w:r>
          </w:p>
        </w:tc>
        <w:tc>
          <w:tcPr>
            <w:tcW w:type="dxa" w:w="37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generates investment advice or other prohibited content</w:t>
            </w:r>
          </w:p>
        </w:tc>
        <w:tc>
          <w:tcPr>
            <w:tcW w:type="dxa" w:w="162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MANAGE 4.1</w:t>
            </w:r>
          </w:p>
        </w:tc>
        <w:tc>
          <w:tcPr>
            <w:tcW w:type="dxa" w:w="108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95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T-007</w:t>
            </w:r>
          </w:p>
        </w:tc>
        <w:tc>
          <w:tcPr>
            <w:tcW w:type="dxa" w:w="189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Agent Goal Misalignment</w:t>
            </w:r>
          </w:p>
        </w:tc>
        <w:tc>
          <w:tcPr>
            <w:tcW w:type="dxa" w:w="37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 agent pursues unintended objectives</w:t>
            </w:r>
          </w:p>
        </w:tc>
        <w:tc>
          <w:tcPr>
            <w:tcW w:type="dxa" w:w="162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MANAGE 1.3</w:t>
            </w:r>
          </w:p>
        </w:tc>
        <w:tc>
          <w:tcPr>
            <w:tcW w:type="dxa" w:w="10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95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T-008</w:t>
            </w:r>
          </w:p>
        </w:tc>
        <w:tc>
          <w:tcPr>
            <w:tcW w:type="dxa" w:w="189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Model Drift</w:t>
            </w:r>
          </w:p>
        </w:tc>
        <w:tc>
          <w:tcPr>
            <w:tcW w:type="dxa" w:w="37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accuracy degrades over time without detection</w:t>
            </w:r>
          </w:p>
        </w:tc>
        <w:tc>
          <w:tcPr>
            <w:tcW w:type="dxa" w:w="162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MEASURE 2.6</w:t>
            </w:r>
          </w:p>
        </w:tc>
        <w:tc>
          <w:tcPr>
            <w:tcW w:type="dxa" w:w="108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95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T-009</w:t>
            </w:r>
          </w:p>
        </w:tc>
        <w:tc>
          <w:tcPr>
            <w:tcW w:type="dxa" w:w="189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Cascading Failure</w:t>
            </w:r>
          </w:p>
        </w:tc>
        <w:tc>
          <w:tcPr>
            <w:tcW w:type="dxa" w:w="37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Single component failure brings down entire pipeline</w:t>
            </w:r>
          </w:p>
        </w:tc>
        <w:tc>
          <w:tcPr>
            <w:tcW w:type="dxa" w:w="162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MANAGE 3.1</w:t>
            </w:r>
          </w:p>
        </w:tc>
        <w:tc>
          <w:tcPr>
            <w:tcW w:type="dxa" w:w="10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95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T-010</w:t>
            </w:r>
          </w:p>
        </w:tc>
        <w:tc>
          <w:tcPr>
            <w:tcW w:type="dxa" w:w="189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Shadow AI</w:t>
            </w:r>
          </w:p>
        </w:tc>
        <w:tc>
          <w:tcPr>
            <w:tcW w:type="dxa" w:w="37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Users bypass STC controls via direct LLM API access</w:t>
            </w:r>
          </w:p>
        </w:tc>
        <w:tc>
          <w:tcPr>
            <w:tcW w:type="dxa" w:w="162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GOVERN 1.1</w:t>
            </w:r>
          </w:p>
        </w:tc>
        <w:tc>
          <w:tcPr>
            <w:tcW w:type="dxa" w:w="108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pPr>
        <w:pStyle w:val="Heading2"/>
        <w:spacing w:before="280" w:after="160"/>
      </w:pPr>
      <w:r>
        <w:rPr>
          <w:rFonts w:ascii="Arial" w:cs="Arial" w:eastAsia="Arial" w:hAnsi="Arial"/>
          <w:b/>
          <w:bCs/>
          <w:color w:val="6A1B9A"/>
          <w:sz w:val="28"/>
          <w:szCs w:val="28"/>
        </w:rPr>
        <w:t xml:space="preserve">3.2 Strategic &amp;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9"/>
        <w:gridCol w:w="2106"/>
        <w:gridCol w:w="5382"/>
        <w:gridCol w:w="1053"/>
      </w:tblGrid>
      <w:tr>
        <w:trPr>
          <w:tblHeader/>
        </w:trPr>
        <w:tc>
          <w:tcPr>
            <w:tcW w:type="dxa" w:w="81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10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38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5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Inherent Rating</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S-001</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 Commoditization</w:t>
            </w:r>
          </w:p>
        </w:tc>
        <w:tc>
          <w:tcPr>
            <w:tcW w:type="dxa" w:w="538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Generative AI commoditizes the platform’s value proposition</w:t>
            </w:r>
          </w:p>
        </w:tc>
        <w:tc>
          <w:tcPr>
            <w:tcW w:type="dxa" w:w="10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S-002</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Competitive Obsolescence</w:t>
            </w:r>
          </w:p>
        </w:tc>
        <w:tc>
          <w:tcPr>
            <w:tcW w:type="dxa" w:w="538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Competitors deploy superior AI capabilities faster</w:t>
            </w:r>
          </w:p>
        </w:tc>
        <w:tc>
          <w:tcPr>
            <w:tcW w:type="dxa" w:w="10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S-003</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Vendor Lock-in</w:t>
            </w:r>
          </w:p>
        </w:tc>
        <w:tc>
          <w:tcPr>
            <w:tcW w:type="dxa" w:w="538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Deep dependency on single LLM provider limits strategic flexibility</w:t>
            </w:r>
          </w:p>
        </w:tc>
        <w:tc>
          <w:tcPr>
            <w:tcW w:type="dxa" w:w="10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S-004</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Cost Escalation</w:t>
            </w:r>
          </w:p>
        </w:tc>
        <w:tc>
          <w:tcPr>
            <w:tcW w:type="dxa" w:w="538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LLM API costs grow faster than value delivered</w:t>
            </w:r>
          </w:p>
        </w:tc>
        <w:tc>
          <w:tcPr>
            <w:tcW w:type="dxa" w:w="10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S-005</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Adoption Failure</w:t>
            </w:r>
          </w:p>
        </w:tc>
        <w:tc>
          <w:tcPr>
            <w:tcW w:type="dxa" w:w="538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Advisors reject AI tools due to trust, usability, or accuracy issues</w:t>
            </w:r>
          </w:p>
        </w:tc>
        <w:tc>
          <w:tcPr>
            <w:tcW w:type="dxa" w:w="10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pPr>
        <w:pStyle w:val="Heading2"/>
        <w:spacing w:before="280" w:after="160"/>
      </w:pPr>
      <w:r>
        <w:rPr>
          <w:rFonts w:ascii="Arial" w:cs="Arial" w:eastAsia="Arial" w:hAnsi="Arial"/>
          <w:b/>
          <w:bCs/>
          <w:color w:val="6A1B9A"/>
          <w:sz w:val="28"/>
          <w:szCs w:val="28"/>
        </w:rPr>
        <w:t xml:space="preserve">3.3 Regulatory, Legal &amp; Compliance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9"/>
        <w:gridCol w:w="2340"/>
        <w:gridCol w:w="5265"/>
        <w:gridCol w:w="936"/>
      </w:tblGrid>
      <w:tr>
        <w:trPr>
          <w:tblHeader/>
        </w:trPr>
        <w:tc>
          <w:tcPr>
            <w:tcW w:type="dxa" w:w="81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34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26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3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Inherent Rating</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R-001</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Regulatory Non-Compliance</w:t>
            </w:r>
          </w:p>
        </w:tc>
        <w:tc>
          <w:tcPr>
            <w:tcW w:type="dxa" w:w="52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 system violates FINRA, SEC, or state regulations</w:t>
            </w:r>
          </w:p>
        </w:tc>
        <w:tc>
          <w:tcPr>
            <w:tcW w:type="dxa" w:w="93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8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R-002</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EU AI Act Non-Conformity</w:t>
            </w:r>
          </w:p>
        </w:tc>
        <w:tc>
          <w:tcPr>
            <w:tcW w:type="dxa" w:w="52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System classified as high-risk under EU AI Act without conformity assessment</w:t>
            </w:r>
          </w:p>
        </w:tc>
        <w:tc>
          <w:tcPr>
            <w:tcW w:type="dxa" w:w="93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R-003</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Litigation (AI-Generated Advice)</w:t>
            </w:r>
          </w:p>
        </w:tc>
        <w:tc>
          <w:tcPr>
            <w:tcW w:type="dxa" w:w="52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Client sues based on AI-generated content that caused financial harm</w:t>
            </w:r>
          </w:p>
        </w:tc>
        <w:tc>
          <w:tcPr>
            <w:tcW w:type="dxa" w:w="93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R-004</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GDPR / Privacy Violation</w:t>
            </w:r>
          </w:p>
        </w:tc>
        <w:tc>
          <w:tcPr>
            <w:tcW w:type="dxa" w:w="52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processing violates data subject rights or consent requirements</w:t>
            </w:r>
          </w:p>
        </w:tc>
        <w:tc>
          <w:tcPr>
            <w:tcW w:type="dxa" w:w="93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R-005</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Evolving AI Regulation</w:t>
            </w:r>
          </w:p>
        </w:tc>
        <w:tc>
          <w:tcPr>
            <w:tcW w:type="dxa" w:w="52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New regulations require material system changes on short timelines</w:t>
            </w:r>
          </w:p>
        </w:tc>
        <w:tc>
          <w:tcPr>
            <w:tcW w:type="dxa" w:w="93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pPr>
        <w:pStyle w:val="Heading2"/>
        <w:spacing w:before="280" w:after="160"/>
      </w:pPr>
      <w:r>
        <w:rPr>
          <w:rFonts w:ascii="Arial" w:cs="Arial" w:eastAsia="Arial" w:hAnsi="Arial"/>
          <w:b/>
          <w:bCs/>
          <w:color w:val="6A1B9A"/>
          <w:sz w:val="28"/>
          <w:szCs w:val="28"/>
        </w:rPr>
        <w:t xml:space="preserve">3.4 Operational &amp; People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9"/>
        <w:gridCol w:w="2340"/>
        <w:gridCol w:w="5265"/>
        <w:gridCol w:w="936"/>
      </w:tblGrid>
      <w:tr>
        <w:trPr>
          <w:tblHeader/>
        </w:trPr>
        <w:tc>
          <w:tcPr>
            <w:tcW w:type="dxa" w:w="81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34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26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3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Inherent Rating</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O-001</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Reputational Damage</w:t>
            </w:r>
          </w:p>
        </w:tc>
        <w:tc>
          <w:tcPr>
            <w:tcW w:type="dxa" w:w="52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AI-generated content causes public embarrassment or client harm</w:t>
            </w:r>
          </w:p>
        </w:tc>
        <w:tc>
          <w:tcPr>
            <w:tcW w:type="dxa" w:w="93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8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O-002</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Third-Party Provider Failure</w:t>
            </w:r>
          </w:p>
        </w:tc>
        <w:tc>
          <w:tcPr>
            <w:tcW w:type="dxa" w:w="52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LLM provider outage, breach, or discontinuation</w:t>
            </w:r>
          </w:p>
        </w:tc>
        <w:tc>
          <w:tcPr>
            <w:tcW w:type="dxa" w:w="93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O-003</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Skills Gap</w:t>
            </w:r>
          </w:p>
        </w:tc>
        <w:tc>
          <w:tcPr>
            <w:tcW w:type="dxa" w:w="52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Organization lacks AI engineering and AI risk management talent</w:t>
            </w:r>
          </w:p>
        </w:tc>
        <w:tc>
          <w:tcPr>
            <w:tcW w:type="dxa" w:w="93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O-004</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Role Displacement Resistance</w:t>
            </w:r>
          </w:p>
        </w:tc>
        <w:tc>
          <w:tcPr>
            <w:tcW w:type="dxa" w:w="52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Workforce resistance to AI-driven role convergence</w:t>
            </w:r>
          </w:p>
        </w:tc>
        <w:tc>
          <w:tcPr>
            <w:tcW w:type="dxa" w:w="93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8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O-005</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Insider Threat</w:t>
            </w:r>
          </w:p>
        </w:tc>
        <w:tc>
          <w:tcPr>
            <w:tcW w:type="dxa" w:w="52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Privileged operator misuses system access or data</w:t>
            </w:r>
          </w:p>
        </w:tc>
        <w:tc>
          <w:tcPr>
            <w:tcW w:type="dxa" w:w="93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8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O-006</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Key Person Dependency</w:t>
            </w:r>
          </w:p>
        </w:tc>
        <w:tc>
          <w:tcPr>
            <w:tcW w:type="dxa" w:w="52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system knowledge concentrated in few individuals</w:t>
            </w:r>
          </w:p>
        </w:tc>
        <w:tc>
          <w:tcPr>
            <w:tcW w:type="dxa" w:w="93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spacing w:before="360" w:after="200"/>
      </w:pPr>
      <w:r>
        <w:rPr>
          <w:rFonts w:ascii="Arial" w:cs="Arial" w:eastAsia="Arial" w:hAnsi="Arial"/>
          <w:b/>
          <w:bCs/>
          <w:color w:val="4A148C"/>
          <w:sz w:val="36"/>
          <w:szCs w:val="36"/>
        </w:rPr>
        <w:t xml:space="preserve">4. Risk Assessment Methodology</w:t>
      </w:r>
    </w:p>
    <w:p>
      <w:pPr>
        <w:spacing w:after="120"/>
      </w:pPr>
      <w:r>
        <w:rPr>
          <w:rFonts w:ascii="Arial" w:cs="Arial" w:eastAsia="Arial" w:hAnsi="Arial"/>
          <w:sz w:val="22"/>
          <w:szCs w:val="22"/>
        </w:rPr>
        <w:t xml:space="preserve">Aligned with ISO 31000:2018 risk assessment process and COSO ERM Principle 10 (Identifies Risk). Uses a semi-quantitative 5×5 matrix methodology.</w:t>
      </w:r>
    </w:p>
    <w:p>
      <w:pPr>
        <w:spacing w:after="80"/>
      </w:pPr>
    </w:p>
    <w:p>
      <w:pPr>
        <w:pStyle w:val="Heading2"/>
        <w:spacing w:before="280" w:after="160"/>
      </w:pPr>
      <w:r>
        <w:rPr>
          <w:rFonts w:ascii="Arial" w:cs="Arial" w:eastAsia="Arial" w:hAnsi="Arial"/>
          <w:b/>
          <w:bCs/>
          <w:color w:val="6A1B9A"/>
          <w:sz w:val="28"/>
          <w:szCs w:val="28"/>
        </w:rPr>
        <w:t xml:space="preserve">4.1 Likelihood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1337"/>
        <w:gridCol w:w="4279"/>
        <w:gridCol w:w="2942"/>
      </w:tblGrid>
      <w:tr>
        <w:trPr>
          <w:tblHeader/>
        </w:trPr>
        <w:tc>
          <w:tcPr>
            <w:tcW w:type="dxa" w:w="80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33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27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94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Frequency Benchmark</w:t>
            </w:r>
          </w:p>
        </w:tc>
      </w:tr>
      <w:tr>
        <w:tc>
          <w:tcPr>
            <w:tcW w:type="dxa" w:w="8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Rare</w:t>
            </w:r>
          </w:p>
        </w:tc>
        <w:tc>
          <w:tcPr>
            <w:tcW w:type="dxa" w:w="427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Could occur only in exceptional circumstances</w:t>
            </w:r>
          </w:p>
        </w:tc>
        <w:tc>
          <w:tcPr>
            <w:tcW w:type="dxa" w:w="294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Less than once per 5 years</w:t>
            </w:r>
          </w:p>
        </w:tc>
      </w:tr>
      <w:tr>
        <w:tc>
          <w:tcPr>
            <w:tcW w:type="dxa" w:w="8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Unlikely</w:t>
            </w:r>
          </w:p>
        </w:tc>
        <w:tc>
          <w:tcPr>
            <w:tcW w:type="dxa" w:w="427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Could occur but not expected</w:t>
            </w:r>
          </w:p>
        </w:tc>
        <w:tc>
          <w:tcPr>
            <w:tcW w:type="dxa" w:w="294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Once every 1–5 years</w:t>
            </w:r>
          </w:p>
        </w:tc>
      </w:tr>
      <w:tr>
        <w:tc>
          <w:tcPr>
            <w:tcW w:type="dxa" w:w="8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Possible</w:t>
            </w:r>
          </w:p>
        </w:tc>
        <w:tc>
          <w:tcPr>
            <w:tcW w:type="dxa" w:w="427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Could occur at some time</w:t>
            </w:r>
          </w:p>
        </w:tc>
        <w:tc>
          <w:tcPr>
            <w:tcW w:type="dxa" w:w="294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Once per year</w:t>
            </w:r>
          </w:p>
        </w:tc>
      </w:tr>
      <w:tr>
        <w:tc>
          <w:tcPr>
            <w:tcW w:type="dxa" w:w="8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Likely</w:t>
            </w:r>
          </w:p>
        </w:tc>
        <w:tc>
          <w:tcPr>
            <w:tcW w:type="dxa" w:w="427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Will probably occur in most circumstances</w:t>
            </w:r>
          </w:p>
        </w:tc>
        <w:tc>
          <w:tcPr>
            <w:tcW w:type="dxa" w:w="294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Monthly to quarterly</w:t>
            </w:r>
          </w:p>
        </w:tc>
      </w:tr>
      <w:tr>
        <w:tc>
          <w:tcPr>
            <w:tcW w:type="dxa" w:w="8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w:t>
            </w:r>
          </w:p>
        </w:tc>
        <w:tc>
          <w:tcPr>
            <w:tcW w:type="dxa" w:w="133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Almost Certain</w:t>
            </w:r>
          </w:p>
        </w:tc>
        <w:tc>
          <w:tcPr>
            <w:tcW w:type="dxa" w:w="427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Expected to occur in most circumstances</w:t>
            </w:r>
          </w:p>
        </w:tc>
        <w:tc>
          <w:tcPr>
            <w:tcW w:type="dxa" w:w="294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Weekly or more frequently</w:t>
            </w:r>
          </w:p>
        </w:tc>
      </w:tr>
    </w:tbl>
    <w:p>
      <w:pPr>
        <w:spacing w:after="80"/>
      </w:pPr>
    </w:p>
    <w:p>
      <w:pPr>
        <w:pStyle w:val="Heading2"/>
        <w:spacing w:before="280" w:after="160"/>
      </w:pPr>
      <w:r>
        <w:rPr>
          <w:rFonts w:ascii="Arial" w:cs="Arial" w:eastAsia="Arial" w:hAnsi="Arial"/>
          <w:b/>
          <w:bCs/>
          <w:color w:val="6A1B9A"/>
          <w:sz w:val="28"/>
          <w:szCs w:val="28"/>
        </w:rPr>
        <w:t xml:space="preserve">4.2 Impact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1053"/>
        <w:gridCol w:w="1404"/>
        <w:gridCol w:w="2106"/>
        <w:gridCol w:w="2106"/>
        <w:gridCol w:w="2106"/>
      </w:tblGrid>
      <w:tr>
        <w:trPr>
          <w:tblHeader/>
        </w:trPr>
        <w:tc>
          <w:tcPr>
            <w:tcW w:type="dxa" w:w="58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5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404"/>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Financial</w:t>
            </w:r>
          </w:p>
        </w:tc>
        <w:tc>
          <w:tcPr>
            <w:tcW w:type="dxa" w:w="210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Regulatory</w:t>
            </w:r>
          </w:p>
        </w:tc>
        <w:tc>
          <w:tcPr>
            <w:tcW w:type="dxa" w:w="210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Reputational</w:t>
            </w:r>
          </w:p>
        </w:tc>
        <w:tc>
          <w:tcPr>
            <w:tcW w:type="dxa" w:w="210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Operational</w:t>
            </w:r>
          </w:p>
        </w:tc>
      </w:tr>
      <w:tr>
        <w:tc>
          <w:tcPr>
            <w:tcW w:type="dxa" w:w="5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w:t>
            </w:r>
          </w:p>
        </w:tc>
        <w:tc>
          <w:tcPr>
            <w:tcW w:type="dxa" w:w="10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Insignificant</w:t>
            </w:r>
          </w:p>
        </w:tc>
        <w:tc>
          <w:tcPr>
            <w:tcW w:type="dxa" w:w="140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&lt; $100K</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No regulatory interest</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No media coverage</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&lt; 1 hour disruption</w:t>
            </w:r>
          </w:p>
        </w:tc>
      </w:tr>
      <w:tr>
        <w:tc>
          <w:tcPr>
            <w:tcW w:type="dxa" w:w="58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2</w:t>
            </w:r>
          </w:p>
        </w:tc>
        <w:tc>
          <w:tcPr>
            <w:tcW w:type="dxa" w:w="10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Minor</w:t>
            </w:r>
          </w:p>
        </w:tc>
        <w:tc>
          <w:tcPr>
            <w:tcW w:type="dxa" w:w="1404"/>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$100K–$1M</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Informal regulatory inquiry</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Local/trade media</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1–4 hours disruption</w:t>
            </w:r>
          </w:p>
        </w:tc>
      </w:tr>
      <w:tr>
        <w:tc>
          <w:tcPr>
            <w:tcW w:type="dxa" w:w="5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3</w:t>
            </w:r>
          </w:p>
        </w:tc>
        <w:tc>
          <w:tcPr>
            <w:tcW w:type="dxa" w:w="10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140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$1M–$10M</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Formal regulatory examination</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National media mention</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4–24 hours disruption</w:t>
            </w:r>
          </w:p>
        </w:tc>
      </w:tr>
      <w:tr>
        <w:tc>
          <w:tcPr>
            <w:tcW w:type="dxa" w:w="58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4</w:t>
            </w:r>
          </w:p>
        </w:tc>
        <w:tc>
          <w:tcPr>
            <w:tcW w:type="dxa" w:w="10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Major</w:t>
            </w:r>
          </w:p>
        </w:tc>
        <w:tc>
          <w:tcPr>
            <w:tcW w:type="dxa" w:w="1404"/>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$10M–$50M</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Enforcement action / fine</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Sustained national coverage</w:t>
            </w:r>
          </w:p>
        </w:tc>
        <w:tc>
          <w:tcPr>
            <w:tcW w:type="dxa" w:w="210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1–7 days disruption</w:t>
            </w:r>
          </w:p>
        </w:tc>
      </w:tr>
      <w:tr>
        <w:tc>
          <w:tcPr>
            <w:tcW w:type="dxa" w:w="58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w:t>
            </w:r>
          </w:p>
        </w:tc>
        <w:tc>
          <w:tcPr>
            <w:tcW w:type="dxa" w:w="10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Catastrophic</w:t>
            </w:r>
          </w:p>
        </w:tc>
        <w:tc>
          <w:tcPr>
            <w:tcW w:type="dxa" w:w="140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$50M</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License revocation / systemic</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Congressional / global coverage</w:t>
            </w:r>
          </w:p>
        </w:tc>
        <w:tc>
          <w:tcPr>
            <w:tcW w:type="dxa" w:w="210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7 days disruption</w:t>
            </w:r>
          </w:p>
        </w:tc>
      </w:tr>
    </w:tbl>
    <w:p>
      <w:pPr>
        <w:spacing w:after="80"/>
      </w:pPr>
    </w:p>
    <w:p>
      <w:pPr>
        <w:pStyle w:val="Heading2"/>
        <w:spacing w:before="280" w:after="160"/>
      </w:pPr>
      <w:r>
        <w:rPr>
          <w:rFonts w:ascii="Arial" w:cs="Arial" w:eastAsia="Arial" w:hAnsi="Arial"/>
          <w:b/>
          <w:bCs/>
          <w:color w:val="6A1B9A"/>
          <w:sz w:val="28"/>
          <w:szCs w:val="28"/>
        </w:rPr>
        <w:t xml:space="preserve">4.3 Risk Rating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6"/>
        <w:gridCol w:w="1459"/>
        <w:gridCol w:w="1459"/>
        <w:gridCol w:w="1459"/>
        <w:gridCol w:w="1459"/>
        <w:gridCol w:w="1458"/>
      </w:tblGrid>
      <w:tr>
        <w:trPr>
          <w:tblHeader/>
        </w:trPr>
        <w:tc>
          <w:tcPr>
            <w:tcW w:type="dxa" w:w="206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Likelihood \ Impact</w:t>
            </w:r>
          </w:p>
        </w:tc>
        <w:tc>
          <w:tcPr>
            <w:tcW w:type="dxa" w:w="145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1 Insignificant</w:t>
            </w:r>
          </w:p>
        </w:tc>
        <w:tc>
          <w:tcPr>
            <w:tcW w:type="dxa" w:w="145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2 Minor</w:t>
            </w:r>
          </w:p>
        </w:tc>
        <w:tc>
          <w:tcPr>
            <w:tcW w:type="dxa" w:w="145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3 Moderate</w:t>
            </w:r>
          </w:p>
        </w:tc>
        <w:tc>
          <w:tcPr>
            <w:tcW w:type="dxa" w:w="145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4 Major</w:t>
            </w:r>
          </w:p>
        </w:tc>
        <w:tc>
          <w:tcPr>
            <w:tcW w:type="dxa" w:w="145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5 Catastrophic</w:t>
            </w:r>
          </w:p>
        </w:tc>
      </w:tr>
      <w:tr>
        <w:tc>
          <w:tcPr>
            <w:tcW w:type="dxa" w:w="206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 Almost Certain</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 (5)</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 (10)</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 (15)</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Critical (20)</w:t>
            </w:r>
          </w:p>
        </w:tc>
        <w:tc>
          <w:tcPr>
            <w:tcW w:type="dxa" w:w="145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Critical (25)</w:t>
            </w:r>
          </w:p>
        </w:tc>
      </w:tr>
      <w:tr>
        <w:tc>
          <w:tcPr>
            <w:tcW w:type="dxa" w:w="206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4 Likely</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Low (4)</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 (8)</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 (12)</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Critical (16)</w:t>
            </w:r>
          </w:p>
        </w:tc>
        <w:tc>
          <w:tcPr>
            <w:tcW w:type="dxa" w:w="145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Critical (20)</w:t>
            </w:r>
          </w:p>
        </w:tc>
      </w:tr>
      <w:tr>
        <w:tc>
          <w:tcPr>
            <w:tcW w:type="dxa" w:w="206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3 Possible</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 (3)</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 (6)</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 (9)</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 (12)</w:t>
            </w:r>
          </w:p>
        </w:tc>
        <w:tc>
          <w:tcPr>
            <w:tcW w:type="dxa" w:w="145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Critical (15)</w:t>
            </w:r>
          </w:p>
        </w:tc>
      </w:tr>
      <w:tr>
        <w:tc>
          <w:tcPr>
            <w:tcW w:type="dxa" w:w="206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2 Unlikely</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Low (2)</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Low (4)</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 (6)</w:t>
            </w:r>
          </w:p>
        </w:tc>
        <w:tc>
          <w:tcPr>
            <w:tcW w:type="dxa" w:w="145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 (8)</w:t>
            </w:r>
          </w:p>
        </w:tc>
        <w:tc>
          <w:tcPr>
            <w:tcW w:type="dxa" w:w="145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High (10)</w:t>
            </w:r>
          </w:p>
        </w:tc>
      </w:tr>
      <w:tr>
        <w:tc>
          <w:tcPr>
            <w:tcW w:type="dxa" w:w="206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 Rare</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 (1)</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 (2)</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 (3)</w:t>
            </w:r>
          </w:p>
        </w:tc>
        <w:tc>
          <w:tcPr>
            <w:tcW w:type="dxa" w:w="145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 (4)</w:t>
            </w:r>
          </w:p>
        </w:tc>
        <w:tc>
          <w:tcPr>
            <w:tcW w:type="dxa" w:w="145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 (5)</w:t>
            </w:r>
          </w:p>
        </w:tc>
      </w:tr>
    </w:tbl>
    <w:p>
      <w:pPr>
        <w:spacing w:after="80"/>
      </w:pPr>
    </w:p>
    <w:p>
      <w:pPr>
        <w:spacing w:after="120"/>
      </w:pPr>
      <w:r>
        <w:rPr>
          <w:rFonts w:ascii="Arial" w:cs="Arial" w:eastAsia="Arial" w:hAnsi="Arial"/>
          <w:sz w:val="22"/>
          <w:szCs w:val="22"/>
        </w:rPr>
        <w:t xml:space="preserve">Risk scores: Low (1–4) — monitor; Medium (5–9) — mitigate within 90 days; High (10–15) — mitigate within 30 days; Critical (16–25) — immediate action + committee escalation.</w:t>
      </w:r>
    </w:p>
    <w:p>
      <w:r>
        <w:br w:type="page"/>
      </w:r>
    </w:p>
    <w:p>
      <w:pPr>
        <w:pStyle w:val="Heading1"/>
        <w:spacing w:before="360" w:after="200"/>
      </w:pPr>
      <w:r>
        <w:rPr>
          <w:rFonts w:ascii="Arial" w:cs="Arial" w:eastAsia="Arial" w:hAnsi="Arial"/>
          <w:b/>
          <w:bCs/>
          <w:color w:val="4A148C"/>
          <w:sz w:val="36"/>
          <w:szCs w:val="36"/>
        </w:rPr>
        <w:t xml:space="preserve">5. Key Risk Indicators (KRIs)</w:t>
      </w:r>
    </w:p>
    <w:p>
      <w:pPr>
        <w:spacing w:after="120"/>
      </w:pPr>
      <w:r>
        <w:rPr>
          <w:rFonts w:ascii="Arial" w:cs="Arial" w:eastAsia="Arial" w:hAnsi="Arial"/>
          <w:sz w:val="22"/>
          <w:szCs w:val="22"/>
        </w:rPr>
        <w:t xml:space="preserve">KRIs provide forward-looking (leading) and backward-looking (lagging) metrics for monitoring AI risk. Each KRI has a defined green/amber/red threshold, measurement frequency, and escalation trigger. Aligned with COSO ERM Principle 16 (Reviews Risk and Performance).</w:t>
      </w:r>
    </w:p>
    <w:p>
      <w:pPr>
        <w:spacing w:after="80"/>
      </w:pPr>
    </w:p>
    <w:p>
      <w:pPr>
        <w:pStyle w:val="Heading2"/>
        <w:spacing w:before="280" w:after="160"/>
      </w:pPr>
      <w:r>
        <w:rPr>
          <w:rFonts w:ascii="Arial" w:cs="Arial" w:eastAsia="Arial" w:hAnsi="Arial"/>
          <w:b/>
          <w:bCs/>
          <w:color w:val="6A1B9A"/>
          <w:sz w:val="28"/>
          <w:szCs w:val="28"/>
        </w:rPr>
        <w:t xml:space="preserve">5.1 Leading Indicators (Forward-Looking)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9"/>
        <w:gridCol w:w="1849"/>
        <w:gridCol w:w="2311"/>
        <w:gridCol w:w="1156"/>
        <w:gridCol w:w="1156"/>
        <w:gridCol w:w="1156"/>
        <w:gridCol w:w="923"/>
      </w:tblGrid>
      <w:tr>
        <w:trPr>
          <w:tblHeader/>
        </w:trPr>
        <w:tc>
          <w:tcPr>
            <w:tcW w:type="dxa" w:w="80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KRI ID</w:t>
            </w:r>
          </w:p>
        </w:tc>
        <w:tc>
          <w:tcPr>
            <w:tcW w:type="dxa" w:w="184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31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115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Green</w:t>
            </w:r>
          </w:p>
        </w:tc>
        <w:tc>
          <w:tcPr>
            <w:tcW w:type="dxa" w:w="115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Amber</w:t>
            </w:r>
          </w:p>
        </w:tc>
        <w:tc>
          <w:tcPr>
            <w:tcW w:type="dxa" w:w="115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Red</w:t>
            </w:r>
          </w:p>
        </w:tc>
        <w:tc>
          <w:tcPr>
            <w:tcW w:type="dxa" w:w="92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KRI-L01</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Prompt injection attempt rate</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Firewall-blocked attacks per 1K requests</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&lt; 5</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5–20</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20</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80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KRI-L02</w:t>
            </w:r>
          </w:p>
        </w:tc>
        <w:tc>
          <w:tcPr>
            <w:tcW w:type="dxa" w:w="184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Model provenance alert count</w:t>
            </w:r>
          </w:p>
        </w:tc>
        <w:tc>
          <w:tcPr>
            <w:tcW w:type="dxa" w:w="231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Integrity check warnings in past 7 days</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1–2</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2</w:t>
            </w:r>
          </w:p>
        </w:tc>
        <w:tc>
          <w:tcPr>
            <w:tcW w:type="dxa" w:w="92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KRI-L03</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Vendor risk score change</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Change in LLM provider risk assessment</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Stable</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Minor change</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Material change</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80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KRI-L04</w:t>
            </w:r>
          </w:p>
        </w:tc>
        <w:tc>
          <w:tcPr>
            <w:tcW w:type="dxa" w:w="184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Error budget burn rate</w:t>
            </w:r>
          </w:p>
        </w:tc>
        <w:tc>
          <w:tcPr>
            <w:tcW w:type="dxa" w:w="231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Rate of SLO error budget consumption</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&lt; 50% of budget used</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50–80%</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80%</w:t>
            </w:r>
          </w:p>
        </w:tc>
        <w:tc>
          <w:tcPr>
            <w:tcW w:type="dxa" w:w="92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KRI-L05</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Regulatory horizon alerts</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New AI regulations in pipeline affecting STC</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 material</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1–2 in comment period</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2 or final rule</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80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KRI-L06</w:t>
            </w:r>
          </w:p>
        </w:tc>
        <w:tc>
          <w:tcPr>
            <w:tcW w:type="dxa" w:w="184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Cost trajectory</w:t>
            </w:r>
          </w:p>
        </w:tc>
        <w:tc>
          <w:tcPr>
            <w:tcW w:type="dxa" w:w="231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Projected monthly cost vs. budget (trending)</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 100%</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100–120%</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120%</w:t>
            </w:r>
          </w:p>
        </w:tc>
        <w:tc>
          <w:tcPr>
            <w:tcW w:type="dxa" w:w="92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KRI-L07</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Open exception aging</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 of open exceptions past SLA</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1–10%</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10%</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Weekly</w:t>
            </w:r>
          </w:p>
        </w:tc>
      </w:tr>
    </w:tbl>
    <w:p>
      <w:pPr>
        <w:spacing w:after="80"/>
      </w:pPr>
    </w:p>
    <w:p>
      <w:pPr>
        <w:pStyle w:val="Heading2"/>
        <w:spacing w:before="280" w:after="160"/>
      </w:pPr>
      <w:r>
        <w:rPr>
          <w:rFonts w:ascii="Arial" w:cs="Arial" w:eastAsia="Arial" w:hAnsi="Arial"/>
          <w:b/>
          <w:bCs/>
          <w:color w:val="6A1B9A"/>
          <w:sz w:val="28"/>
          <w:szCs w:val="28"/>
        </w:rPr>
        <w:t xml:space="preserve">5.2 Lagging Indicators (Backward-Looking)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9"/>
        <w:gridCol w:w="1849"/>
        <w:gridCol w:w="2311"/>
        <w:gridCol w:w="1156"/>
        <w:gridCol w:w="1156"/>
        <w:gridCol w:w="1156"/>
        <w:gridCol w:w="923"/>
      </w:tblGrid>
      <w:tr>
        <w:trPr>
          <w:tblHeader/>
        </w:trPr>
        <w:tc>
          <w:tcPr>
            <w:tcW w:type="dxa" w:w="80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KRI ID</w:t>
            </w:r>
          </w:p>
        </w:tc>
        <w:tc>
          <w:tcPr>
            <w:tcW w:type="dxa" w:w="184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31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115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Green</w:t>
            </w:r>
          </w:p>
        </w:tc>
        <w:tc>
          <w:tcPr>
            <w:tcW w:type="dxa" w:w="115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Amber</w:t>
            </w:r>
          </w:p>
        </w:tc>
        <w:tc>
          <w:tcPr>
            <w:tcW w:type="dxa" w:w="115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Red</w:t>
            </w:r>
          </w:p>
        </w:tc>
        <w:tc>
          <w:tcPr>
            <w:tcW w:type="dxa" w:w="92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KRI-G01</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Hallucination rate</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 of responses flagged by Critic</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&lt; 1%</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1–2%</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2%</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80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KRI-G02</w:t>
            </w:r>
          </w:p>
        </w:tc>
        <w:tc>
          <w:tcPr>
            <w:tcW w:type="dxa" w:w="184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Data sovereignty incidents</w:t>
            </w:r>
          </w:p>
        </w:tc>
        <w:tc>
          <w:tcPr>
            <w:tcW w:type="dxa" w:w="231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Count of restricted data boundary crossings</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N/A</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0</w:t>
            </w:r>
          </w:p>
        </w:tc>
        <w:tc>
          <w:tcPr>
            <w:tcW w:type="dxa" w:w="92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KRI-G03</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Successful prompt injections</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Attacks bypassing all defenses</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1–2 / month</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2 / month</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80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KRI-G04</w:t>
            </w:r>
          </w:p>
        </w:tc>
        <w:tc>
          <w:tcPr>
            <w:tcW w:type="dxa" w:w="184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Scope violation count</w:t>
            </w:r>
          </w:p>
        </w:tc>
        <w:tc>
          <w:tcPr>
            <w:tcW w:type="dxa" w:w="231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AI-generated investment advice instances</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N/A</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0</w:t>
            </w:r>
          </w:p>
        </w:tc>
        <w:tc>
          <w:tcPr>
            <w:tcW w:type="dxa" w:w="92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KRI-G05</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System availability</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 uptime percentage</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 99.95%</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99.9–99.95%</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&lt; 99.9%</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80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KRI-G06</w:t>
            </w:r>
          </w:p>
        </w:tc>
        <w:tc>
          <w:tcPr>
            <w:tcW w:type="dxa" w:w="184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Control test pass rate</w:t>
            </w:r>
          </w:p>
        </w:tc>
        <w:tc>
          <w:tcPr>
            <w:tcW w:type="dxa" w:w="231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 of control tests passing</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 95%</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85–95%</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&lt; 85%</w:t>
            </w:r>
          </w:p>
        </w:tc>
        <w:tc>
          <w:tcPr>
            <w:tcW w:type="dxa" w:w="92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80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KRI-G07</w:t>
            </w:r>
          </w:p>
        </w:tc>
        <w:tc>
          <w:tcPr>
            <w:tcW w:type="dxa" w:w="184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Mean time to resolve exceptions</w:t>
            </w:r>
          </w:p>
        </w:tc>
        <w:tc>
          <w:tcPr>
            <w:tcW w:type="dxa" w:w="231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Average hours to close exceptions</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&lt; 48h</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48–96h</w:t>
            </w:r>
          </w:p>
        </w:tc>
        <w:tc>
          <w:tcPr>
            <w:tcW w:type="dxa" w:w="115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96h</w:t>
            </w:r>
          </w:p>
        </w:tc>
        <w:tc>
          <w:tcPr>
            <w:tcW w:type="dxa" w:w="92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80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KRI-G08</w:t>
            </w:r>
          </w:p>
        </w:tc>
        <w:tc>
          <w:tcPr>
            <w:tcW w:type="dxa" w:w="184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PII exposure incidents</w:t>
            </w:r>
          </w:p>
        </w:tc>
        <w:tc>
          <w:tcPr>
            <w:tcW w:type="dxa" w:w="231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Count of PII detected in LLM-bound traffic</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N/A</w:t>
            </w:r>
          </w:p>
        </w:tc>
        <w:tc>
          <w:tcPr>
            <w:tcW w:type="dxa" w:w="115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0</w:t>
            </w:r>
          </w:p>
        </w:tc>
        <w:tc>
          <w:tcPr>
            <w:tcW w:type="dxa" w:w="92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Real-time</w:t>
            </w:r>
          </w:p>
        </w:tc>
      </w:tr>
    </w:tbl>
    <w:p>
      <w:r>
        <w:br w:type="page"/>
      </w:r>
    </w:p>
    <w:p>
      <w:pPr>
        <w:pStyle w:val="Heading1"/>
        <w:spacing w:before="360" w:after="200"/>
      </w:pPr>
      <w:r>
        <w:rPr>
          <w:rFonts w:ascii="Arial" w:cs="Arial" w:eastAsia="Arial" w:hAnsi="Arial"/>
          <w:b/>
          <w:bCs/>
          <w:color w:val="4A148C"/>
          <w:sz w:val="36"/>
          <w:szCs w:val="36"/>
        </w:rPr>
        <w:t xml:space="preserve">6. Risk Scenario Analysis</w:t>
      </w:r>
    </w:p>
    <w:p>
      <w:pPr>
        <w:spacing w:after="120"/>
      </w:pPr>
      <w:r>
        <w:rPr>
          <w:rFonts w:ascii="Arial" w:cs="Arial" w:eastAsia="Arial" w:hAnsi="Arial"/>
          <w:sz w:val="22"/>
          <w:szCs w:val="22"/>
        </w:rPr>
        <w:t xml:space="preserve">This section documents key risk scenarios with impact quantification and response playbooks. Aligned with COSO ERM Principle 11 (Assesses Severity of Risk) and OCC Heightened Standards (scenario analysis for operational risk).</w:t>
      </w:r>
    </w:p>
    <w:p>
      <w:pPr>
        <w:spacing w:after="80"/>
      </w:pPr>
    </w:p>
    <w:p>
      <w:pPr>
        <w:pStyle w:val="Heading2"/>
        <w:spacing w:before="280" w:after="160"/>
      </w:pPr>
      <w:r>
        <w:rPr>
          <w:rFonts w:ascii="Arial" w:cs="Arial" w:eastAsia="Arial" w:hAnsi="Arial"/>
          <w:b/>
          <w:bCs/>
          <w:color w:val="6A1B9A"/>
          <w:sz w:val="28"/>
          <w:szCs w:val="28"/>
        </w:rPr>
        <w:t xml:space="preserve">6.1 Scenario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5"/>
        <w:gridCol w:w="2340"/>
        <w:gridCol w:w="957"/>
        <w:gridCol w:w="1595"/>
        <w:gridCol w:w="1595"/>
        <w:gridCol w:w="851"/>
        <w:gridCol w:w="1277"/>
      </w:tblGrid>
      <w:tr>
        <w:trPr>
          <w:tblHeader/>
        </w:trPr>
        <w:tc>
          <w:tcPr>
            <w:tcW w:type="dxa" w:w="74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Scenario ID</w:t>
            </w:r>
          </w:p>
        </w:tc>
        <w:tc>
          <w:tcPr>
            <w:tcW w:type="dxa" w:w="234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95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9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Financial Impact</w:t>
            </w:r>
          </w:p>
        </w:tc>
        <w:tc>
          <w:tcPr>
            <w:tcW w:type="dxa" w:w="159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Regulatory Impact</w:t>
            </w:r>
          </w:p>
        </w:tc>
        <w:tc>
          <w:tcPr>
            <w:tcW w:type="dxa" w:w="85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Score</w:t>
            </w:r>
          </w:p>
        </w:tc>
        <w:tc>
          <w:tcPr>
            <w:tcW w:type="dxa" w:w="127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74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SCN-001</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LLM provider compromised: malicious content injected into responses for 24 hours before detection</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Unlikely (2)</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$5M–$20M (client harm, remediation)</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FINRA enforcement (4)</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8 (Medium)</w:t>
            </w:r>
          </w:p>
        </w:tc>
        <w:tc>
          <w:tcPr>
            <w:tcW w:type="dxa" w:w="127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Kill switch, client notification, forensic review</w:t>
            </w:r>
          </w:p>
        </w:tc>
      </w:tr>
      <w:tr>
        <w:tc>
          <w:tcPr>
            <w:tcW w:type="dxa" w:w="74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SCN-002</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Data sovereignty breach: 10,000 restricted-data queries routed to external LLM due to gateway misconfiguration</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Unlikely (2)</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$10M–$50M (regulatory fine, litigation)</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GDPR Art. 33 notification (5)</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 (High)</w:t>
            </w:r>
          </w:p>
        </w:tc>
        <w:tc>
          <w:tcPr>
            <w:tcW w:type="dxa" w:w="127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Immediate halt, regulatory notification, impact assessment</w:t>
            </w:r>
          </w:p>
        </w:tc>
      </w:tr>
      <w:tr>
        <w:tc>
          <w:tcPr>
            <w:tcW w:type="dxa" w:w="74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SCN-003</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Mass hallucination event: systematic accuracy drop affects 500+ advisor interactions in a single day</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Possible (3)</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$1M–$5M (remediation, client impact)</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FINRA 3110 supervision failure (3)</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9 (Medium)</w:t>
            </w:r>
          </w:p>
        </w:tc>
        <w:tc>
          <w:tcPr>
            <w:tcW w:type="dxa" w:w="127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Critic suspension trigger, client retraction, root cause</w:t>
            </w:r>
          </w:p>
        </w:tc>
      </w:tr>
      <w:tr>
        <w:tc>
          <w:tcPr>
            <w:tcW w:type="dxa" w:w="74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SCN-004</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Coordinated prompt injection campaign targeting the system over 48 hours</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Possible (3)</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$500K–$2M (incident response)</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Regulatory inquiry (2)</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6 (Medium)</w:t>
            </w:r>
          </w:p>
        </w:tc>
        <w:tc>
          <w:tcPr>
            <w:tcW w:type="dxa" w:w="127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Firewall hardening, rate limiting, threat intelligence</w:t>
            </w:r>
          </w:p>
        </w:tc>
      </w:tr>
      <w:tr>
        <w:tc>
          <w:tcPr>
            <w:tcW w:type="dxa" w:w="74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SCN-005</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Primary LLM provider discontinues API access with 30-day notice</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Unlikely (2)</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$2M–$5M (migration cost)</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None direct (1)</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4 (Low)</w:t>
            </w:r>
          </w:p>
        </w:tc>
        <w:tc>
          <w:tcPr>
            <w:tcW w:type="dxa" w:w="127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Activate fallback chain, accelerate migration</w:t>
            </w:r>
          </w:p>
        </w:tc>
      </w:tr>
      <w:tr>
        <w:tc>
          <w:tcPr>
            <w:tcW w:type="dxa" w:w="74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SCN-006</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EU AI Act enforcement: system classified as high-risk, non-conformity finding</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Possible (3)</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$5M–$20M (fines up to 3% revenue)</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Material enforcement (4)</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12 (High)</w:t>
            </w:r>
          </w:p>
        </w:tc>
        <w:tc>
          <w:tcPr>
            <w:tcW w:type="dxa" w:w="127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Conformity remediation program, legal engagement</w:t>
            </w:r>
          </w:p>
        </w:tc>
      </w:tr>
      <w:tr>
        <w:tc>
          <w:tcPr>
            <w:tcW w:type="dxa" w:w="74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SCN-007</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AI-generated content causes public reputational incident (viral social media)</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Unlikely (2)</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$1M–$10M (crisis management)</w:t>
            </w:r>
          </w:p>
        </w:tc>
        <w:tc>
          <w:tcPr>
            <w:tcW w:type="dxa" w:w="159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Regulatory scrutiny (3)</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6 (Medium)</w:t>
            </w:r>
          </w:p>
        </w:tc>
        <w:tc>
          <w:tcPr>
            <w:tcW w:type="dxa" w:w="127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Crisis communications, content review, enhanced guardrails</w:t>
            </w:r>
          </w:p>
        </w:tc>
      </w:tr>
      <w:tr>
        <w:tc>
          <w:tcPr>
            <w:tcW w:type="dxa" w:w="74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SCN-008</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Insider operator exfiltrates client data via AI query manipulation</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Rare (1)</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$10M–$50M (litigation, regulatory)</w:t>
            </w:r>
          </w:p>
        </w:tc>
        <w:tc>
          <w:tcPr>
            <w:tcW w:type="dxa" w:w="159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Multiple enforcement actions (5)</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5 (Medium)</w:t>
            </w:r>
          </w:p>
        </w:tc>
        <w:tc>
          <w:tcPr>
            <w:tcW w:type="dxa" w:w="127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Forensic investigation, access revocation, notification</w:t>
            </w:r>
          </w:p>
        </w:tc>
      </w:tr>
    </w:tbl>
    <w:p>
      <w:r>
        <w:br w:type="page"/>
      </w:r>
    </w:p>
    <w:p>
      <w:pPr>
        <w:pStyle w:val="Heading2"/>
        <w:spacing w:before="280" w:after="160"/>
      </w:pPr>
      <w:r>
        <w:rPr>
          <w:rFonts w:ascii="Arial" w:cs="Arial" w:eastAsia="Arial" w:hAnsi="Arial"/>
          <w:b/>
          <w:bCs/>
          <w:color w:val="6A1B9A"/>
          <w:sz w:val="28"/>
          <w:szCs w:val="28"/>
        </w:rPr>
        <w:t xml:space="preserve">6.2 Stress Testing Scenarios</w:t>
      </w:r>
    </w:p>
    <w:p>
      <w:pPr>
        <w:spacing w:after="120"/>
      </w:pPr>
      <w:r>
        <w:rPr>
          <w:rFonts w:ascii="Arial" w:cs="Arial" w:eastAsia="Arial" w:hAnsi="Arial"/>
          <w:sz w:val="22"/>
          <w:szCs w:val="22"/>
        </w:rPr>
        <w:t xml:space="preserve">These scenarios are tested annually through tabletop exercises with the AI Governance Committee:</w:t>
      </w:r>
    </w:p>
    <w:p>
      <w:pPr>
        <w:spacing w:after="100"/>
      </w:pPr>
      <w:r>
        <w:rPr>
          <w:rFonts w:ascii="Arial" w:cs="Arial" w:eastAsia="Arial" w:hAnsi="Arial"/>
          <w:b/>
          <w:bCs/>
          <w:sz w:val="22"/>
          <w:szCs w:val="22"/>
        </w:rPr>
        <w:t xml:space="preserve">Tabletop 1 — Regulatory Raid: </w:t>
      </w:r>
      <w:r>
        <w:rPr>
          <w:rFonts w:ascii="Arial" w:cs="Arial" w:eastAsia="Arial" w:hAnsi="Arial"/>
          <w:sz w:val="22"/>
          <w:szCs w:val="22"/>
        </w:rPr>
        <w:t xml:space="preserve">Regulators arrive for an unannounced examination of the AI system. Can the team produce all required documentation, audit trails, and compliance evidence within 24 hours?</w:t>
      </w:r>
    </w:p>
    <w:p>
      <w:pPr>
        <w:spacing w:after="100"/>
      </w:pPr>
      <w:r>
        <w:rPr>
          <w:rFonts w:ascii="Arial" w:cs="Arial" w:eastAsia="Arial" w:hAnsi="Arial"/>
          <w:b/>
          <w:bCs/>
          <w:sz w:val="22"/>
          <w:szCs w:val="22"/>
        </w:rPr>
        <w:t xml:space="preserve">Tabletop 2 — Cascading AI Failure: </w:t>
      </w:r>
      <w:r>
        <w:rPr>
          <w:rFonts w:ascii="Arial" w:cs="Arial" w:eastAsia="Arial" w:hAnsi="Arial"/>
          <w:sz w:val="22"/>
          <w:szCs w:val="22"/>
        </w:rPr>
        <w:t xml:space="preserve">The Critic service fails at 2am. The fail-closed mechanism prevents responses, but 30,000 advisors arrive at 8am unable to use the system. What is the communication plan, manual workaround, and restoration timeline?</w:t>
      </w:r>
    </w:p>
    <w:p>
      <w:pPr>
        <w:spacing w:after="100"/>
      </w:pPr>
      <w:r>
        <w:rPr>
          <w:rFonts w:ascii="Arial" w:cs="Arial" w:eastAsia="Arial" w:hAnsi="Arial"/>
          <w:b/>
          <w:bCs/>
          <w:sz w:val="22"/>
          <w:szCs w:val="22"/>
        </w:rPr>
        <w:t xml:space="preserve">Tabletop 3 — Model Poisoning Discovery: </w:t>
      </w:r>
      <w:r>
        <w:rPr>
          <w:rFonts w:ascii="Arial" w:cs="Arial" w:eastAsia="Arial" w:hAnsi="Arial"/>
          <w:sz w:val="22"/>
          <w:szCs w:val="22"/>
        </w:rPr>
        <w:t xml:space="preserve">The provenance verification system detects that a model used for the past 30 days had a tampered weight file. What is the blast radius assessment, client notification decision, and remediation plan?</w:t>
      </w:r>
    </w:p>
    <w:p>
      <w:pPr>
        <w:spacing w:after="100"/>
      </w:pPr>
      <w:r>
        <w:rPr>
          <w:rFonts w:ascii="Arial" w:cs="Arial" w:eastAsia="Arial" w:hAnsi="Arial"/>
          <w:b/>
          <w:bCs/>
          <w:sz w:val="22"/>
          <w:szCs w:val="22"/>
        </w:rPr>
        <w:t xml:space="preserve">Tabletop 4 — AI Ethics Incident: </w:t>
      </w:r>
      <w:r>
        <w:rPr>
          <w:rFonts w:ascii="Arial" w:cs="Arial" w:eastAsia="Arial" w:hAnsi="Arial"/>
          <w:sz w:val="22"/>
          <w:szCs w:val="22"/>
        </w:rPr>
        <w:t xml:space="preserve">The system generates content that is factually correct but culturally insensitive, and a client posts it on social media. How does the organization respond across communications, product, legal, and compliance?</w:t>
      </w:r>
    </w:p>
    <w:p>
      <w:r>
        <w:br w:type="page"/>
      </w:r>
    </w:p>
    <w:p>
      <w:pPr>
        <w:pStyle w:val="Heading1"/>
        <w:spacing w:before="360" w:after="200"/>
      </w:pPr>
      <w:r>
        <w:rPr>
          <w:rFonts w:ascii="Arial" w:cs="Arial" w:eastAsia="Arial" w:hAnsi="Arial"/>
          <w:b/>
          <w:bCs/>
          <w:color w:val="4A148C"/>
          <w:sz w:val="36"/>
          <w:szCs w:val="36"/>
        </w:rPr>
        <w:t xml:space="preserve">7. Business Impact Analysis</w:t>
      </w:r>
    </w:p>
    <w:p>
      <w:pPr>
        <w:spacing w:after="80"/>
      </w:pPr>
    </w:p>
    <w:p>
      <w:pPr>
        <w:pStyle w:val="Heading2"/>
        <w:spacing w:before="280" w:after="160"/>
      </w:pPr>
      <w:r>
        <w:rPr>
          <w:rFonts w:ascii="Arial" w:cs="Arial" w:eastAsia="Arial" w:hAnsi="Arial"/>
          <w:b/>
          <w:bCs/>
          <w:color w:val="6A1B9A"/>
          <w:sz w:val="28"/>
          <w:szCs w:val="28"/>
        </w:rPr>
        <w:t xml:space="preserve">7.1 Dependent Business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1826"/>
        <w:gridCol w:w="1141"/>
        <w:gridCol w:w="1598"/>
        <w:gridCol w:w="2055"/>
        <w:gridCol w:w="1142"/>
      </w:tblGrid>
      <w:tr>
        <w:trPr>
          <w:tblHeader/>
        </w:trPr>
        <w:tc>
          <w:tcPr>
            <w:tcW w:type="dxa" w:w="159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Business Process</w:t>
            </w:r>
          </w:p>
        </w:tc>
        <w:tc>
          <w:tcPr>
            <w:tcW w:type="dxa" w:w="182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STC Dependency</w:t>
            </w:r>
          </w:p>
        </w:tc>
        <w:tc>
          <w:tcPr>
            <w:tcW w:type="dxa" w:w="114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Users Affected</w:t>
            </w:r>
          </w:p>
        </w:tc>
        <w:tc>
          <w:tcPr>
            <w:tcW w:type="dxa" w:w="159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Impact of Outage (per hour)</w:t>
            </w:r>
          </w:p>
        </w:tc>
        <w:tc>
          <w:tcPr>
            <w:tcW w:type="dxa" w:w="205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Manual Workaround</w:t>
            </w:r>
          </w:p>
        </w:tc>
        <w:tc>
          <w:tcPr>
            <w:tcW w:type="dxa" w:w="114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Max Tolerable Downtime</w:t>
            </w:r>
          </w:p>
        </w:tc>
      </w:tr>
      <w:tr>
        <w:tc>
          <w:tcPr>
            <w:tcW w:type="dxa" w:w="15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Advisor client meeting prep</w:t>
            </w:r>
          </w:p>
        </w:tc>
        <w:tc>
          <w:tcPr>
            <w:tcW w:type="dxa" w:w="182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Financial Q&amp;A, document retrieval</w:t>
            </w:r>
          </w:p>
        </w:tc>
        <w:tc>
          <w:tcPr>
            <w:tcW w:type="dxa" w:w="114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30,000 advisors</w:t>
            </w:r>
          </w:p>
        </w:tc>
        <w:tc>
          <w:tcPr>
            <w:tcW w:type="dxa" w:w="15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$50K (productivity loss)</w:t>
            </w:r>
          </w:p>
        </w:tc>
        <w:tc>
          <w:tcPr>
            <w:tcW w:type="dxa" w:w="205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Manual document search, legacy tools</w:t>
            </w:r>
          </w:p>
        </w:tc>
        <w:tc>
          <w:tcPr>
            <w:tcW w:type="dxa" w:w="114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15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Portfolio review support</w:t>
            </w:r>
          </w:p>
        </w:tc>
        <w:tc>
          <w:tcPr>
            <w:tcW w:type="dxa" w:w="182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AI-powered analysis, performance Q&amp;A</w:t>
            </w:r>
          </w:p>
        </w:tc>
        <w:tc>
          <w:tcPr>
            <w:tcW w:type="dxa" w:w="114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15,000 advisors</w:t>
            </w:r>
          </w:p>
        </w:tc>
        <w:tc>
          <w:tcPr>
            <w:tcW w:type="dxa" w:w="15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$75K (delayed reviews)</w:t>
            </w:r>
          </w:p>
        </w:tc>
        <w:tc>
          <w:tcPr>
            <w:tcW w:type="dxa" w:w="205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Manual spreadsheet analysis</w:t>
            </w:r>
          </w:p>
        </w:tc>
        <w:tc>
          <w:tcPr>
            <w:tcW w:type="dxa" w:w="114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8 hours</w:t>
            </w:r>
          </w:p>
        </w:tc>
      </w:tr>
      <w:tr>
        <w:tc>
          <w:tcPr>
            <w:tcW w:type="dxa" w:w="15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Compliance document review</w:t>
            </w:r>
          </w:p>
        </w:tc>
        <w:tc>
          <w:tcPr>
            <w:tcW w:type="dxa" w:w="182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Regulatory document retrieval, summarization</w:t>
            </w:r>
          </w:p>
        </w:tc>
        <w:tc>
          <w:tcPr>
            <w:tcW w:type="dxa" w:w="114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500 compliance staff</w:t>
            </w:r>
          </w:p>
        </w:tc>
        <w:tc>
          <w:tcPr>
            <w:tcW w:type="dxa" w:w="15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$25K (delayed reviews)</w:t>
            </w:r>
          </w:p>
        </w:tc>
        <w:tc>
          <w:tcPr>
            <w:tcW w:type="dxa" w:w="205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Manual document review</w:t>
            </w:r>
          </w:p>
        </w:tc>
        <w:tc>
          <w:tcPr>
            <w:tcW w:type="dxa" w:w="114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5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Client reporting</w:t>
            </w:r>
          </w:p>
        </w:tc>
        <w:tc>
          <w:tcPr>
            <w:tcW w:type="dxa" w:w="182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Report generation, data synthesis</w:t>
            </w:r>
          </w:p>
        </w:tc>
        <w:tc>
          <w:tcPr>
            <w:tcW w:type="dxa" w:w="114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10,000 advisors</w:t>
            </w:r>
          </w:p>
        </w:tc>
        <w:tc>
          <w:tcPr>
            <w:tcW w:type="dxa" w:w="159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$100K (delayed reports)</w:t>
            </w:r>
          </w:p>
        </w:tc>
        <w:tc>
          <w:tcPr>
            <w:tcW w:type="dxa" w:w="205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Legacy report generator</w:t>
            </w:r>
          </w:p>
        </w:tc>
        <w:tc>
          <w:tcPr>
            <w:tcW w:type="dxa" w:w="114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4 hours</w:t>
            </w:r>
          </w:p>
        </w:tc>
      </w:tr>
      <w:tr>
        <w:tc>
          <w:tcPr>
            <w:tcW w:type="dxa" w:w="15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New account onboarding</w:t>
            </w:r>
          </w:p>
        </w:tc>
        <w:tc>
          <w:tcPr>
            <w:tcW w:type="dxa" w:w="182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Document processing, KYC support</w:t>
            </w:r>
          </w:p>
        </w:tc>
        <w:tc>
          <w:tcPr>
            <w:tcW w:type="dxa" w:w="114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5,000 operations staff</w:t>
            </w:r>
          </w:p>
        </w:tc>
        <w:tc>
          <w:tcPr>
            <w:tcW w:type="dxa" w:w="159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$30K (delayed onboarding)</w:t>
            </w:r>
          </w:p>
        </w:tc>
        <w:tc>
          <w:tcPr>
            <w:tcW w:type="dxa" w:w="205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Manual processing</w:t>
            </w:r>
          </w:p>
        </w:tc>
        <w:tc>
          <w:tcPr>
            <w:tcW w:type="dxa" w:w="114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8 hours</w:t>
            </w:r>
          </w:p>
        </w:tc>
      </w:tr>
    </w:tbl>
    <w:p>
      <w:pPr>
        <w:spacing w:after="80"/>
      </w:pPr>
    </w:p>
    <w:p>
      <w:pPr>
        <w:pStyle w:val="Heading2"/>
        <w:spacing w:before="280" w:after="160"/>
      </w:pPr>
      <w:r>
        <w:rPr>
          <w:rFonts w:ascii="Arial" w:cs="Arial" w:eastAsia="Arial" w:hAnsi="Arial"/>
          <w:b/>
          <w:bCs/>
          <w:color w:val="6A1B9A"/>
          <w:sz w:val="28"/>
          <w:szCs w:val="28"/>
        </w:rPr>
        <w:t xml:space="preserve">7.2 Regulatory Notification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7"/>
        <w:gridCol w:w="1702"/>
        <w:gridCol w:w="1915"/>
        <w:gridCol w:w="3616"/>
      </w:tblGrid>
      <w:tr>
        <w:trPr>
          <w:tblHeader/>
        </w:trPr>
        <w:tc>
          <w:tcPr>
            <w:tcW w:type="dxa" w:w="212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70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Notification Required</w:t>
            </w:r>
          </w:p>
        </w:tc>
        <w:tc>
          <w:tcPr>
            <w:tcW w:type="dxa" w:w="191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1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r>
      <w:tr>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Data breach involving PII</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Yes</w:t>
            </w:r>
          </w:p>
        </w:tc>
        <w:tc>
          <w:tcPr>
            <w:tcW w:type="dxa" w:w="191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72 hours (GDPR), “prompt” (state laws)</w:t>
            </w:r>
          </w:p>
        </w:tc>
        <w:tc>
          <w:tcPr>
            <w:tcW w:type="dxa" w:w="361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Supervisory authority, affected individuals</w:t>
            </w:r>
          </w:p>
        </w:tc>
      </w:tr>
      <w:tr>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System outage &gt; 4 hours</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Depends on client impact</w:t>
            </w:r>
          </w:p>
        </w:tc>
        <w:tc>
          <w:tcPr>
            <w:tcW w:type="dxa" w:w="191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Next business day</w:t>
            </w:r>
          </w:p>
        </w:tc>
        <w:tc>
          <w:tcPr>
            <w:tcW w:type="dxa" w:w="361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FINRA (if affects regulatory obligations)</w:t>
            </w:r>
          </w:p>
        </w:tc>
      </w:tr>
      <w:tr>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AI-generated investment advice</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Yes (as supervisory failure)</w:t>
            </w:r>
          </w:p>
        </w:tc>
        <w:tc>
          <w:tcPr>
            <w:tcW w:type="dxa" w:w="191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Within 30 days</w:t>
            </w:r>
          </w:p>
        </w:tc>
        <w:tc>
          <w:tcPr>
            <w:tcW w:type="dxa" w:w="361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FINRA (Rule 3110 violation)</w:t>
            </w:r>
          </w:p>
        </w:tc>
      </w:tr>
      <w:tr>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Material cyber incident</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1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72 hours</w:t>
            </w:r>
          </w:p>
        </w:tc>
        <w:tc>
          <w:tcPr>
            <w:tcW w:type="dxa" w:w="361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SEC (Reg S-P), FINRA, state regulators</w:t>
            </w:r>
          </w:p>
        </w:tc>
      </w:tr>
      <w:tr>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Model integrity compromise</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Assess based on impact</w:t>
            </w:r>
          </w:p>
        </w:tc>
        <w:tc>
          <w:tcPr>
            <w:tcW w:type="dxa" w:w="191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Within 72 hours of determination</w:t>
            </w:r>
          </w:p>
        </w:tc>
        <w:tc>
          <w:tcPr>
            <w:tcW w:type="dxa" w:w="361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FINRA, potentially SEC</w:t>
            </w:r>
          </w:p>
        </w:tc>
      </w:tr>
    </w:tbl>
    <w:p>
      <w:r>
        <w:br w:type="page"/>
      </w:r>
    </w:p>
    <w:p>
      <w:pPr>
        <w:pStyle w:val="Heading1"/>
        <w:spacing w:before="360" w:after="200"/>
      </w:pPr>
      <w:r>
        <w:rPr>
          <w:rFonts w:ascii="Arial" w:cs="Arial" w:eastAsia="Arial" w:hAnsi="Arial"/>
          <w:b/>
          <w:bCs/>
          <w:color w:val="4A148C"/>
          <w:sz w:val="36"/>
          <w:szCs w:val="36"/>
        </w:rPr>
        <w:t xml:space="preserve">8. Risk-Adjusted Decision Making</w:t>
      </w:r>
    </w:p>
    <w:p>
      <w:pPr>
        <w:spacing w:after="120"/>
      </w:pPr>
      <w:r>
        <w:rPr>
          <w:rFonts w:ascii="Arial" w:cs="Arial" w:eastAsia="Arial" w:hAnsi="Arial"/>
          <w:sz w:val="22"/>
          <w:szCs w:val="22"/>
        </w:rPr>
        <w:t xml:space="preserve">When the Trainer autonomously optimizes model routing, cost allocation, or prompt configuration, those decisions must be risk-adjusted — not purely optimized for accuracy or cost.</w:t>
      </w:r>
    </w:p>
    <w:p>
      <w:pPr>
        <w:spacing w:after="80"/>
      </w:pPr>
    </w:p>
    <w:p>
      <w:pPr>
        <w:pStyle w:val="Heading2"/>
        <w:spacing w:before="280" w:after="160"/>
      </w:pPr>
      <w:r>
        <w:rPr>
          <w:rFonts w:ascii="Arial" w:cs="Arial" w:eastAsia="Arial" w:hAnsi="Arial"/>
          <w:b/>
          <w:bCs/>
          <w:color w:val="6A1B9A"/>
          <w:sz w:val="28"/>
          <w:szCs w:val="28"/>
        </w:rPr>
        <w:t xml:space="preserve">8.1 Optimization Risk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1064"/>
        <w:gridCol w:w="957"/>
        <w:gridCol w:w="957"/>
        <w:gridCol w:w="4893"/>
      </w:tblGrid>
      <w:tr>
        <w:trPr>
          <w:tblHeader/>
        </w:trPr>
        <w:tc>
          <w:tcPr>
            <w:tcW w:type="dxa" w:w="148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064"/>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Accuracy Weight</w:t>
            </w:r>
          </w:p>
        </w:tc>
        <w:tc>
          <w:tcPr>
            <w:tcW w:type="dxa" w:w="95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Cost Weight</w:t>
            </w:r>
          </w:p>
        </w:tc>
        <w:tc>
          <w:tcPr>
            <w:tcW w:type="dxa" w:w="95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Weight</w:t>
            </w:r>
          </w:p>
        </w:tc>
        <w:tc>
          <w:tcPr>
            <w:tcW w:type="dxa" w:w="489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Risk Factors Considered</w:t>
            </w:r>
          </w:p>
        </w:tc>
      </w:tr>
      <w:tr>
        <w:tc>
          <w:tcPr>
            <w:tcW w:type="dxa" w:w="148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Model selection</w:t>
            </w:r>
          </w:p>
        </w:tc>
        <w:tc>
          <w:tcPr>
            <w:tcW w:type="dxa" w:w="106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0.40</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0.20</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0.40</w:t>
            </w:r>
          </w:p>
        </w:tc>
        <w:tc>
          <w:tcPr>
            <w:tcW w:type="dxa" w:w="489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Model provenance trust level, safety profile, data sovereignty tier, evaluation suite performance</w:t>
            </w:r>
          </w:p>
        </w:tc>
      </w:tr>
      <w:tr>
        <w:tc>
          <w:tcPr>
            <w:tcW w:type="dxa" w:w="148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Provider routing</w:t>
            </w:r>
          </w:p>
        </w:tc>
        <w:tc>
          <w:tcPr>
            <w:tcW w:type="dxa" w:w="1064"/>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0.30</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0.30</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0.40</w:t>
            </w:r>
          </w:p>
        </w:tc>
        <w:tc>
          <w:tcPr>
            <w:tcW w:type="dxa" w:w="489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Provider risk assessment score, data classification tier, vendor concentration ratio</w:t>
            </w:r>
          </w:p>
        </w:tc>
      </w:tr>
      <w:tr>
        <w:tc>
          <w:tcPr>
            <w:tcW w:type="dxa" w:w="148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Prompt modification</w:t>
            </w:r>
          </w:p>
        </w:tc>
        <w:tc>
          <w:tcPr>
            <w:tcW w:type="dxa" w:w="106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0.50</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0.10</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0.40</w:t>
            </w:r>
          </w:p>
        </w:tc>
        <w:tc>
          <w:tcPr>
            <w:tcW w:type="dxa" w:w="489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Scope violation risk, hallucination tendency, bias potential</w:t>
            </w:r>
          </w:p>
        </w:tc>
      </w:tr>
      <w:tr>
        <w:tc>
          <w:tcPr>
            <w:tcW w:type="dxa" w:w="148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Context window sizing</w:t>
            </w:r>
          </w:p>
        </w:tc>
        <w:tc>
          <w:tcPr>
            <w:tcW w:type="dxa" w:w="1064"/>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0.40</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0.30</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0.30</w:t>
            </w:r>
          </w:p>
        </w:tc>
        <w:tc>
          <w:tcPr>
            <w:tcW w:type="dxa" w:w="489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PII exposure surface area, cost per token, retrieval accuracy</w:t>
            </w:r>
          </w:p>
        </w:tc>
      </w:tr>
      <w:tr>
        <w:tc>
          <w:tcPr>
            <w:tcW w:type="dxa" w:w="148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Fallback activation</w:t>
            </w:r>
          </w:p>
        </w:tc>
        <w:tc>
          <w:tcPr>
            <w:tcW w:type="dxa" w:w="106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0.20</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0.10</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0.70</w:t>
            </w:r>
          </w:p>
        </w:tc>
        <w:tc>
          <w:tcPr>
            <w:tcW w:type="dxa" w:w="489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Data sovereignty compliance, model safety certification, availability requirement</w:t>
            </w:r>
          </w:p>
        </w:tc>
      </w:tr>
    </w:tbl>
    <w:p>
      <w:pPr>
        <w:spacing w:after="80"/>
      </w:pPr>
    </w:p>
    <w:p>
      <w:pPr>
        <w:spacing w:after="120"/>
      </w:pPr>
      <w:r>
        <w:rPr>
          <w:rFonts w:ascii="Arial" w:cs="Arial" w:eastAsia="Arial" w:hAnsi="Arial"/>
          <w:sz w:val="22"/>
          <w:szCs w:val="22"/>
        </w:rPr>
        <w:t xml:space="preserve">Risk weights are enforced in the Trainer’s optimization function (risk/risk_adjusted_optimizer.py). The optimizer computes a composite score where risk factors can veto a decision even if accuracy and cost are optimal. For example, a model with 99% accuracy and 50% lower cost will be rejected if its provenance trust level is “suspicious.”</w:t>
      </w:r>
    </w:p>
    <w:p>
      <w:r>
        <w:br w:type="page"/>
      </w:r>
    </w:p>
    <w:p>
      <w:pPr>
        <w:pStyle w:val="Heading1"/>
        <w:spacing w:before="360" w:after="200"/>
      </w:pPr>
      <w:r>
        <w:rPr>
          <w:rFonts w:ascii="Arial" w:cs="Arial" w:eastAsia="Arial" w:hAnsi="Arial"/>
          <w:b/>
          <w:bCs/>
          <w:color w:val="4A148C"/>
          <w:sz w:val="36"/>
          <w:szCs w:val="36"/>
        </w:rPr>
        <w:t xml:space="preserve">9. Emerging Risk &amp; Horizon Scanning</w:t>
      </w:r>
    </w:p>
    <w:p>
      <w:pPr>
        <w:spacing w:after="120"/>
      </w:pPr>
      <w:r>
        <w:rPr>
          <w:rFonts w:ascii="Arial" w:cs="Arial" w:eastAsia="Arial" w:hAnsi="Arial"/>
          <w:sz w:val="22"/>
          <w:szCs w:val="22"/>
        </w:rPr>
        <w:t xml:space="preserve">This section establishes a systematic process for identifying risks that have not yet materialized but could affect the STC system. Aligned with COSO ERM Principle 9 (Identifies Risk in the Context of Change).</w:t>
      </w:r>
    </w:p>
    <w:p>
      <w:pPr>
        <w:spacing w:after="80"/>
      </w:pPr>
    </w:p>
    <w:p>
      <w:pPr>
        <w:pStyle w:val="Heading2"/>
        <w:spacing w:before="280" w:after="160"/>
      </w:pPr>
      <w:r>
        <w:rPr>
          <w:rFonts w:ascii="Arial" w:cs="Arial" w:eastAsia="Arial" w:hAnsi="Arial"/>
          <w:b/>
          <w:bCs/>
          <w:color w:val="6A1B9A"/>
          <w:sz w:val="28"/>
          <w:szCs w:val="28"/>
        </w:rPr>
        <w:t xml:space="preserve">9.1 Horizon Scanning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2340"/>
        <w:gridCol w:w="2765"/>
        <w:gridCol w:w="1489"/>
        <w:gridCol w:w="1490"/>
      </w:tblGrid>
      <w:tr>
        <w:trPr>
          <w:tblHeader/>
        </w:trPr>
        <w:tc>
          <w:tcPr>
            <w:tcW w:type="dxa" w:w="127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Time Horizon</w:t>
            </w:r>
          </w:p>
        </w:tc>
        <w:tc>
          <w:tcPr>
            <w:tcW w:type="dxa" w:w="234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Focus Areas</w:t>
            </w:r>
          </w:p>
        </w:tc>
        <w:tc>
          <w:tcPr>
            <w:tcW w:type="dxa" w:w="276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148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1490"/>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7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Near-term (0–6 months)</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New attack vectors, provider changes, regulatory deadlines</w:t>
            </w:r>
          </w:p>
        </w:tc>
        <w:tc>
          <w:tcPr>
            <w:tcW w:type="dxa" w:w="27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Threat intelligence feeds, MITRE ATLAS updates, provider changelogs, regulatory calendars</w:t>
            </w:r>
          </w:p>
        </w:tc>
        <w:tc>
          <w:tcPr>
            <w:tcW w:type="dxa" w:w="148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Security team + Compliance</w:t>
            </w:r>
          </w:p>
        </w:tc>
        <w:tc>
          <w:tcPr>
            <w:tcW w:type="dxa" w:w="149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 emerging risk briefing</w:t>
            </w:r>
          </w:p>
        </w:tc>
      </w:tr>
      <w:tr>
        <w:tc>
          <w:tcPr>
            <w:tcW w:type="dxa" w:w="127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Medium-term (6–18 months)</w:t>
            </w:r>
          </w:p>
        </w:tc>
        <w:tc>
          <w:tcPr>
            <w:tcW w:type="dxa" w:w="234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New AI regulations, competitive AI capabilities, model capability jumps</w:t>
            </w:r>
          </w:p>
        </w:tc>
        <w:tc>
          <w:tcPr>
            <w:tcW w:type="dxa" w:w="27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Industry reports, regulatory proposals, academic papers, patent filings</w:t>
            </w:r>
          </w:p>
        </w:tc>
        <w:tc>
          <w:tcPr>
            <w:tcW w:type="dxa" w:w="148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Governance Committee</w:t>
            </w:r>
          </w:p>
        </w:tc>
        <w:tc>
          <w:tcPr>
            <w:tcW w:type="dxa" w:w="1490"/>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Quarterly emerging risk assessment</w:t>
            </w:r>
          </w:p>
        </w:tc>
      </w:tr>
      <w:tr>
        <w:tc>
          <w:tcPr>
            <w:tcW w:type="dxa" w:w="127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Long-term (18+ months)</w:t>
            </w:r>
          </w:p>
        </w:tc>
        <w:tc>
          <w:tcPr>
            <w:tcW w:type="dxa" w:w="23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AGI implications, structural market shifts, fundamental regulatory change</w:t>
            </w:r>
          </w:p>
        </w:tc>
        <w:tc>
          <w:tcPr>
            <w:tcW w:type="dxa" w:w="27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Strategic planning, industry forums, cross-industry working groups</w:t>
            </w:r>
          </w:p>
        </w:tc>
        <w:tc>
          <w:tcPr>
            <w:tcW w:type="dxa" w:w="148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Global CIO + Strategy</w:t>
            </w:r>
          </w:p>
        </w:tc>
        <w:tc>
          <w:tcPr>
            <w:tcW w:type="dxa" w:w="149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Annual strategic risk review</w:t>
            </w:r>
          </w:p>
        </w:tc>
      </w:tr>
    </w:tbl>
    <w:p>
      <w:pPr>
        <w:spacing w:after="80"/>
      </w:pPr>
    </w:p>
    <w:p>
      <w:pPr>
        <w:pStyle w:val="Heading2"/>
        <w:spacing w:before="280" w:after="160"/>
      </w:pPr>
      <w:r>
        <w:rPr>
          <w:rFonts w:ascii="Arial" w:cs="Arial" w:eastAsia="Arial" w:hAnsi="Arial"/>
          <w:b/>
          <w:bCs/>
          <w:color w:val="6A1B9A"/>
          <w:sz w:val="28"/>
          <w:szCs w:val="28"/>
        </w:rPr>
        <w:t xml:space="preserve">9.2 Current Emerging Risk Watch List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8"/>
        <w:gridCol w:w="2553"/>
        <w:gridCol w:w="638"/>
        <w:gridCol w:w="851"/>
        <w:gridCol w:w="2127"/>
        <w:gridCol w:w="2553"/>
      </w:tblGrid>
      <w:tr>
        <w:trPr>
          <w:tblHeader/>
        </w:trPr>
        <w:tc>
          <w:tcPr>
            <w:tcW w:type="dxa" w:w="63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5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Emerging Risk</w:t>
            </w:r>
          </w:p>
        </w:tc>
        <w:tc>
          <w:tcPr>
            <w:tcW w:type="dxa" w:w="63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85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12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Potential Impact</w:t>
            </w:r>
          </w:p>
        </w:tc>
        <w:tc>
          <w:tcPr>
            <w:tcW w:type="dxa" w:w="2553"/>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Monitoring Action</w:t>
            </w:r>
          </w:p>
        </w:tc>
      </w:tr>
      <w:tr>
        <w:tc>
          <w:tcPr>
            <w:tcW w:type="dxa" w:w="63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ER-001</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EU AI Act enforcement begins (expected Aug 2026)</w:t>
            </w:r>
          </w:p>
        </w:tc>
        <w:tc>
          <w:tcPr>
            <w:tcW w:type="dxa" w:w="63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Near</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High</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Conformity assessment required</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Track enforcement guidance; engage EU counsel</w:t>
            </w:r>
          </w:p>
        </w:tc>
      </w:tr>
      <w:tr>
        <w:tc>
          <w:tcPr>
            <w:tcW w:type="dxa" w:w="63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ER-002</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Multi-modal AI attacks (image/audio injection)</w:t>
            </w:r>
          </w:p>
        </w:tc>
        <w:tc>
          <w:tcPr>
            <w:tcW w:type="dxa" w:w="63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Near</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New attack surface not covered by text-only firewall</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Monitor MITRE ATLAS updates; evaluate multi-modal defenses</w:t>
            </w:r>
          </w:p>
        </w:tc>
      </w:tr>
      <w:tr>
        <w:tc>
          <w:tcPr>
            <w:tcW w:type="dxa" w:w="63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ER-003</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Agent-to-agent protocol standardization (A2A, MCP evolution)</w:t>
            </w:r>
          </w:p>
        </w:tc>
        <w:tc>
          <w:tcPr>
            <w:tcW w:type="dxa" w:w="63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Medium</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New governance requirements for agent interactions</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Participate in standards bodies; update MCP catalog governance</w:t>
            </w:r>
          </w:p>
        </w:tc>
      </w:tr>
      <w:tr>
        <w:tc>
          <w:tcPr>
            <w:tcW w:type="dxa" w:w="63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ER-004</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SEC proposed rule on AI in investment advice</w:t>
            </w:r>
          </w:p>
        </w:tc>
        <w:tc>
          <w:tcPr>
            <w:tcW w:type="dxa" w:w="63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5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May require explicit AI disclosure and supervision changes</w:t>
            </w:r>
          </w:p>
        </w:tc>
        <w:tc>
          <w:tcPr>
            <w:tcW w:type="dxa" w:w="2553"/>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Track SEC rulemaking; prepare compliance gap analysis</w:t>
            </w:r>
          </w:p>
        </w:tc>
      </w:tr>
      <w:tr>
        <w:tc>
          <w:tcPr>
            <w:tcW w:type="dxa" w:w="63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ER-005</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Quantum computing threat to encryption</w:t>
            </w:r>
          </w:p>
        </w:tc>
        <w:tc>
          <w:tcPr>
            <w:tcW w:type="dxa" w:w="63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Long</w:t>
            </w:r>
          </w:p>
        </w:tc>
        <w:tc>
          <w:tcPr>
            <w:tcW w:type="dxa" w:w="85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Low</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Encryption at rest and surrogate tokenization may be vulnerable</w:t>
            </w:r>
          </w:p>
        </w:tc>
        <w:tc>
          <w:tcPr>
            <w:tcW w:type="dxa" w:w="2553"/>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Monitor NIST post-quantum standards; plan migration path</w:t>
            </w:r>
          </w:p>
        </w:tc>
      </w:tr>
    </w:tbl>
    <w:p>
      <w:r>
        <w:br w:type="page"/>
      </w:r>
    </w:p>
    <w:p>
      <w:pPr>
        <w:pStyle w:val="Heading1"/>
        <w:spacing w:before="360" w:after="200"/>
      </w:pPr>
      <w:r>
        <w:rPr>
          <w:rFonts w:ascii="Arial" w:cs="Arial" w:eastAsia="Arial" w:hAnsi="Arial"/>
          <w:b/>
          <w:bCs/>
          <w:color w:val="4A148C"/>
          <w:sz w:val="36"/>
          <w:szCs w:val="36"/>
        </w:rPr>
        <w:t xml:space="preserve">10. Risk Reporting Framework</w:t>
      </w:r>
    </w:p>
    <w:p>
      <w:pPr>
        <w:spacing w:after="80"/>
      </w:pPr>
    </w:p>
    <w:p>
      <w:pPr>
        <w:pStyle w:val="Heading2"/>
        <w:spacing w:before="280" w:after="160"/>
      </w:pPr>
      <w:r>
        <w:rPr>
          <w:rFonts w:ascii="Arial" w:cs="Arial" w:eastAsia="Arial" w:hAnsi="Arial"/>
          <w:b/>
          <w:bCs/>
          <w:color w:val="6A1B9A"/>
          <w:sz w:val="28"/>
          <w:szCs w:val="28"/>
        </w:rPr>
        <w:t xml:space="preserve">10.1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1702"/>
        <w:gridCol w:w="957"/>
        <w:gridCol w:w="3191"/>
        <w:gridCol w:w="1808"/>
      </w:tblGrid>
      <w:tr>
        <w:trPr>
          <w:tblHeader/>
        </w:trPr>
        <w:tc>
          <w:tcPr>
            <w:tcW w:type="dxa" w:w="170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170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95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191"/>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808"/>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Operational Risk Dashboard</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Engineering, SRE, on-call</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Real-time</w:t>
            </w:r>
          </w:p>
        </w:tc>
        <w:tc>
          <w:tcPr>
            <w:tcW w:type="dxa" w:w="319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KRIs (all), system health, open exceptions, circuit breaker state</w:t>
            </w:r>
          </w:p>
        </w:tc>
        <w:tc>
          <w:tcPr>
            <w:tcW w:type="dxa" w:w="180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Grafana dashboard</w:t>
            </w:r>
          </w:p>
        </w:tc>
      </w:tr>
      <w:tr>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Management Risk Report</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AI Governance Committee</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19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 trends, risk register changes, exception summary, control effectiveness, emerging risks</w:t>
            </w:r>
          </w:p>
        </w:tc>
        <w:tc>
          <w:tcPr>
            <w:tcW w:type="dxa" w:w="180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PowerPoint + discussion</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Executive Risk Summary</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Enterprise Risk Committee</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Quarterly</w:t>
            </w:r>
          </w:p>
        </w:tc>
        <w:tc>
          <w:tcPr>
            <w:tcW w:type="dxa" w:w="319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Top risks, appetite breaches, material incidents, residual risk changes, regulatory updates</w:t>
            </w:r>
          </w:p>
        </w:tc>
        <w:tc>
          <w:tcPr>
            <w:tcW w:type="dxa" w:w="180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1-page summary + appendix</w:t>
            </w:r>
          </w:p>
        </w:tc>
      </w:tr>
      <w:tr>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Board Risk Overview</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Board Risk Committee</w:t>
            </w:r>
          </w:p>
        </w:tc>
        <w:tc>
          <w:tcPr>
            <w:tcW w:type="dxa" w:w="95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3191"/>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Material AI risks, appetite compliance, strategic risk outlook, regulatory horizon</w:t>
            </w:r>
          </w:p>
        </w:tc>
        <w:tc>
          <w:tcPr>
            <w:tcW w:type="dxa" w:w="1808"/>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Board memo (2–3 pages)</w:t>
            </w:r>
          </w:p>
        </w:tc>
      </w:tr>
      <w:tr>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Regulatory Report</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FINRA, SEC, state regulators</w:t>
            </w:r>
          </w:p>
        </w:tc>
        <w:tc>
          <w:tcPr>
            <w:tcW w:type="dxa" w:w="95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As required</w:t>
            </w:r>
          </w:p>
        </w:tc>
        <w:tc>
          <w:tcPr>
            <w:tcW w:type="dxa" w:w="3191"/>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Incident reports, examination responses, compliance attestations</w:t>
            </w:r>
          </w:p>
        </w:tc>
        <w:tc>
          <w:tcPr>
            <w:tcW w:type="dxa" w:w="1808"/>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Regulatory format</w:t>
            </w:r>
          </w:p>
        </w:tc>
      </w:tr>
    </w:tbl>
    <w:p>
      <w:pPr>
        <w:spacing w:after="80"/>
      </w:pPr>
    </w:p>
    <w:p>
      <w:pPr>
        <w:pStyle w:val="Heading2"/>
        <w:spacing w:before="280" w:after="160"/>
      </w:pPr>
      <w:r>
        <w:rPr>
          <w:rFonts w:ascii="Arial" w:cs="Arial" w:eastAsia="Arial" w:hAnsi="Arial"/>
          <w:b/>
          <w:bCs/>
          <w:color w:val="6A1B9A"/>
          <w:sz w:val="28"/>
          <w:szCs w:val="28"/>
        </w:rPr>
        <w:t xml:space="preserve">10.2 Risk Dashboard Content</w:t>
      </w:r>
    </w:p>
    <w:p>
      <w:pPr>
        <w:spacing w:after="120"/>
      </w:pPr>
      <w:r>
        <w:rPr>
          <w:rFonts w:ascii="Arial" w:cs="Arial" w:eastAsia="Arial" w:hAnsi="Arial"/>
          <w:sz w:val="22"/>
          <w:szCs w:val="22"/>
        </w:rPr>
        <w:t xml:space="preserve">The risk dashboard (distinct from the operational monitoring dashboard) displays: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7"/>
        <w:gridCol w:w="5419"/>
        <w:gridCol w:w="1724"/>
      </w:tblGrid>
      <w:tr>
        <w:trPr>
          <w:tblHeader/>
        </w:trPr>
        <w:tc>
          <w:tcPr>
            <w:tcW w:type="dxa" w:w="221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5419"/>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724"/>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21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Risk Heat Map</w:t>
            </w:r>
          </w:p>
        </w:tc>
        <w:tc>
          <w:tcPr>
            <w:tcW w:type="dxa" w:w="54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All risks from register plotted on likelihood/impact matrix</w:t>
            </w:r>
          </w:p>
        </w:tc>
        <w:tc>
          <w:tcPr>
            <w:tcW w:type="dxa" w:w="172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Weekly (or on change)</w:t>
            </w:r>
          </w:p>
        </w:tc>
      </w:tr>
      <w:tr>
        <w:tc>
          <w:tcPr>
            <w:tcW w:type="dxa" w:w="221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KRI Traffic Lights</w:t>
            </w:r>
          </w:p>
        </w:tc>
        <w:tc>
          <w:tcPr>
            <w:tcW w:type="dxa" w:w="54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All 15 KRIs with green/amber/red status</w:t>
            </w:r>
          </w:p>
        </w:tc>
        <w:tc>
          <w:tcPr>
            <w:tcW w:type="dxa" w:w="1724"/>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Real-time (leading) / daily (lagging)</w:t>
            </w:r>
          </w:p>
        </w:tc>
      </w:tr>
      <w:tr>
        <w:tc>
          <w:tcPr>
            <w:tcW w:type="dxa" w:w="221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Risk Appetite Compliance</w:t>
            </w:r>
          </w:p>
        </w:tc>
        <w:tc>
          <w:tcPr>
            <w:tcW w:type="dxa" w:w="54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Each appetite statement with current status</w:t>
            </w:r>
          </w:p>
        </w:tc>
        <w:tc>
          <w:tcPr>
            <w:tcW w:type="dxa" w:w="172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21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Exception Aging</w:t>
            </w:r>
          </w:p>
        </w:tc>
        <w:tc>
          <w:tcPr>
            <w:tcW w:type="dxa" w:w="54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Open exceptions by severity with SLA status</w:t>
            </w:r>
          </w:p>
        </w:tc>
        <w:tc>
          <w:tcPr>
            <w:tcW w:type="dxa" w:w="1724"/>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221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Emerging Risk Radar</w:t>
            </w:r>
          </w:p>
        </w:tc>
        <w:tc>
          <w:tcPr>
            <w:tcW w:type="dxa" w:w="5419"/>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Watch list items with probability and time horizon</w:t>
            </w:r>
          </w:p>
        </w:tc>
        <w:tc>
          <w:tcPr>
            <w:tcW w:type="dxa" w:w="1724"/>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21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Control Effectiveness</w:t>
            </w:r>
          </w:p>
        </w:tc>
        <w:tc>
          <w:tcPr>
            <w:tcW w:type="dxa" w:w="5419"/>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Control test pass rates trending over 90 days</w:t>
            </w:r>
          </w:p>
        </w:tc>
        <w:tc>
          <w:tcPr>
            <w:tcW w:type="dxa" w:w="1724"/>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Weekly</w:t>
            </w:r>
          </w:p>
        </w:tc>
      </w:tr>
    </w:tbl>
    <w:p>
      <w:r>
        <w:br w:type="page"/>
      </w:r>
    </w:p>
    <w:p>
      <w:pPr>
        <w:pStyle w:val="Heading1"/>
        <w:spacing w:before="360" w:after="200"/>
      </w:pPr>
      <w:r>
        <w:rPr>
          <w:rFonts w:ascii="Arial" w:cs="Arial" w:eastAsia="Arial" w:hAnsi="Arial"/>
          <w:b/>
          <w:bCs/>
          <w:color w:val="4A148C"/>
          <w:sz w:val="36"/>
          <w:szCs w:val="36"/>
        </w:rPr>
        <w:t xml:space="preserve">11. Risk Culture &amp; Risk Awareness</w:t>
      </w:r>
    </w:p>
    <w:p>
      <w:pPr>
        <w:spacing w:after="120"/>
      </w:pPr>
      <w:r>
        <w:rPr>
          <w:rFonts w:ascii="Arial" w:cs="Arial" w:eastAsia="Arial" w:hAnsi="Arial"/>
          <w:sz w:val="22"/>
          <w:szCs w:val="22"/>
        </w:rPr>
        <w:t xml:space="preserve">Aligned with COSO ERM Principle 3 (Defines Desired Culture) and OCC Heightened Standards (stature of independent risk management).</w:t>
      </w:r>
    </w:p>
    <w:p>
      <w:pPr>
        <w:spacing w:after="80"/>
      </w:pPr>
    </w:p>
    <w:p>
      <w:pPr>
        <w:spacing w:before="200" w:after="120"/>
      </w:pPr>
      <w:r>
        <w:rPr>
          <w:rFonts w:ascii="Arial" w:cs="Arial" w:eastAsia="Arial" w:hAnsi="Arial"/>
          <w:b/>
          <w:bCs/>
          <w:color w:val="4A148C"/>
          <w:sz w:val="24"/>
          <w:szCs w:val="24"/>
        </w:rPr>
        <w:t xml:space="preserve">Risk Culture Expectations</w:t>
      </w:r>
    </w:p>
    <w:p>
      <w:pPr>
        <w:spacing w:after="100"/>
      </w:pPr>
      <w:r>
        <w:rPr>
          <w:rFonts w:ascii="Arial" w:cs="Arial" w:eastAsia="Arial" w:hAnsi="Arial"/>
          <w:b/>
          <w:bCs/>
          <w:sz w:val="22"/>
          <w:szCs w:val="22"/>
        </w:rPr>
        <w:t xml:space="preserve">11.1 First-Line Ownership: </w:t>
      </w:r>
      <w:r>
        <w:rPr>
          <w:rFonts w:ascii="Arial" w:cs="Arial" w:eastAsia="Arial" w:hAnsi="Arial"/>
          <w:sz w:val="22"/>
          <w:szCs w:val="22"/>
        </w:rPr>
        <w:t xml:space="preserve">Every engineer working on the STC system understands they are a first-line risk owner. Risk identification is part of their job, not just the risk team’s. Sprint retrospectives include a risk discussion item.</w:t>
      </w:r>
    </w:p>
    <w:p>
      <w:pPr>
        <w:spacing w:after="100"/>
      </w:pPr>
      <w:r>
        <w:rPr>
          <w:rFonts w:ascii="Arial" w:cs="Arial" w:eastAsia="Arial" w:hAnsi="Arial"/>
          <w:b/>
          <w:bCs/>
          <w:sz w:val="22"/>
          <w:szCs w:val="22"/>
        </w:rPr>
        <w:t xml:space="preserve">11.2 Speak-Up Culture: </w:t>
      </w:r>
      <w:r>
        <w:rPr>
          <w:rFonts w:ascii="Arial" w:cs="Arial" w:eastAsia="Arial" w:hAnsi="Arial"/>
          <w:sz w:val="22"/>
          <w:szCs w:val="22"/>
        </w:rPr>
        <w:t xml:space="preserve">Any team member can escalate an AI safety or risk concern directly to the AI Governance Committee without management chain approval. A dedicated Slack channel (#ai-risk-escalation) and anonymous reporting mechanism exist for this purpose.</w:t>
      </w:r>
    </w:p>
    <w:p>
      <w:pPr>
        <w:spacing w:after="100"/>
      </w:pPr>
      <w:r>
        <w:rPr>
          <w:rFonts w:ascii="Arial" w:cs="Arial" w:eastAsia="Arial" w:hAnsi="Arial"/>
          <w:b/>
          <w:bCs/>
          <w:sz w:val="22"/>
          <w:szCs w:val="22"/>
        </w:rPr>
        <w:t xml:space="preserve">11.3 No-Blame Post-Incidents: </w:t>
      </w:r>
      <w:r>
        <w:rPr>
          <w:rFonts w:ascii="Arial" w:cs="Arial" w:eastAsia="Arial" w:hAnsi="Arial"/>
          <w:sz w:val="22"/>
          <w:szCs w:val="22"/>
        </w:rPr>
        <w:t xml:space="preserve">Post-incident reviews focus on systemic causes and control improvements, not individual blame. This encourages honest reporting and learning.</w:t>
      </w:r>
    </w:p>
    <w:p>
      <w:pPr>
        <w:spacing w:after="100"/>
      </w:pPr>
      <w:r>
        <w:rPr>
          <w:rFonts w:ascii="Arial" w:cs="Arial" w:eastAsia="Arial" w:hAnsi="Arial"/>
          <w:b/>
          <w:bCs/>
          <w:sz w:val="22"/>
          <w:szCs w:val="22"/>
        </w:rPr>
        <w:t xml:space="preserve">11.4 Risk-Aware Development: </w:t>
      </w:r>
      <w:r>
        <w:rPr>
          <w:rFonts w:ascii="Arial" w:cs="Arial" w:eastAsia="Arial" w:hAnsi="Arial"/>
          <w:sz w:val="22"/>
          <w:szCs w:val="22"/>
        </w:rPr>
        <w:t xml:space="preserve">All engineers complete annual AI risk awareness training. New hires complete it within 30 days. Training covers: the risk taxonomy, how to identify emerging risks, how to escalate, and the regulatory context.</w:t>
      </w:r>
    </w:p>
    <w:p>
      <w:pPr>
        <w:spacing w:after="100"/>
      </w:pPr>
      <w:r>
        <w:rPr>
          <w:rFonts w:ascii="Arial" w:cs="Arial" w:eastAsia="Arial" w:hAnsi="Arial"/>
          <w:b/>
          <w:bCs/>
          <w:sz w:val="22"/>
          <w:szCs w:val="22"/>
        </w:rPr>
        <w:t xml:space="preserve">11.5 Risk Champions: </w:t>
      </w:r>
      <w:r>
        <w:rPr>
          <w:rFonts w:ascii="Arial" w:cs="Arial" w:eastAsia="Arial" w:hAnsi="Arial"/>
          <w:sz w:val="22"/>
          <w:szCs w:val="22"/>
        </w:rPr>
        <w:t xml:space="preserve">Each engineering team designates a Risk Champion who attends monthly risk sync meetings, brings team-level risk observations to the AI Governance Committee, and ensures risk considerations are included in design reviews.</w:t>
      </w:r>
    </w:p>
    <w:p>
      <w:pPr>
        <w:spacing w:after="80"/>
      </w:pPr>
    </w:p>
    <w:p>
      <w:pPr>
        <w:spacing w:before="200" w:after="120"/>
      </w:pPr>
      <w:r>
        <w:rPr>
          <w:rFonts w:ascii="Arial" w:cs="Arial" w:eastAsia="Arial" w:hAnsi="Arial"/>
          <w:b/>
          <w:bCs/>
          <w:color w:val="4A148C"/>
          <w:sz w:val="24"/>
          <w:szCs w:val="24"/>
        </w:rPr>
        <w:t xml:space="preserve">Risk Awareness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5"/>
        <w:gridCol w:w="1702"/>
        <w:gridCol w:w="2127"/>
        <w:gridCol w:w="2766"/>
      </w:tblGrid>
      <w:tr>
        <w:trPr>
          <w:tblHeader/>
        </w:trPr>
        <w:tc>
          <w:tcPr>
            <w:tcW w:type="dxa" w:w="2765"/>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02"/>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127"/>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766"/>
            <w:tcBorders>
              <w:top w:val="single" w:color="CE93D8" w:sz="1"/>
              <w:left w:val="single" w:color="CE93D8" w:sz="1"/>
              <w:bottom w:val="single" w:color="CE93D8" w:sz="1"/>
              <w:right w:val="single" w:color="CE93D8"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7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Annual risk training completion</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100%</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Baseline being established</w:t>
            </w:r>
          </w:p>
        </w:tc>
        <w:tc>
          <w:tcPr>
            <w:tcW w:type="dxa" w:w="276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LMS records</w:t>
            </w:r>
          </w:p>
        </w:tc>
      </w:tr>
      <w:tr>
        <w:tc>
          <w:tcPr>
            <w:tcW w:type="dxa" w:w="27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Risk escalation response time</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&lt; 4 hours</w:t>
            </w:r>
          </w:p>
        </w:tc>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Baseline being established</w:t>
            </w:r>
          </w:p>
        </w:tc>
        <w:tc>
          <w:tcPr>
            <w:tcW w:type="dxa" w:w="276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Slack channel timestamps</w:t>
            </w:r>
          </w:p>
        </w:tc>
      </w:tr>
      <w:tr>
        <w:tc>
          <w:tcPr>
            <w:tcW w:type="dxa" w:w="2765"/>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Risk discussion in sprint retros</w:t>
            </w:r>
          </w:p>
        </w:tc>
        <w:tc>
          <w:tcPr>
            <w:tcW w:type="dxa" w:w="1702"/>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&gt; 80% of sprints</w:t>
            </w:r>
          </w:p>
        </w:tc>
        <w:tc>
          <w:tcPr>
            <w:tcW w:type="dxa" w:w="2127"/>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Baseline being established</w:t>
            </w:r>
          </w:p>
        </w:tc>
        <w:tc>
          <w:tcPr>
            <w:tcW w:type="dxa" w:w="2766"/>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0"/>
                <w:szCs w:val="20"/>
              </w:rPr>
              <w:t xml:space="preserve">Retro meeting notes</w:t>
            </w:r>
          </w:p>
        </w:tc>
      </w:tr>
      <w:tr>
        <w:tc>
          <w:tcPr>
            <w:tcW w:type="dxa" w:w="2765"/>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Risk Champion meeting attendance</w:t>
            </w:r>
          </w:p>
        </w:tc>
        <w:tc>
          <w:tcPr>
            <w:tcW w:type="dxa" w:w="1702"/>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&gt; 90%</w:t>
            </w:r>
          </w:p>
        </w:tc>
        <w:tc>
          <w:tcPr>
            <w:tcW w:type="dxa" w:w="2127"/>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Baseline being established</w:t>
            </w:r>
          </w:p>
        </w:tc>
        <w:tc>
          <w:tcPr>
            <w:tcW w:type="dxa" w:w="2766"/>
            <w:tcBorders>
              <w:top w:val="single" w:color="CE93D8" w:sz="1"/>
              <w:left w:val="single" w:color="CE93D8" w:sz="1"/>
              <w:bottom w:val="single" w:color="CE93D8" w:sz="1"/>
              <w:right w:val="single" w:color="CE93D8" w:sz="1"/>
            </w:tcBorders>
            <w:tcMar>
              <w:top w:type="dxa" w:w="80"/>
              <w:left w:type="dxa" w:w="120"/>
              <w:bottom w:type="dxa" w:w="80"/>
              <w:right w:type="dxa" w:w="120"/>
            </w:tcMar>
          </w:tcPr>
          <w:p>
            <w:r>
              <w:rPr>
                <w:rFonts w:ascii="Arial" w:cs="Arial" w:eastAsia="Arial" w:hAnsi="Arial"/>
                <w:sz w:val="20"/>
                <w:szCs w:val="20"/>
              </w:rPr>
              <w:t xml:space="preserve">Meeting records</w:t>
            </w:r>
          </w:p>
        </w:tc>
      </w:tr>
    </w:tbl>
    <w:p>
      <w:pPr>
        <w:spacing w:after="80"/>
      </w:pPr>
    </w:p>
    <w:p>
      <w:pPr>
        <w:spacing w:after="80"/>
      </w:pPr>
    </w:p>
    <w:p>
      <w:pPr>
        <w:spacing w:before="400"/>
        <w:jc w:val="center"/>
      </w:pPr>
      <w:r>
        <w:rPr>
          <w:rFonts w:ascii="Arial" w:cs="Arial" w:eastAsia="Arial" w:hAnsi="Arial"/>
          <w:i/>
          <w:iCs/>
          <w:color w:val="757575"/>
          <w:sz w:val="22"/>
          <w:szCs w:val="22"/>
        </w:rPr>
        <w:t xml:space="preserve">— END OF ENTERPRISE RISK MANAGEMENT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CONFIDENTIAL — RISK COMMITTEE USE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57575"/>
        <w:sz w:val="18"/>
        <w:szCs w:val="18"/>
      </w:rPr>
      <w:t xml:space="preserve">STC Framework — Enterprise Risk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48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A1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2026-03-10T02:06:15.913Z</dcterms:created>
  <dcterms:modified xsi:type="dcterms:W3CDTF">2026-03-10T02:06:15.914Z</dcterms:modified>
</cp:coreProperties>
</file>

<file path=docProps/custom.xml><?xml version="1.0" encoding="utf-8"?>
<Properties xmlns="http://schemas.openxmlformats.org/officeDocument/2006/custom-properties" xmlns:vt="http://schemas.openxmlformats.org/officeDocument/2006/docPropsVTypes"/>
</file>