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200"/>
        <w:jc w:val="center"/>
      </w:pPr>
      <w:r>
        <w:rPr>
          <w:rFonts w:ascii="Arial" w:cs="Arial" w:eastAsia="Arial" w:hAnsi="Arial"/>
          <w:b/>
          <w:bCs/>
          <w:color w:val="1B365D"/>
          <w:sz w:val="56"/>
          <w:szCs w:val="56"/>
        </w:rPr>
        <w:t xml:space="preserve">STC FRAMEWORK</w:t>
      </w:r>
    </w:p>
    <w:p>
      <w:pPr>
        <w:spacing w:after="120"/>
        <w:jc w:val="center"/>
      </w:pPr>
      <w:r>
        <w:rPr>
          <w:rFonts w:ascii="Arial" w:cs="Arial" w:eastAsia="Arial" w:hAnsi="Arial"/>
          <w:color w:val="2E75B6"/>
          <w:sz w:val="36"/>
          <w:szCs w:val="36"/>
        </w:rPr>
        <w:t xml:space="preserve">Stalwart · Trainer · Critic</w:t>
      </w:r>
    </w:p>
    <w:p>
      <w:pPr>
        <w:spacing w:after="400"/>
        <w:jc w:val="center"/>
      </w:pPr>
      <w:r>
        <w:rPr>
          <w:rFonts w:ascii="Arial" w:cs="Arial" w:eastAsia="Arial" w:hAnsi="Arial"/>
          <w:color w:val="666666"/>
          <w:sz w:val="28"/>
          <w:szCs w:val="28"/>
        </w:rPr>
        <w:t xml:space="preserve">Architecture, Design &amp; Capabilities</w:t>
      </w:r>
    </w:p>
    <w:p>
      <w:pPr>
        <w:spacing w:after="80"/>
      </w:pPr>
    </w:p>
    <w:p>
      <w:pPr>
        <w:spacing w:after="80"/>
      </w:pPr>
    </w:p>
    <w:p>
      <w:pPr>
        <w:spacing w:after="120"/>
        <w:jc w:val="center"/>
      </w:pPr>
      <w:r>
        <w:rPr>
          <w:rFonts w:ascii="Arial" w:cs="Arial" w:eastAsia="Arial" w:hAnsi="Arial"/>
          <w:sz w:val="24"/>
          <w:szCs w:val="24"/>
        </w:rPr>
        <w:t xml:space="preserve">An Open-Source Framework for Production-Grade AI Agent Systems</w:t>
      </w:r>
    </w:p>
    <w:p>
      <w:pPr>
        <w:spacing w:after="120"/>
        <w:jc w:val="center"/>
      </w:pPr>
      <w:r>
        <w:rPr>
          <w:rFonts w:ascii="Arial" w:cs="Arial" w:eastAsia="Arial" w:hAnsi="Arial"/>
          <w:sz w:val="24"/>
          <w:szCs w:val="24"/>
        </w:rPr>
        <w:t xml:space="preserve">with Built-In Optimization, Zero-Trust Governance,</w:t>
      </w:r>
    </w:p>
    <w:p>
      <w:pPr>
        <w:spacing w:after="120"/>
        <w:jc w:val="center"/>
      </w:pPr>
      <w:r>
        <w:rPr>
          <w:rFonts w:ascii="Arial" w:cs="Arial" w:eastAsia="Arial" w:hAnsi="Arial"/>
          <w:sz w:val="24"/>
          <w:szCs w:val="24"/>
        </w:rPr>
        <w:t xml:space="preserve">Data Sovereignty, and AIUC-1 Compliance Alignment</w:t>
      </w:r>
    </w:p>
    <w:p>
      <w:pPr>
        <w:spacing w:after="80"/>
      </w:pPr>
    </w:p>
    <w:p>
      <w:pPr>
        <w:spacing w:after="80"/>
      </w:pPr>
    </w:p>
    <w:p>
      <w:pPr>
        <w:spacing w:after="80"/>
      </w:pPr>
    </w:p>
    <w:p>
      <w:pPr>
        <w:spacing w:after="80"/>
      </w:pPr>
    </w:p>
    <w:p>
      <w:pPr>
        <w:spacing w:after="80"/>
      </w:pPr>
    </w:p>
    <w:p>
      <w:pPr>
        <w:spacing w:after="60"/>
        <w:jc w:val="center"/>
      </w:pPr>
      <w:r>
        <w:rPr>
          <w:rFonts w:ascii="Arial" w:cs="Arial" w:eastAsia="Arial" w:hAnsi="Arial"/>
          <w:color w:val="444444"/>
          <w:sz w:val="22"/>
          <w:szCs w:val="22"/>
        </w:rPr>
        <w:t xml:space="preserve">Author: Nitesh Ambastha</w:t>
      </w:r>
    </w:p>
    <w:p>
      <w:pPr>
        <w:spacing w:after="60"/>
        <w:jc w:val="center"/>
      </w:pPr>
      <w:r>
        <w:rPr>
          <w:rFonts w:ascii="Arial" w:cs="Arial" w:eastAsia="Arial" w:hAnsi="Arial"/>
          <w:color w:val="444444"/>
          <w:sz w:val="22"/>
          <w:szCs w:val="22"/>
        </w:rPr>
        <w:t xml:space="preserve">Version 1.0 — March 2026</w:t>
      </w:r>
    </w:p>
    <w:p>
      <w:pPr>
        <w:jc w:val="center"/>
      </w:pPr>
      <w:r>
        <w:rPr>
          <w:rFonts w:ascii="Arial" w:cs="Arial" w:eastAsia="Arial" w:hAnsi="Arial"/>
          <w:color w:val="2E75B6"/>
          <w:sz w:val="20"/>
          <w:szCs w:val="20"/>
        </w:rPr>
        <w:t xml:space="preserve">https://github.com/nitesh71078/stc-framework</w:t>
      </w:r>
    </w:p>
    <w:p>
      <w:pPr>
        <w:sectPr>
          <w:pgSz w:w="12240" w:h="15840" w:orient="portrait"/>
          <w:pgMar w:top="3600" w:right="1440" w:bottom="1440" w:left="1440" w:header="708" w:footer="708" w:gutter="0"/>
          <w:pgNumType/>
          <w:docGrid w:linePitch="360"/>
        </w:sectPr>
      </w:pPr>
    </w:p>
    <w:p>
      <w:pPr>
        <w:pStyle w:val="Heading1"/>
        <w:spacing w:before="360" w:after="200"/>
      </w:pPr>
      <w:r>
        <w:rPr>
          <w:rFonts w:ascii="Arial" w:cs="Arial" w:eastAsia="Arial" w:hAnsi="Arial"/>
          <w:b/>
          <w:bCs/>
          <w:color w:val="1B365D"/>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B365D"/>
          <w:sz w:val="36"/>
          <w:szCs w:val="36"/>
        </w:rPr>
        <w:t xml:space="preserve">1. Executive Summary</w:t>
      </w:r>
    </w:p>
    <w:p>
      <w:pPr>
        <w:spacing w:after="120"/>
      </w:pPr>
      <w:r>
        <w:rPr>
          <w:rFonts w:ascii="Arial" w:cs="Arial" w:eastAsia="Arial" w:hAnsi="Arial"/>
          <w:sz w:val="22"/>
          <w:szCs w:val="22"/>
        </w:rPr>
        <w:t xml:space="preserve">The STC Framework is an open-source architectural pattern for building production-grade AI agent systems. It brings software engineering discipline to AI agents by structurally separating execution, optimization, and governance into distinct system roles.</w:t>
      </w:r>
    </w:p>
    <w:p>
      <w:pPr>
        <w:spacing w:after="120"/>
      </w:pPr>
      <w:r>
        <w:rPr>
          <w:rFonts w:ascii="Arial" w:cs="Arial" w:eastAsia="Arial" w:hAnsi="Arial"/>
          <w:sz w:val="22"/>
          <w:szCs w:val="22"/>
        </w:rPr>
        <w:t xml:space="preserve">Most AI agent frameworks focus on making agents smarter. STC focuses on making agent systems more disciplined, auditable, and production-ready. The framework is designed so that a properly configured deployment satisfies AIUC-1 certification requirements — the world’s first AI agent standard.</w:t>
      </w:r>
    </w:p>
    <w:p>
      <w:pPr>
        <w:spacing w:after="80"/>
      </w:pPr>
    </w:p>
    <w:p>
      <w:pPr>
        <w:pStyle w:val="Heading2"/>
        <w:spacing w:before="280" w:after="160"/>
      </w:pPr>
      <w:r>
        <w:rPr>
          <w:rFonts w:ascii="Arial" w:cs="Arial" w:eastAsia="Arial" w:hAnsi="Arial"/>
          <w:b/>
          <w:bCs/>
          <w:color w:val="2E75B6"/>
          <w:sz w:val="28"/>
          <w:szCs w:val="28"/>
        </w:rPr>
        <w:t xml:space="preserve">1.1 Core Thesis</w:t>
      </w:r>
    </w:p>
    <w:p>
      <w:pPr>
        <w:spacing w:after="120"/>
      </w:pPr>
      <w:r>
        <w:rPr>
          <w:rFonts w:ascii="Arial" w:cs="Arial" w:eastAsia="Arial" w:hAnsi="Arial"/>
          <w:sz w:val="22"/>
          <w:szCs w:val="22"/>
        </w:rPr>
        <w:t xml:space="preserve">An AI agent should be designed as a system of distinct personas, each with a single responsibility and clear separation of concerns. Not peers. Not collaborators. System roles with asymmetric authority.</w:t>
      </w:r>
    </w:p>
    <w:p>
      <w:pPr>
        <w:spacing w:after="80"/>
      </w:pPr>
    </w:p>
    <w:p>
      <w:pPr>
        <w:pStyle w:val="Heading2"/>
        <w:spacing w:before="280" w:after="160"/>
      </w:pPr>
      <w:r>
        <w:rPr>
          <w:rFonts w:ascii="Arial" w:cs="Arial" w:eastAsia="Arial" w:hAnsi="Arial"/>
          <w:b/>
          <w:bCs/>
          <w:color w:val="2E75B6"/>
          <w:sz w:val="28"/>
          <w:szCs w:val="28"/>
        </w:rPr>
        <w:t xml:space="preserve">1.2 The Three Personas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5660"/>
      </w:tblGrid>
      <w:tr>
        <w:trPr>
          <w:tblHeader/>
        </w:trPr>
        <w:tc>
          <w:tcPr>
            <w:tcW w:type="dxa" w:w="1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Persona</w:t>
            </w:r>
          </w:p>
        </w:tc>
        <w:tc>
          <w:tcPr>
            <w:tcW w:type="dxa" w:w="2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56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 — Stalwart</w:t>
            </w:r>
          </w:p>
        </w:tc>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Execution Plane</w:t>
            </w:r>
          </w:p>
        </w:tc>
        <w:tc>
          <w:tcPr>
            <w:tcW w:type="dxa" w:w="56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Performs business tasks. Optimized to act — not to judge itself, retrain itself, or trust itself.</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 — Trainer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Optimization &amp; Control Plane</w:t>
            </w:r>
          </w:p>
        </w:tc>
        <w:tc>
          <w:tcPr>
            <w:tcW w:type="dxa" w:w="5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Makes the Stalwart better over time. Monitors performance, optimizes cost, tunes prompts, selects models.</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 — Critic</w:t>
            </w:r>
          </w:p>
        </w:tc>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Zero-Trust Governance Plane</w:t>
            </w:r>
          </w:p>
        </w:tc>
        <w:tc>
          <w:tcPr>
            <w:tcW w:type="dxa" w:w="56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Assumes nothing is trustworthy by default. Verifies outputs, detects hallucinations, enforces compliance.</w:t>
            </w:r>
          </w:p>
        </w:tc>
      </w:tr>
    </w:tbl>
    <w:p>
      <w:pPr>
        <w:spacing w:after="80"/>
      </w:pPr>
    </w:p>
    <w:p>
      <w:pPr>
        <w:pStyle w:val="Heading2"/>
        <w:spacing w:before="280" w:after="160"/>
      </w:pPr>
      <w:r>
        <w:rPr>
          <w:rFonts w:ascii="Arial" w:cs="Arial" w:eastAsia="Arial" w:hAnsi="Arial"/>
          <w:b/>
          <w:bCs/>
          <w:color w:val="2E75B6"/>
          <w:sz w:val="28"/>
          <w:szCs w:val="28"/>
        </w:rPr>
        <w:t xml:space="preserve">1.3 Supporting Architectural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rPr>
          <w:tblHeader/>
        </w:trPr>
        <w:tc>
          <w:tcPr>
            <w:tcW w:type="dxa" w:w="2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5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Key Principle</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Sentinel Layer</w:t>
            </w:r>
          </w:p>
        </w:tc>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Infrastructure Enforcement</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Enforces trust boundaries, routing, auth, PII redaction. Infrastructure, not intelligence — does not learn.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Declarative Specification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Contract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Versioned YAML defining all policies, thresholds, and compliance mappings. Single source of truth.</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Observability</w:t>
            </w:r>
          </w:p>
        </w:tc>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Unified Audit</w:t>
            </w:r>
          </w:p>
        </w:tc>
        <w:tc>
          <w:tcPr>
            <w:tcW w:type="dxa" w:w="5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Correlated traces across all components. Immutable audit trail. AIUC-1 evidence generation.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Operational Control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FinOps &amp; Cost Management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Token governance, rate limits, burst control, cost circuit breakers, per-persona budget allocation.</w:t>
            </w:r>
          </w:p>
        </w:tc>
      </w:tr>
    </w:tbl>
    <w:p>
      <w:r>
        <w:br w:type="page"/>
      </w:r>
    </w:p>
    <w:p>
      <w:pPr>
        <w:pStyle w:val="Heading1"/>
        <w:spacing w:before="360" w:after="200"/>
      </w:pPr>
      <w:r>
        <w:rPr>
          <w:rFonts w:ascii="Arial" w:cs="Arial" w:eastAsia="Arial" w:hAnsi="Arial"/>
          <w:b/>
          <w:bCs/>
          <w:color w:val="1B365D"/>
          <w:sz w:val="36"/>
          <w:szCs w:val="36"/>
        </w:rPr>
        <w:t xml:space="preserve">2. System Architecture</w:t>
      </w:r>
    </w:p>
    <w:p>
      <w:pPr>
        <w:spacing w:after="120"/>
      </w:pPr>
      <w:r>
        <w:rPr>
          <w:rFonts w:ascii="Arial" w:cs="Arial" w:eastAsia="Arial" w:hAnsi="Arial"/>
          <w:sz w:val="22"/>
          <w:szCs w:val="22"/>
        </w:rPr>
        <w:t xml:space="preserve">The STC Framework is organized in concentric defense layers, with the agent execution at the center and security perimeters radiating outward.</w:t>
      </w:r>
    </w:p>
    <w:p>
      <w:pPr>
        <w:spacing w:after="80"/>
      </w:pPr>
    </w:p>
    <w:p>
      <w:pPr>
        <w:pStyle w:val="Heading2"/>
        <w:spacing w:before="280" w:after="160"/>
      </w:pPr>
      <w:r>
        <w:rPr>
          <w:rFonts w:ascii="Arial" w:cs="Arial" w:eastAsia="Arial" w:hAnsi="Arial"/>
          <w:b/>
          <w:bCs/>
          <w:color w:val="2E75B6"/>
          <w:sz w:val="28"/>
          <w:szCs w:val="28"/>
        </w:rPr>
        <w:t xml:space="preserve">2.1 Defense-in-Depth Architecture</w:t>
      </w:r>
    </w:p>
    <w:p>
      <w:pPr>
        <w:spacing w:after="120"/>
      </w:pPr>
      <w:r>
        <w:rPr>
          <w:rFonts w:ascii="Arial" w:cs="Arial" w:eastAsia="Arial" w:hAnsi="Arial"/>
          <w:sz w:val="22"/>
          <w:szCs w:val="22"/>
        </w:rPr>
        <w:t xml:space="preserve">Five independent security and governance layers, each catching what the others miss:</w:t>
      </w:r>
    </w:p>
    <w:p>
      <w:pPr>
        <w:spacing w:after="80"/>
      </w:pPr>
    </w:p>
    <w:p>
      <w:pPr>
        <w:spacing w:after="60"/>
        <w:ind w:left="360"/>
        <w:jc w:val="left"/>
      </w:pPr>
      <w:r>
        <w:rPr>
          <w:rFonts w:ascii="Courier New" w:cs="Courier New" w:eastAsia="Courier New" w:hAnsi="Courier New"/>
          <w:color w:val="1B365D"/>
          <w:sz w:val="18"/>
          <w:szCs w:val="18"/>
        </w:rPr>
        <w:t xml:space="preserve">  Layer 1 (Outermost): Runtime AI Firewall (LlamaFirewall)</w:t>
      </w:r>
    </w:p>
    <w:p>
      <w:pPr>
        <w:spacing w:after="60"/>
        <w:ind w:left="360"/>
        <w:jc w:val="left"/>
      </w:pPr>
      <w:r>
        <w:rPr>
          <w:rFonts w:ascii="Courier New" w:cs="Courier New" w:eastAsia="Courier New" w:hAnsi="Courier New"/>
          <w:color w:val="1B365D"/>
          <w:sz w:val="18"/>
          <w:szCs w:val="18"/>
        </w:rPr>
        <w:t xml:space="preserve">    │  ML-based jailbreak detection, chain-of-thought auditing</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Layer 2: Gateway (Kong / Bifrost / LiteLLM)</w:t>
      </w:r>
    </w:p>
    <w:p>
      <w:pPr>
        <w:spacing w:after="60"/>
        <w:ind w:left="360"/>
        <w:jc w:val="left"/>
      </w:pPr>
      <w:r>
        <w:rPr>
          <w:rFonts w:ascii="Courier New" w:cs="Courier New" w:eastAsia="Courier New" w:hAnsi="Courier New"/>
          <w:color w:val="1B365D"/>
          <w:sz w:val="18"/>
          <w:szCs w:val="18"/>
        </w:rPr>
        <w:t xml:space="preserve">    │  LLM routing, MCP governance, tool access control</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Layer 3: Auth &amp; Identity (Casbin RBAC)</w:t>
      </w:r>
    </w:p>
    <w:p>
      <w:pPr>
        <w:spacing w:after="60"/>
        <w:ind w:left="360"/>
        <w:jc w:val="left"/>
      </w:pPr>
      <w:r>
        <w:rPr>
          <w:rFonts w:ascii="Courier New" w:cs="Courier New" w:eastAsia="Courier New" w:hAnsi="Courier New"/>
          <w:color w:val="1B365D"/>
          <w:sz w:val="18"/>
          <w:szCs w:val="18"/>
        </w:rPr>
        <w:t xml:space="preserve">    │  Persona permissions, operator roles, API key lifecycle</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Layer 4: Data Security (Presidio + DLP)</w:t>
      </w:r>
    </w:p>
    <w:p>
      <w:pPr>
        <w:spacing w:after="60"/>
        <w:ind w:left="360"/>
        <w:jc w:val="left"/>
      </w:pPr>
      <w:r>
        <w:rPr>
          <w:rFonts w:ascii="Courier New" w:cs="Courier New" w:eastAsia="Courier New" w:hAnsi="Courier New"/>
          <w:color w:val="1B365D"/>
          <w:sz w:val="18"/>
          <w:szCs w:val="18"/>
        </w:rPr>
        <w:t xml:space="preserve">    │  PII surrogate tokenization, prompt injection, usage policy</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Layer 5 (Innermost): Domain Guardrails (NeMo + Guardrails AI)</w:t>
      </w:r>
    </w:p>
    <w:p>
      <w:pPr>
        <w:spacing w:after="60"/>
        <w:ind w:left="360"/>
        <w:jc w:val="left"/>
      </w:pPr>
      <w:r>
        <w:rPr>
          <w:rFonts w:ascii="Courier New" w:cs="Courier New" w:eastAsia="Courier New" w:hAnsi="Courier New"/>
          <w:color w:val="1B365D"/>
          <w:sz w:val="18"/>
          <w:szCs w:val="18"/>
        </w:rPr>
        <w:t xml:space="preserve">       Hallucination detection, numerical accuracy, scope enforcement</w:t>
      </w:r>
    </w:p>
    <w:p>
      <w:pPr>
        <w:spacing w:after="80"/>
      </w:pPr>
    </w:p>
    <w:p>
      <w:pPr>
        <w:pStyle w:val="Heading2"/>
        <w:spacing w:before="280" w:after="160"/>
      </w:pPr>
      <w:r>
        <w:rPr>
          <w:rFonts w:ascii="Arial" w:cs="Arial" w:eastAsia="Arial" w:hAnsi="Arial"/>
          <w:b/>
          <w:bCs/>
          <w:color w:val="2E75B6"/>
          <w:sz w:val="28"/>
          <w:szCs w:val="28"/>
        </w:rPr>
        <w:t xml:space="preserve">2.2 Request Flow</w:t>
      </w:r>
    </w:p>
    <w:p>
      <w:pPr>
        <w:spacing w:after="120"/>
      </w:pPr>
      <w:r>
        <w:rPr>
          <w:rFonts w:ascii="Arial" w:cs="Arial" w:eastAsia="Arial" w:hAnsi="Arial"/>
          <w:sz w:val="22"/>
          <w:szCs w:val="22"/>
        </w:rPr>
        <w:t xml:space="preserve">Every user request flows through the full defense stack:</w:t>
      </w:r>
    </w:p>
    <w:p>
      <w:pPr>
        <w:spacing w:after="80"/>
      </w:pPr>
    </w:p>
    <w:p>
      <w:pPr>
        <w:spacing w:after="60"/>
        <w:ind w:left="360"/>
        <w:jc w:val="left"/>
      </w:pPr>
      <w:r>
        <w:rPr>
          <w:rFonts w:ascii="Courier New" w:cs="Courier New" w:eastAsia="Courier New" w:hAnsi="Courier New"/>
          <w:color w:val="1B365D"/>
          <w:sz w:val="18"/>
          <w:szCs w:val="18"/>
        </w:rPr>
        <w:t xml:space="preserve">  User Query</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[Runtime Firewall] → Block if jailbreak/injection detected</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[Auth Check] → Verify persona identity and permissions</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[Data Security] → Mask PII, check DLP, enforce usage policy</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[Cost Control] → Pre-request budget check, token governance</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[MCP Catalog] → Validate tool access against registry</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[Gateway] → Route to LLM based on data tier classification</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[STALWART] → Execute: retrieve → reason → respond</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[CRITIC] → Evaluate: guardrails → verdict → escalation</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[Runtime Firewall] → Output alignment check</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[Data Security] → Reverse surrogate tokens for user</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[TRAINER] → Record trace, compute reward, optimize</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[Observability] → Correlated audit event</w:t>
      </w:r>
    </w:p>
    <w:p>
      <w:pPr>
        <w:spacing w:after="60"/>
        <w:ind w:left="360"/>
        <w:jc w:val="left"/>
      </w:pPr>
      <w:r>
        <w:rPr>
          <w:rFonts w:ascii="Courier New" w:cs="Courier New" w:eastAsia="Courier New" w:hAnsi="Courier New"/>
          <w:color w:val="1B365D"/>
          <w:sz w:val="18"/>
          <w:szCs w:val="18"/>
        </w:rPr>
        <w:t xml:space="preserve">    ↓</w:t>
      </w:r>
    </w:p>
    <w:p>
      <w:pPr>
        <w:spacing w:after="60"/>
        <w:ind w:left="360"/>
        <w:jc w:val="left"/>
      </w:pPr>
      <w:r>
        <w:rPr>
          <w:rFonts w:ascii="Courier New" w:cs="Courier New" w:eastAsia="Courier New" w:hAnsi="Courier New"/>
          <w:color w:val="1B365D"/>
          <w:sz w:val="18"/>
          <w:szCs w:val="18"/>
        </w:rPr>
        <w:t xml:space="preserve">  Response to User</w:t>
      </w:r>
    </w:p>
    <w:p>
      <w:r>
        <w:br w:type="page"/>
      </w:r>
    </w:p>
    <w:p>
      <w:pPr>
        <w:pStyle w:val="Heading1"/>
        <w:spacing w:before="360" w:after="200"/>
      </w:pPr>
      <w:r>
        <w:rPr>
          <w:rFonts w:ascii="Arial" w:cs="Arial" w:eastAsia="Arial" w:hAnsi="Arial"/>
          <w:b/>
          <w:bCs/>
          <w:color w:val="1B365D"/>
          <w:sz w:val="36"/>
          <w:szCs w:val="36"/>
        </w:rPr>
        <w:t xml:space="preserve">3. Sentinel Layer — Modules</w:t>
      </w:r>
    </w:p>
    <w:p>
      <w:pPr>
        <w:spacing w:after="120"/>
      </w:pPr>
      <w:r>
        <w:rPr>
          <w:rFonts w:ascii="Arial" w:cs="Arial" w:eastAsia="Arial" w:hAnsi="Arial"/>
          <w:sz w:val="22"/>
          <w:szCs w:val="22"/>
        </w:rPr>
        <w:t xml:space="preserve">The Sentinel Layer is the infrastructure enforcement surface of STC. It contains seven modules, each addressing a specific enterprise security and operational concern.</w:t>
      </w:r>
    </w:p>
    <w:p>
      <w:pPr>
        <w:spacing w:after="80"/>
      </w:pPr>
    </w:p>
    <w:p>
      <w:pPr>
        <w:pStyle w:val="Heading2"/>
        <w:spacing w:before="280" w:after="160"/>
      </w:pPr>
      <w:r>
        <w:rPr>
          <w:rFonts w:ascii="Arial" w:cs="Arial" w:eastAsia="Arial" w:hAnsi="Arial"/>
          <w:b/>
          <w:bCs/>
          <w:color w:val="2E75B6"/>
          <w:sz w:val="28"/>
          <w:szCs w:val="28"/>
        </w:rPr>
        <w:t xml:space="preserve">3.1 Runtime AI Firewall</w:t>
      </w:r>
    </w:p>
    <w:p>
      <w:pPr>
        <w:spacing w:after="120"/>
      </w:pPr>
      <w:r>
        <w:rPr>
          <w:rFonts w:ascii="Arial" w:cs="Arial" w:eastAsia="Arial" w:hAnsi="Arial"/>
          <w:b/>
          <w:bCs/>
          <w:sz w:val="22"/>
          <w:szCs w:val="22"/>
        </w:rPr>
        <w:t xml:space="preserve">Module: </w:t>
      </w:r>
      <w:r>
        <w:rPr>
          <w:rFonts w:ascii="Arial" w:cs="Arial" w:eastAsia="Arial" w:hAnsi="Arial"/>
          <w:sz w:val="22"/>
          <w:szCs w:val="22"/>
        </w:rPr>
        <w:t xml:space="preserve">sentinel/runtime_firewall.py</w:t>
      </w:r>
    </w:p>
    <w:p>
      <w:pPr>
        <w:spacing w:after="120"/>
      </w:pPr>
      <w:r>
        <w:rPr>
          <w:rFonts w:ascii="Arial" w:cs="Arial" w:eastAsia="Arial" w:hAnsi="Arial"/>
          <w:b/>
          <w:bCs/>
          <w:sz w:val="22"/>
          <w:szCs w:val="22"/>
        </w:rPr>
        <w:t xml:space="preserve">Engine: </w:t>
      </w:r>
      <w:r>
        <w:rPr>
          <w:rFonts w:ascii="Arial" w:cs="Arial" w:eastAsia="Arial" w:hAnsi="Arial"/>
          <w:sz w:val="22"/>
          <w:szCs w:val="22"/>
        </w:rPr>
        <w:t xml:space="preserve">Meta LlamaFirewall (MIT License)</w:t>
      </w:r>
    </w:p>
    <w:p>
      <w:pPr>
        <w:spacing w:after="120"/>
      </w:pPr>
      <w:r>
        <w:rPr>
          <w:rFonts w:ascii="Arial" w:cs="Arial" w:eastAsia="Arial" w:hAnsi="Arial"/>
          <w:sz w:val="22"/>
          <w:szCs w:val="22"/>
        </w:rPr>
        <w:t xml:space="preserve">The outermost security perimeter. Operates as a system-level defense layer independent of application code. Even if guardrails are misconfigured, the firewall catches threats.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rPr>
          <w:tblHeader/>
        </w:trPr>
        <w:tc>
          <w:tcPr>
            <w:tcW w:type="dxa" w:w="2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Scanner</w:t>
            </w:r>
          </w:p>
        </w:tc>
        <w:tc>
          <w:tcPr>
            <w:tcW w:type="dxa" w:w="43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What It Detects</w:t>
            </w:r>
          </w:p>
        </w:tc>
        <w:tc>
          <w:tcPr>
            <w:tcW w:type="dxa" w:w="3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Performance</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PromptGuard 2</w:t>
            </w:r>
          </w:p>
        </w:tc>
        <w:tc>
          <w:tcPr>
            <w:tcW w:type="dxa" w:w="4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Direct jailbreak attempts, prompt injection</w:t>
            </w:r>
          </w:p>
        </w:tc>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97.5% recall, 1% FPR, 19.3ms latency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AlignmentCheck</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Chain-of-thought hijacking, goal misalignment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83% attack reduction, audits agent reasoning</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CodeShield</w:t>
            </w:r>
          </w:p>
        </w:tc>
        <w:tc>
          <w:tcPr>
            <w:tcW w:type="dxa" w:w="4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Insecure code generation, vulnerability patterns</w:t>
            </w:r>
          </w:p>
        </w:tc>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Real-time static analysis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 Scanners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Regex and LLM-based, configured from spec</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User-defined patterns</w:t>
            </w:r>
          </w:p>
        </w:tc>
      </w:tr>
    </w:tbl>
    <w:p>
      <w:pPr>
        <w:spacing w:after="120"/>
      </w:pPr>
      <w:r>
        <w:rPr>
          <w:rFonts w:ascii="Arial" w:cs="Arial" w:eastAsia="Arial" w:hAnsi="Arial"/>
          <w:sz w:val="22"/>
          <w:szCs w:val="22"/>
        </w:rPr>
        <w:t xml:space="preserve">Fallback: When LlamaFirewall is not installed (no GPU), the system falls back to regex-based detection with reduced coverage.</w:t>
      </w:r>
    </w:p>
    <w:p>
      <w:pPr>
        <w:spacing w:after="80"/>
      </w:pPr>
    </w:p>
    <w:p>
      <w:pPr>
        <w:pStyle w:val="Heading2"/>
        <w:spacing w:before="280" w:after="160"/>
      </w:pPr>
      <w:r>
        <w:rPr>
          <w:rFonts w:ascii="Arial" w:cs="Arial" w:eastAsia="Arial" w:hAnsi="Arial"/>
          <w:b/>
          <w:bCs/>
          <w:color w:val="2E75B6"/>
          <w:sz w:val="28"/>
          <w:szCs w:val="28"/>
        </w:rPr>
        <w:t xml:space="preserve">3.2 Gateway Adapters</w:t>
      </w:r>
    </w:p>
    <w:p>
      <w:pPr>
        <w:spacing w:after="120"/>
      </w:pPr>
      <w:r>
        <w:rPr>
          <w:rFonts w:ascii="Arial" w:cs="Arial" w:eastAsia="Arial" w:hAnsi="Arial"/>
          <w:b/>
          <w:bCs/>
          <w:sz w:val="22"/>
          <w:szCs w:val="22"/>
        </w:rPr>
        <w:t xml:space="preserve">Module: </w:t>
      </w:r>
      <w:r>
        <w:rPr>
          <w:rFonts w:ascii="Arial" w:cs="Arial" w:eastAsia="Arial" w:hAnsi="Arial"/>
          <w:sz w:val="22"/>
          <w:szCs w:val="22"/>
        </w:rPr>
        <w:t xml:space="preserve">sentinel/adapters.py</w:t>
      </w:r>
    </w:p>
    <w:p>
      <w:pPr>
        <w:spacing w:after="120"/>
      </w:pPr>
      <w:r>
        <w:rPr>
          <w:rFonts w:ascii="Arial" w:cs="Arial" w:eastAsia="Arial" w:hAnsi="Arial"/>
          <w:sz w:val="22"/>
          <w:szCs w:val="22"/>
        </w:rPr>
        <w:t xml:space="preserve">Gateway-agnostic interface supporting three backends, switchable via a single spec field:</w:t>
      </w:r>
    </w:p>
    <w:p>
      <w:pPr>
        <w:spacing w:after="80"/>
      </w:pP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600"/>
        <w:gridCol w:w="1500"/>
        <w:gridCol w:w="1100"/>
        <w:gridCol w:w="1460"/>
      </w:tblGrid>
      <w:tr>
        <w:trPr>
          <w:tblHeader/>
        </w:trPr>
        <w:tc>
          <w:tcPr>
            <w:tcW w:type="dxa" w:w="1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Gateway</w:t>
            </w:r>
          </w:p>
        </w:tc>
        <w:tc>
          <w:tcPr>
            <w:tcW w:type="dxa" w:w="1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LLM Routing</w:t>
            </w:r>
          </w:p>
        </w:tc>
        <w:tc>
          <w:tcPr>
            <w:tcW w:type="dxa" w:w="16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MCP Governance</w:t>
            </w:r>
          </w:p>
        </w:tc>
        <w:tc>
          <w:tcPr>
            <w:tcW w:type="dxa" w:w="1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Tool Access</w:t>
            </w:r>
          </w:p>
        </w:tc>
        <w:tc>
          <w:tcPr>
            <w:tcW w:type="dxa" w:w="11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Overhead</w:t>
            </w:r>
          </w:p>
        </w:tc>
        <w:tc>
          <w:tcPr>
            <w:tcW w:type="dxa" w:w="14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LiteLLM</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100+ providers</w:t>
            </w:r>
          </w:p>
        </w:tc>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No</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Advisory only</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~8ms</w:t>
            </w:r>
          </w:p>
        </w:tc>
        <w:tc>
          <w:tcPr>
            <w:tcW w:type="dxa" w:w="14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Development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Kong AI</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 providers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(OAuth 2.1)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Registry + ACL</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2-5ms</w:t>
            </w:r>
          </w:p>
        </w:tc>
        <w:tc>
          <w:tcPr>
            <w:tcW w:type="dxa" w:w="1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Enterprise</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Bifrost</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20+ providers</w:t>
            </w:r>
          </w:p>
        </w:tc>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Native MCP</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Per-team controls</w:t>
            </w:r>
          </w:p>
        </w:tc>
        <w:tc>
          <w:tcPr>
            <w:tcW w:type="dxa" w:w="11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~11µs</w:t>
            </w:r>
          </w:p>
        </w:tc>
        <w:tc>
          <w:tcPr>
            <w:tcW w:type="dxa" w:w="14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Performance</w:t>
            </w:r>
          </w:p>
        </w:tc>
      </w:tr>
    </w:tbl>
    <w:p>
      <w:pPr>
        <w:shd w:fill="F5F5F5" w:val="clear"/>
        <w:spacing w:after="80"/>
        <w:ind w:left="360"/>
      </w:pPr>
      <w:r>
        <w:rPr>
          <w:rFonts w:ascii="Courier New" w:cs="Courier New" w:eastAsia="Courier New" w:hAnsi="Courier New"/>
          <w:sz w:val="18"/>
          <w:szCs w:val="18"/>
        </w:rPr>
        <w:t xml:space="preserve">sentinel.gateway.engine: kong  # litellm | kong | bifrost</w:t>
      </w:r>
    </w:p>
    <w:p>
      <w:pPr>
        <w:spacing w:after="80"/>
      </w:pPr>
    </w:p>
    <w:p>
      <w:pPr>
        <w:pStyle w:val="Heading2"/>
        <w:spacing w:before="280" w:after="160"/>
      </w:pPr>
      <w:r>
        <w:rPr>
          <w:rFonts w:ascii="Arial" w:cs="Arial" w:eastAsia="Arial" w:hAnsi="Arial"/>
          <w:b/>
          <w:bCs/>
          <w:color w:val="2E75B6"/>
          <w:sz w:val="28"/>
          <w:szCs w:val="28"/>
        </w:rPr>
        <w:t xml:space="preserve">3.3 Authentication &amp; Authorization</w:t>
      </w:r>
    </w:p>
    <w:p>
      <w:pPr>
        <w:spacing w:after="120"/>
      </w:pPr>
      <w:r>
        <w:rPr>
          <w:rFonts w:ascii="Arial" w:cs="Arial" w:eastAsia="Arial" w:hAnsi="Arial"/>
          <w:b/>
          <w:bCs/>
          <w:sz w:val="22"/>
          <w:szCs w:val="22"/>
        </w:rPr>
        <w:t xml:space="preserve">Module: </w:t>
      </w:r>
      <w:r>
        <w:rPr>
          <w:rFonts w:ascii="Arial" w:cs="Arial" w:eastAsia="Arial" w:hAnsi="Arial"/>
          <w:sz w:val="22"/>
          <w:szCs w:val="22"/>
        </w:rPr>
        <w:t xml:space="preserve">sentinel/auth.py</w:t>
      </w:r>
    </w:p>
    <w:p>
      <w:pPr>
        <w:spacing w:after="120"/>
      </w:pPr>
      <w:r>
        <w:rPr>
          <w:rFonts w:ascii="Arial" w:cs="Arial" w:eastAsia="Arial" w:hAnsi="Arial"/>
          <w:b/>
          <w:bCs/>
          <w:sz w:val="22"/>
          <w:szCs w:val="22"/>
        </w:rPr>
        <w:t xml:space="preserve">Engine: </w:t>
      </w:r>
      <w:r>
        <w:rPr>
          <w:rFonts w:ascii="Arial" w:cs="Arial" w:eastAsia="Arial" w:hAnsi="Arial"/>
          <w:sz w:val="22"/>
          <w:szCs w:val="22"/>
        </w:rPr>
        <w:t xml:space="preserve">Apache Casbin (Apache 2.0)</w:t>
      </w:r>
    </w:p>
    <w:p>
      <w:pPr>
        <w:spacing w:after="80"/>
      </w:pPr>
    </w:p>
    <w:p>
      <w:pPr>
        <w:spacing w:before="200" w:after="120"/>
      </w:pPr>
      <w:r>
        <w:rPr>
          <w:rFonts w:ascii="Arial" w:cs="Arial" w:eastAsia="Arial" w:hAnsi="Arial"/>
          <w:b/>
          <w:bCs/>
          <w:color w:val="1B365D"/>
          <w:sz w:val="24"/>
          <w:szCs w:val="24"/>
        </w:rPr>
        <w:t xml:space="preserve">Machine-to-Machine (Persona Auth)</w:t>
      </w:r>
    </w:p>
    <w:p>
      <w:pPr>
        <w:spacing w:after="120"/>
      </w:pPr>
      <w:r>
        <w:rPr>
          <w:rFonts w:ascii="Arial" w:cs="Arial" w:eastAsia="Arial" w:hAnsi="Arial"/>
          <w:sz w:val="22"/>
          <w:szCs w:val="22"/>
        </w:rPr>
        <w:t xml:space="preserve">Every action in STC goes through a Casbin RBAC check. Permissions are defined in the Declarative Specification and enforced at runtime. This implements the asymmetric authority model: Stalwart cannot modify routing, Trainer cannot trigger escalation, Critic cannot bypass governance.</w:t>
      </w:r>
    </w:p>
    <w:p>
      <w:pPr>
        <w:spacing w:after="80"/>
      </w:pPr>
    </w:p>
    <w:p>
      <w:pPr>
        <w:spacing w:before="200" w:after="120"/>
      </w:pPr>
      <w:r>
        <w:rPr>
          <w:rFonts w:ascii="Arial" w:cs="Arial" w:eastAsia="Arial" w:hAnsi="Arial"/>
          <w:b/>
          <w:bCs/>
          <w:color w:val="1B365D"/>
          <w:sz w:val="24"/>
          <w:szCs w:val="24"/>
        </w:rPr>
        <w:t xml:space="preserve">Human Operator RBAC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700"/>
        <w:gridCol w:w="1500"/>
        <w:gridCol w:w="1460"/>
      </w:tblGrid>
      <w:tr>
        <w:trPr>
          <w:tblHeader/>
        </w:trPr>
        <w:tc>
          <w:tcPr>
            <w:tcW w:type="dxa" w:w="1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1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Modify Spec</w:t>
            </w:r>
          </w:p>
        </w:tc>
        <w:tc>
          <w:tcPr>
            <w:tcW w:type="dxa" w:w="17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Reset Escalation</w:t>
            </w:r>
          </w:p>
        </w:tc>
        <w:tc>
          <w:tcPr>
            <w:tcW w:type="dxa" w:w="17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Approve Routing</w:t>
            </w:r>
          </w:p>
        </w:tc>
        <w:tc>
          <w:tcPr>
            <w:tcW w:type="dxa" w:w="1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Export Audit</w:t>
            </w:r>
          </w:p>
        </w:tc>
        <w:tc>
          <w:tcPr>
            <w:tcW w:type="dxa" w:w="14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Rotate Keys</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Admin</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Yes</w:t>
            </w:r>
          </w:p>
        </w:tc>
        <w:tc>
          <w:tcPr>
            <w:tcW w:type="dxa" w:w="1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Yes</w:t>
            </w:r>
          </w:p>
        </w:tc>
        <w:tc>
          <w:tcPr>
            <w:tcW w:type="dxa" w:w="1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Yes</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Yes</w:t>
            </w:r>
          </w:p>
        </w:tc>
        <w:tc>
          <w:tcPr>
            <w:tcW w:type="dxa" w:w="14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Operator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c>
          <w:tcPr>
            <w:tcW w:type="dxa" w:w="1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Yes</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Auditor</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No</w:t>
            </w:r>
          </w:p>
        </w:tc>
        <w:tc>
          <w:tcPr>
            <w:tcW w:type="dxa" w:w="1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No</w:t>
            </w:r>
          </w:p>
        </w:tc>
        <w:tc>
          <w:tcPr>
            <w:tcW w:type="dxa" w:w="17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No</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Yes</w:t>
            </w:r>
          </w:p>
        </w:tc>
        <w:tc>
          <w:tcPr>
            <w:tcW w:type="dxa" w:w="14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No</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Viewer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c>
          <w:tcPr>
            <w:tcW w:type="dxa" w:w="1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t>
            </w:r>
          </w:p>
        </w:tc>
      </w:tr>
    </w:tbl>
    <w:p>
      <w:pPr>
        <w:spacing w:after="80"/>
      </w:pPr>
    </w:p>
    <w:p>
      <w:pPr>
        <w:spacing w:before="200" w:after="120"/>
      </w:pPr>
      <w:r>
        <w:rPr>
          <w:rFonts w:ascii="Arial" w:cs="Arial" w:eastAsia="Arial" w:hAnsi="Arial"/>
          <w:b/>
          <w:bCs/>
          <w:color w:val="1B365D"/>
          <w:sz w:val="24"/>
          <w:szCs w:val="24"/>
        </w:rPr>
        <w:t xml:space="preserve">API Key Management</w:t>
      </w:r>
    </w:p>
    <w:p>
      <w:pPr>
        <w:spacing w:after="120"/>
      </w:pPr>
      <w:r>
        <w:rPr>
          <w:rFonts w:ascii="Arial" w:cs="Arial" w:eastAsia="Arial" w:hAnsi="Arial"/>
          <w:sz w:val="22"/>
          <w:szCs w:val="22"/>
        </w:rPr>
        <w:t xml:space="preserve">Cryptographically generated keys, stored as SHA-256 hashes, scoped per persona, with configurable rotation (default 90 days) and revocation with audit trail. Supports JWT validation for IdP integration (Okta, Azure AD, Auth0, KeyCloak).</w:t>
      </w:r>
    </w:p>
    <w:p>
      <w:pPr>
        <w:spacing w:after="80"/>
      </w:pPr>
    </w:p>
    <w:p>
      <w:pPr>
        <w:pStyle w:val="Heading2"/>
        <w:spacing w:before="280" w:after="160"/>
      </w:pPr>
      <w:r>
        <w:rPr>
          <w:rFonts w:ascii="Arial" w:cs="Arial" w:eastAsia="Arial" w:hAnsi="Arial"/>
          <w:b/>
          <w:bCs/>
          <w:color w:val="2E75B6"/>
          <w:sz w:val="28"/>
          <w:szCs w:val="28"/>
        </w:rPr>
        <w:t xml:space="preserve">3.4 Data Security</w:t>
      </w:r>
    </w:p>
    <w:p>
      <w:pPr>
        <w:spacing w:after="120"/>
      </w:pPr>
      <w:r>
        <w:rPr>
          <w:rFonts w:ascii="Arial" w:cs="Arial" w:eastAsia="Arial" w:hAnsi="Arial"/>
          <w:b/>
          <w:bCs/>
          <w:sz w:val="22"/>
          <w:szCs w:val="22"/>
        </w:rPr>
        <w:t xml:space="preserve">Module: </w:t>
      </w:r>
      <w:r>
        <w:rPr>
          <w:rFonts w:ascii="Arial" w:cs="Arial" w:eastAsia="Arial" w:hAnsi="Arial"/>
          <w:sz w:val="22"/>
          <w:szCs w:val="22"/>
        </w:rPr>
        <w:t xml:space="preserve">sentinel/data_security.py</w:t>
      </w:r>
    </w:p>
    <w:p>
      <w:pPr>
        <w:spacing w:after="120"/>
      </w:pPr>
      <w:r>
        <w:rPr>
          <w:rFonts w:ascii="Arial" w:cs="Arial" w:eastAsia="Arial" w:hAnsi="Arial"/>
          <w:b/>
          <w:bCs/>
          <w:sz w:val="22"/>
          <w:szCs w:val="22"/>
        </w:rPr>
        <w:t xml:space="preserve">Engines: </w:t>
      </w:r>
      <w:r>
        <w:rPr>
          <w:rFonts w:ascii="Arial" w:cs="Arial" w:eastAsia="Arial" w:hAnsi="Arial"/>
          <w:sz w:val="22"/>
          <w:szCs w:val="22"/>
        </w:rPr>
        <w:t xml:space="preserve">Microsoft Presidio (MIT) + custom DLP patterns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860"/>
        <w:gridCol w:w="2000"/>
      </w:tblGrid>
      <w:tr>
        <w:trPr>
          <w:tblHeader/>
        </w:trPr>
        <w:tc>
          <w:tcPr>
            <w:tcW w:type="dxa" w:w="2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48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2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AIUC-1 Mapping</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PII Surrogate Tokenization</w:t>
            </w:r>
          </w:p>
        </w:tc>
        <w:tc>
          <w:tcPr>
            <w:tcW w:type="dxa" w:w="48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Replaces PII with reversible tokens before LLM call. LLM never sees real data. Tokens reversed on output.</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A006</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Prompt Injection Defense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Pattern-based + encoding detection for OWASP LLM Top 10 injection techniques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F001</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Usage Policy Enforcement</w:t>
            </w:r>
          </w:p>
        </w:tc>
        <w:tc>
          <w:tcPr>
            <w:tcW w:type="dxa" w:w="48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Blocks investment advice, out-of-scope content based on risk taxonomy</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C001</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Loss Prevention</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Scans all output channels (responses, logs, traces) for proprietary data leakage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A004</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Content Safety</w:t>
            </w:r>
          </w:p>
        </w:tc>
        <w:tc>
          <w:tcPr>
            <w:tcW w:type="dxa" w:w="48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Toxicity detection, harmful content filtering</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 - Safety</w:t>
            </w:r>
          </w:p>
        </w:tc>
      </w:tr>
    </w:tbl>
    <w:p>
      <w:pPr>
        <w:spacing w:after="80"/>
      </w:pPr>
    </w:p>
    <w:p>
      <w:pPr>
        <w:pStyle w:val="Heading2"/>
        <w:spacing w:before="280" w:after="160"/>
      </w:pPr>
      <w:r>
        <w:rPr>
          <w:rFonts w:ascii="Arial" w:cs="Arial" w:eastAsia="Arial" w:hAnsi="Arial"/>
          <w:b/>
          <w:bCs/>
          <w:color w:val="2E75B6"/>
          <w:sz w:val="28"/>
          <w:szCs w:val="28"/>
        </w:rPr>
        <w:t xml:space="preserve">3.5 MCP Catalog Integration</w:t>
      </w:r>
    </w:p>
    <w:p>
      <w:pPr>
        <w:spacing w:after="120"/>
      </w:pPr>
      <w:r>
        <w:rPr>
          <w:rFonts w:ascii="Arial" w:cs="Arial" w:eastAsia="Arial" w:hAnsi="Arial"/>
          <w:b/>
          <w:bCs/>
          <w:sz w:val="22"/>
          <w:szCs w:val="22"/>
        </w:rPr>
        <w:t xml:space="preserve">Module: </w:t>
      </w:r>
      <w:r>
        <w:rPr>
          <w:rFonts w:ascii="Arial" w:cs="Arial" w:eastAsia="Arial" w:hAnsi="Arial"/>
          <w:sz w:val="22"/>
          <w:szCs w:val="22"/>
        </w:rPr>
        <w:t xml:space="preserve">sentinel/mcp_catalog.py</w:t>
      </w:r>
    </w:p>
    <w:p>
      <w:pPr>
        <w:spacing w:after="120"/>
      </w:pPr>
      <w:r>
        <w:rPr>
          <w:rFonts w:ascii="Arial" w:cs="Arial" w:eastAsia="Arial" w:hAnsi="Arial"/>
          <w:sz w:val="22"/>
          <w:szCs w:val="22"/>
        </w:rPr>
        <w:t xml:space="preserve">Connects STC to enterprise MCP registries for runtime tool discovery, health monitoring, and governance validation. Adapts automatically based on gateway: spec-based (default), Kong MCP Registry, or Bifrost tool registry.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68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Tool Discovery</w:t>
            </w:r>
          </w:p>
        </w:tc>
        <w:tc>
          <w:tcPr>
            <w:tcW w:type="dxa" w:w="68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Query available MCP servers from registry, match against permitted_tools in spec</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Health Monitoring</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Periodic health checks; mark unhealthy tools as degraded</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Governance Validation</w:t>
            </w:r>
          </w:p>
        </w:tc>
        <w:tc>
          <w:tcPr>
            <w:tcW w:type="dxa" w:w="68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Verify every tool call is registered; detect shadow tools (called but not registered)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Catalog Sync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Compare registry vs spec: new tools, missing tools, shadow tools, unhealthy tools</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Trainer Integration</w:t>
            </w:r>
          </w:p>
        </w:tc>
        <w:tc>
          <w:tcPr>
            <w:tcW w:type="dxa" w:w="68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Expose tool metrics (latency, reliability) for Trainer optimization</w:t>
            </w:r>
          </w:p>
        </w:tc>
      </w:tr>
    </w:tbl>
    <w:p>
      <w:r>
        <w:br w:type="page"/>
      </w:r>
    </w:p>
    <w:p>
      <w:pPr>
        <w:pStyle w:val="Heading1"/>
        <w:spacing w:before="360" w:after="200"/>
      </w:pPr>
      <w:r>
        <w:rPr>
          <w:rFonts w:ascii="Arial" w:cs="Arial" w:eastAsia="Arial" w:hAnsi="Arial"/>
          <w:b/>
          <w:bCs/>
          <w:color w:val="1B365D"/>
          <w:sz w:val="36"/>
          <w:szCs w:val="36"/>
        </w:rPr>
        <w:t xml:space="preserve">4. Core Personas</w:t>
      </w:r>
    </w:p>
    <w:p>
      <w:pPr>
        <w:spacing w:after="80"/>
      </w:pPr>
    </w:p>
    <w:p>
      <w:pPr>
        <w:pStyle w:val="Heading2"/>
        <w:spacing w:before="280" w:after="160"/>
      </w:pPr>
      <w:r>
        <w:rPr>
          <w:rFonts w:ascii="Arial" w:cs="Arial" w:eastAsia="Arial" w:hAnsi="Arial"/>
          <w:b/>
          <w:bCs/>
          <w:color w:val="2E75B6"/>
          <w:sz w:val="28"/>
          <w:szCs w:val="28"/>
        </w:rPr>
        <w:t xml:space="preserve">4.1 Stalwart (Execution Plane)</w:t>
      </w:r>
    </w:p>
    <w:p>
      <w:pPr>
        <w:spacing w:after="120"/>
      </w:pPr>
      <w:r>
        <w:rPr>
          <w:rFonts w:ascii="Arial" w:cs="Arial" w:eastAsia="Arial" w:hAnsi="Arial"/>
          <w:b/>
          <w:bCs/>
          <w:sz w:val="22"/>
          <w:szCs w:val="22"/>
        </w:rPr>
        <w:t xml:space="preserve">Module: </w:t>
      </w:r>
      <w:r>
        <w:rPr>
          <w:rFonts w:ascii="Arial" w:cs="Arial" w:eastAsia="Arial" w:hAnsi="Arial"/>
          <w:sz w:val="22"/>
          <w:szCs w:val="22"/>
        </w:rPr>
        <w:t xml:space="preserve">stalwart/financial_qa_agent.py</w:t>
      </w:r>
    </w:p>
    <w:p>
      <w:pPr>
        <w:spacing w:after="120"/>
      </w:pPr>
      <w:r>
        <w:rPr>
          <w:rFonts w:ascii="Arial" w:cs="Arial" w:eastAsia="Arial" w:hAnsi="Arial"/>
          <w:b/>
          <w:bCs/>
          <w:sz w:val="22"/>
          <w:szCs w:val="22"/>
        </w:rPr>
        <w:t xml:space="preserve">Framework: </w:t>
      </w:r>
      <w:r>
        <w:rPr>
          <w:rFonts w:ascii="Arial" w:cs="Arial" w:eastAsia="Arial" w:hAnsi="Arial"/>
          <w:sz w:val="22"/>
          <w:szCs w:val="22"/>
        </w:rPr>
        <w:t xml:space="preserve">LangGraph (MIT)</w:t>
      </w:r>
    </w:p>
    <w:p>
      <w:pPr>
        <w:spacing w:after="120"/>
      </w:pPr>
      <w:r>
        <w:rPr>
          <w:rFonts w:ascii="Arial" w:cs="Arial" w:eastAsia="Arial" w:hAnsi="Arial"/>
          <w:sz w:val="22"/>
          <w:szCs w:val="22"/>
        </w:rPr>
        <w:t xml:space="preserve">The Stalwart executes business tasks. It does NOT evaluate its own accuracy, choose its own guardrails, optimize its own prompts, or decide if it is safe to respond. Those responsibilities belong to the Trainer and Critic.</w:t>
      </w:r>
    </w:p>
    <w:p>
      <w:pPr>
        <w:spacing w:after="80"/>
      </w:pPr>
    </w:p>
    <w:p>
      <w:pPr>
        <w:spacing w:before="200" w:after="120"/>
      </w:pPr>
      <w:r>
        <w:rPr>
          <w:rFonts w:ascii="Arial" w:cs="Arial" w:eastAsia="Arial" w:hAnsi="Arial"/>
          <w:b/>
          <w:bCs/>
          <w:color w:val="1B365D"/>
          <w:sz w:val="24"/>
          <w:szCs w:val="24"/>
        </w:rPr>
        <w:t xml:space="preserve">Reference Implementation: Financial Document Q&amp;A</w:t>
      </w:r>
    </w:p>
    <w:p>
      <w:pPr>
        <w:spacing w:after="120"/>
      </w:pPr>
      <w:r>
        <w:rPr>
          <w:rFonts w:ascii="Arial" w:cs="Arial" w:eastAsia="Arial" w:hAnsi="Arial"/>
          <w:sz w:val="22"/>
          <w:szCs w:val="22"/>
        </w:rPr>
        <w:t xml:space="preserve">LangGraph RAG workflow: classify query → retrieve from local vector store → assemble context → call LLM via Sentinel gateway → format cited response. All retrieval and embedding happens locally (data sovereignty). The LLM is routed based on data classification tier.</w:t>
      </w:r>
    </w:p>
    <w:p>
      <w:pPr>
        <w:spacing w:after="80"/>
      </w:pPr>
    </w:p>
    <w:p>
      <w:pPr>
        <w:pStyle w:val="Heading2"/>
        <w:spacing w:before="280" w:after="160"/>
      </w:pPr>
      <w:r>
        <w:rPr>
          <w:rFonts w:ascii="Arial" w:cs="Arial" w:eastAsia="Arial" w:hAnsi="Arial"/>
          <w:b/>
          <w:bCs/>
          <w:color w:val="2E75B6"/>
          <w:sz w:val="28"/>
          <w:szCs w:val="28"/>
        </w:rPr>
        <w:t xml:space="preserve">4.2 Trainer (Optimization &amp; Control Plane)</w:t>
      </w:r>
    </w:p>
    <w:p>
      <w:pPr>
        <w:spacing w:after="120"/>
      </w:pPr>
      <w:r>
        <w:rPr>
          <w:rFonts w:ascii="Arial" w:cs="Arial" w:eastAsia="Arial" w:hAnsi="Arial"/>
          <w:b/>
          <w:bCs/>
          <w:sz w:val="22"/>
          <w:szCs w:val="22"/>
        </w:rPr>
        <w:t xml:space="preserve">Module: </w:t>
      </w:r>
      <w:r>
        <w:rPr>
          <w:rFonts w:ascii="Arial" w:cs="Arial" w:eastAsia="Arial" w:hAnsi="Arial"/>
          <w:sz w:val="22"/>
          <w:szCs w:val="22"/>
        </w:rPr>
        <w:t xml:space="preserve">trainer/optimization_manager.py</w:t>
      </w:r>
    </w:p>
    <w:p>
      <w:pPr>
        <w:spacing w:after="120"/>
      </w:pPr>
      <w:r>
        <w:rPr>
          <w:rFonts w:ascii="Arial" w:cs="Arial" w:eastAsia="Arial" w:hAnsi="Arial"/>
          <w:b/>
          <w:bCs/>
          <w:sz w:val="22"/>
          <w:szCs w:val="22"/>
        </w:rPr>
        <w:t xml:space="preserve">Engine: </w:t>
      </w:r>
      <w:r>
        <w:rPr>
          <w:rFonts w:ascii="Arial" w:cs="Arial" w:eastAsia="Arial" w:hAnsi="Arial"/>
          <w:sz w:val="22"/>
          <w:szCs w:val="22"/>
        </w:rPr>
        <w:t xml:space="preserve">Microsoft Agent Lightning (MIT) + LiteLLM</w:t>
      </w:r>
    </w:p>
    <w:p>
      <w:pPr>
        <w:spacing w:after="120"/>
      </w:pPr>
      <w:r>
        <w:rPr>
          <w:rFonts w:ascii="Arial" w:cs="Arial" w:eastAsia="Arial" w:hAnsi="Arial"/>
          <w:sz w:val="22"/>
          <w:szCs w:val="22"/>
        </w:rPr>
        <w:t xml:space="preserve">The Trainer makes the Stalwart better over time through three optimization loops: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tblHeader/>
        </w:trPr>
        <w:tc>
          <w:tcPr>
            <w:tcW w:type="dxa" w:w="2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Optimization Loop</w:t>
            </w:r>
          </w:p>
        </w:tc>
        <w:tc>
          <w:tcPr>
            <w:tcW w:type="dxa" w:w="343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What It Adjusts</w:t>
            </w:r>
          </w:p>
        </w:tc>
        <w:tc>
          <w:tcPr>
            <w:tcW w:type="dxa" w:w="343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Signal Source</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Retrieval Optimization</w:t>
            </w:r>
          </w:p>
        </w:tc>
        <w:tc>
          <w:tcPr>
            <w:tcW w:type="dxa" w:w="343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Chunk size, top-k, reranking weights</w:t>
            </w:r>
          </w:p>
        </w:tc>
        <w:tc>
          <w:tcPr>
            <w:tcW w:type="dxa" w:w="343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Retrieval quality scores from traces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Prompt Optimization</w:t>
            </w:r>
          </w:p>
        </w:tc>
        <w:tc>
          <w:tcPr>
            <w:tcW w:type="dxa" w:w="34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prompt, few-shot examples via Agent Lightning APO</w:t>
            </w:r>
          </w:p>
        </w:tc>
        <w:tc>
          <w:tcPr>
            <w:tcW w:type="dxa" w:w="34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Factual accuracy + user feedback</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Model Routing</w:t>
            </w:r>
          </w:p>
        </w:tc>
        <w:tc>
          <w:tcPr>
            <w:tcW w:type="dxa" w:w="343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Which model handles which query type (cost vs accuracy)</w:t>
            </w:r>
          </w:p>
        </w:tc>
        <w:tc>
          <w:tcPr>
            <w:tcW w:type="dxa" w:w="343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Cost-normalized accuracy per model</w:t>
            </w:r>
          </w:p>
        </w:tc>
      </w:tr>
    </w:tbl>
    <w:p>
      <w:pPr>
        <w:spacing w:after="80"/>
      </w:pPr>
    </w:p>
    <w:p>
      <w:pPr>
        <w:spacing w:before="200" w:after="120"/>
      </w:pPr>
      <w:r>
        <w:rPr>
          <w:rFonts w:ascii="Arial" w:cs="Arial" w:eastAsia="Arial" w:hAnsi="Arial"/>
          <w:b/>
          <w:bCs/>
          <w:color w:val="1B365D"/>
          <w:sz w:val="24"/>
          <w:szCs w:val="24"/>
        </w:rPr>
        <w:t xml:space="preserve">Reward Computation</w:t>
      </w:r>
    </w:p>
    <w:p>
      <w:pPr>
        <w:spacing w:after="120"/>
      </w:pPr>
      <w:r>
        <w:rPr>
          <w:rFonts w:ascii="Arial" w:cs="Arial" w:eastAsia="Arial" w:hAnsi="Arial"/>
          <w:sz w:val="22"/>
          <w:szCs w:val="22"/>
        </w:rPr>
        <w:t xml:space="preserve">Three weighted reward signals: user feedback (40%), factual accuracy (40%), retrieval quality (20%). These feed into Agent Lightning’s RL optimization loop (GRPO/PPO) for model weight updates and prompt refinement.</w:t>
      </w:r>
    </w:p>
    <w:p>
      <w:pPr>
        <w:spacing w:after="80"/>
      </w:pPr>
    </w:p>
    <w:p>
      <w:pPr>
        <w:spacing w:before="200" w:after="120"/>
      </w:pPr>
      <w:r>
        <w:rPr>
          <w:rFonts w:ascii="Arial" w:cs="Arial" w:eastAsia="Arial" w:hAnsi="Arial"/>
          <w:b/>
          <w:bCs/>
          <w:color w:val="1B365D"/>
          <w:sz w:val="24"/>
          <w:szCs w:val="24"/>
        </w:rPr>
        <w:t xml:space="preserve">Maintenance Mode</w:t>
      </w:r>
    </w:p>
    <w:p>
      <w:pPr>
        <w:spacing w:after="120"/>
      </w:pPr>
      <w:r>
        <w:rPr>
          <w:rFonts w:ascii="Arial" w:cs="Arial" w:eastAsia="Arial" w:hAnsi="Arial"/>
          <w:sz w:val="22"/>
          <w:szCs w:val="22"/>
        </w:rPr>
        <w:t xml:space="preserve">When the Trainer detects suboptimal performance (accuracy below 85%, cost above $0.10/task, hallucination rate above 5%, P95 latency above 5000ms), it can place the Stalwart into maintenance mode: degrade, pause, or alert-only per spec configuration.</w:t>
      </w:r>
    </w:p>
    <w:p>
      <w:pPr>
        <w:spacing w:after="80"/>
      </w:pPr>
    </w:p>
    <w:p>
      <w:pPr>
        <w:pStyle w:val="Heading2"/>
        <w:spacing w:before="280" w:after="160"/>
      </w:pPr>
      <w:r>
        <w:rPr>
          <w:rFonts w:ascii="Arial" w:cs="Arial" w:eastAsia="Arial" w:hAnsi="Arial"/>
          <w:b/>
          <w:bCs/>
          <w:color w:val="2E75B6"/>
          <w:sz w:val="28"/>
          <w:szCs w:val="28"/>
        </w:rPr>
        <w:t xml:space="preserve">4.3 Critic (Zero-Trust Governance Plane)</w:t>
      </w:r>
    </w:p>
    <w:p>
      <w:pPr>
        <w:spacing w:after="120"/>
      </w:pPr>
      <w:r>
        <w:rPr>
          <w:rFonts w:ascii="Arial" w:cs="Arial" w:eastAsia="Arial" w:hAnsi="Arial"/>
          <w:b/>
          <w:bCs/>
          <w:sz w:val="22"/>
          <w:szCs w:val="22"/>
        </w:rPr>
        <w:t xml:space="preserve">Module: </w:t>
      </w:r>
      <w:r>
        <w:rPr>
          <w:rFonts w:ascii="Arial" w:cs="Arial" w:eastAsia="Arial" w:hAnsi="Arial"/>
          <w:sz w:val="22"/>
          <w:szCs w:val="22"/>
        </w:rPr>
        <w:t xml:space="preserve">critic/governance_engine.py</w:t>
      </w:r>
    </w:p>
    <w:p>
      <w:pPr>
        <w:spacing w:after="120"/>
      </w:pPr>
      <w:r>
        <w:rPr>
          <w:rFonts w:ascii="Arial" w:cs="Arial" w:eastAsia="Arial" w:hAnsi="Arial"/>
          <w:b/>
          <w:bCs/>
          <w:sz w:val="22"/>
          <w:szCs w:val="22"/>
        </w:rPr>
        <w:t xml:space="preserve">Engines: </w:t>
      </w:r>
      <w:r>
        <w:rPr>
          <w:rFonts w:ascii="Arial" w:cs="Arial" w:eastAsia="Arial" w:hAnsi="Arial"/>
          <w:sz w:val="22"/>
          <w:szCs w:val="22"/>
        </w:rPr>
        <w:t xml:space="preserve">NVIDIA NeMo Guardrails (Apache 2.0) + Guardrails AI Hub (Apache 2.0)</w:t>
      </w:r>
    </w:p>
    <w:p>
      <w:pPr>
        <w:spacing w:after="120"/>
      </w:pPr>
      <w:r>
        <w:rPr>
          <w:rFonts w:ascii="Arial" w:cs="Arial" w:eastAsia="Arial" w:hAnsi="Arial"/>
          <w:sz w:val="22"/>
          <w:szCs w:val="22"/>
        </w:rPr>
        <w:t xml:space="preserve">The Critic assumes nothing is trustworthy. It does not fix problems — it submits structured feedback to the Trainer and triggers escalation when thresholds are breached.</w:t>
      </w:r>
    </w:p>
    <w:p>
      <w:pPr>
        <w:spacing w:after="80"/>
      </w:pPr>
    </w:p>
    <w:p>
      <w:pPr>
        <w:spacing w:before="200" w:after="120"/>
      </w:pPr>
      <w:r>
        <w:rPr>
          <w:rFonts w:ascii="Arial" w:cs="Arial" w:eastAsia="Arial" w:hAnsi="Arial"/>
          <w:b/>
          <w:bCs/>
          <w:color w:val="1B365D"/>
          <w:sz w:val="24"/>
          <w:szCs w:val="24"/>
        </w:rPr>
        <w:t xml:space="preserve">Guardrail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60"/>
        <w:gridCol w:w="1400"/>
        <w:gridCol w:w="2400"/>
      </w:tblGrid>
      <w:tr>
        <w:trPr>
          <w:tblHeader/>
        </w:trPr>
        <w:tc>
          <w:tcPr>
            <w:tcW w:type="dxa" w:w="2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Guardrail</w:t>
            </w:r>
          </w:p>
        </w:tc>
        <w:tc>
          <w:tcPr>
            <w:tcW w:type="dxa" w:w="33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What It Catches</w:t>
            </w:r>
          </w:p>
        </w:tc>
        <w:tc>
          <w:tcPr>
            <w:tcW w:type="dxa" w:w="14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4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Numerical Accuracy</w:t>
            </w:r>
          </w:p>
        </w:tc>
        <w:tc>
          <w:tcPr>
            <w:tcW w:type="dxa" w:w="3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Numbers in response not grounded in source documents</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Critical</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Block</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Hallucination Detection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Claims not supported by retrieved context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Critical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Block</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PII Output Scan</w:t>
            </w:r>
          </w:p>
        </w:tc>
        <w:tc>
          <w:tcPr>
            <w:tcW w:type="dxa" w:w="3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PII in LLM-generated response</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Critical</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Block</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Investment Advice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Buy/sell/hold recommendations, portfolio advice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Block</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Scope Check</w:t>
            </w:r>
          </w:p>
        </w:tc>
        <w:tc>
          <w:tcPr>
            <w:tcW w:type="dxa" w:w="3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Off-topic responses outside financial document Q&amp;A</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Low</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Warn</w:t>
            </w:r>
          </w:p>
        </w:tc>
      </w:tr>
    </w:tbl>
    <w:p>
      <w:pPr>
        <w:spacing w:after="80"/>
      </w:pPr>
    </w:p>
    <w:p>
      <w:pPr>
        <w:spacing w:before="200" w:after="120"/>
      </w:pPr>
      <w:r>
        <w:rPr>
          <w:rFonts w:ascii="Arial" w:cs="Arial" w:eastAsia="Arial" w:hAnsi="Arial"/>
          <w:b/>
          <w:bCs/>
          <w:color w:val="1B365D"/>
          <w:sz w:val="24"/>
          <w:szCs w:val="24"/>
        </w:rPr>
        <w:t xml:space="preserve">Graduated Escalation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Trigger</w:t>
            </w:r>
          </w:p>
        </w:tc>
        <w:tc>
          <w:tcPr>
            <w:tcW w:type="dxa" w:w="4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Degraded Mode</w:t>
            </w:r>
          </w:p>
        </w:tc>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2 critical failures in 10 tasks</w:t>
            </w:r>
          </w:p>
        </w:tc>
        <w:tc>
          <w:tcPr>
            <w:tcW w:type="dxa" w:w="4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Add disclaimers, require source citations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Quarantine Mode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critical failures in 10 tasks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responses for human review before delivery</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Suspension</w:t>
            </w:r>
          </w:p>
        </w:tc>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5 critical failures in 10 tasks</w:t>
            </w:r>
          </w:p>
        </w:tc>
        <w:tc>
          <w:tcPr>
            <w:tcW w:type="dxa" w:w="4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Suspend all personas, require human reset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Circuit Breaker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consecutive failures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300-second cooldown with auto-retry</w:t>
            </w:r>
          </w:p>
        </w:tc>
      </w:tr>
    </w:tbl>
    <w:p>
      <w:r>
        <w:br w:type="page"/>
      </w:r>
    </w:p>
    <w:p>
      <w:pPr>
        <w:pStyle w:val="Heading1"/>
        <w:spacing w:before="360" w:after="200"/>
      </w:pPr>
      <w:r>
        <w:rPr>
          <w:rFonts w:ascii="Arial" w:cs="Arial" w:eastAsia="Arial" w:hAnsi="Arial"/>
          <w:b/>
          <w:bCs/>
          <w:color w:val="1B365D"/>
          <w:sz w:val="36"/>
          <w:szCs w:val="36"/>
        </w:rPr>
        <w:t xml:space="preserve">5. Observability &amp; Audit</w:t>
      </w:r>
    </w:p>
    <w:p>
      <w:pPr>
        <w:spacing w:after="120"/>
      </w:pPr>
      <w:r>
        <w:rPr>
          <w:rFonts w:ascii="Arial" w:cs="Arial" w:eastAsia="Arial" w:hAnsi="Arial"/>
          <w:b/>
          <w:bCs/>
          <w:sz w:val="22"/>
          <w:szCs w:val="22"/>
        </w:rPr>
        <w:t xml:space="preserve">Module: </w:t>
      </w:r>
      <w:r>
        <w:rPr>
          <w:rFonts w:ascii="Arial" w:cs="Arial" w:eastAsia="Arial" w:hAnsi="Arial"/>
          <w:sz w:val="22"/>
          <w:szCs w:val="22"/>
        </w:rPr>
        <w:t xml:space="preserve">observability/stc_observability.py</w:t>
      </w:r>
    </w:p>
    <w:p>
      <w:pPr>
        <w:spacing w:after="120"/>
      </w:pPr>
      <w:r>
        <w:rPr>
          <w:rFonts w:ascii="Arial" w:cs="Arial" w:eastAsia="Arial" w:hAnsi="Arial"/>
          <w:b/>
          <w:bCs/>
          <w:sz w:val="22"/>
          <w:szCs w:val="22"/>
        </w:rPr>
        <w:t xml:space="preserve">Engines: </w:t>
      </w:r>
      <w:r>
        <w:rPr>
          <w:rFonts w:ascii="Arial" w:cs="Arial" w:eastAsia="Arial" w:hAnsi="Arial"/>
          <w:sz w:val="22"/>
          <w:szCs w:val="22"/>
        </w:rPr>
        <w:t xml:space="preserve">OpenTelemetry + Arize Phoenix + Langfuse</w:t>
      </w:r>
    </w:p>
    <w:p>
      <w:pPr>
        <w:spacing w:after="80"/>
      </w:pPr>
    </w:p>
    <w:p>
      <w:pPr>
        <w:pStyle w:val="Heading2"/>
        <w:spacing w:before="280" w:after="160"/>
      </w:pPr>
      <w:r>
        <w:rPr>
          <w:rFonts w:ascii="Arial" w:cs="Arial" w:eastAsia="Arial" w:hAnsi="Arial"/>
          <w:b/>
          <w:bCs/>
          <w:color w:val="2E75B6"/>
          <w:sz w:val="28"/>
          <w:szCs w:val="28"/>
        </w:rPr>
        <w:t xml:space="preserve">5.1 Unified Trace Context</w:t>
      </w:r>
    </w:p>
    <w:p>
      <w:pPr>
        <w:spacing w:after="120"/>
      </w:pPr>
      <w:r>
        <w:rPr>
          <w:rFonts w:ascii="Arial" w:cs="Arial" w:eastAsia="Arial" w:hAnsi="Arial"/>
          <w:sz w:val="22"/>
          <w:szCs w:val="22"/>
        </w:rPr>
        <w:t xml:space="preserve">Every request generates a correlated trace spanning all components: firewall → auth → sentinel → stalwart → critic → trainer. A single trace ID links every event, enabling end-to-end auditability.</w:t>
      </w:r>
    </w:p>
    <w:p>
      <w:pPr>
        <w:spacing w:after="80"/>
      </w:pPr>
    </w:p>
    <w:p>
      <w:pPr>
        <w:pStyle w:val="Heading2"/>
        <w:spacing w:before="280" w:after="160"/>
      </w:pPr>
      <w:r>
        <w:rPr>
          <w:rFonts w:ascii="Arial" w:cs="Arial" w:eastAsia="Arial" w:hAnsi="Arial"/>
          <w:b/>
          <w:bCs/>
          <w:color w:val="2E75B6"/>
          <w:sz w:val="28"/>
          <w:szCs w:val="28"/>
        </w:rPr>
        <w:t xml:space="preserve">5.2 Immutable Audit Trail</w:t>
      </w:r>
    </w:p>
    <w:p>
      <w:pPr>
        <w:spacing w:after="120"/>
      </w:pPr>
      <w:r>
        <w:rPr>
          <w:rFonts w:ascii="Arial" w:cs="Arial" w:eastAsia="Arial" w:hAnsi="Arial"/>
          <w:sz w:val="22"/>
          <w:szCs w:val="22"/>
        </w:rPr>
        <w:t xml:space="preserve">Events are append-only and cannot be modified after creation. Each event carries: timestamp, component, event type, severity, action, outcome, evidence, and AIUC-1 requirement mapping. Daily JSONL rotation with Parquet export for long-term compliance retention (configurable, default 365 days).</w:t>
      </w:r>
    </w:p>
    <w:p>
      <w:pPr>
        <w:spacing w:after="80"/>
      </w:pPr>
    </w:p>
    <w:p>
      <w:pPr>
        <w:pStyle w:val="Heading2"/>
        <w:spacing w:before="280" w:after="160"/>
      </w:pPr>
      <w:r>
        <w:rPr>
          <w:rFonts w:ascii="Arial" w:cs="Arial" w:eastAsia="Arial" w:hAnsi="Arial"/>
          <w:b/>
          <w:bCs/>
          <w:color w:val="2E75B6"/>
          <w:sz w:val="28"/>
          <w:szCs w:val="28"/>
        </w:rPr>
        <w:t xml:space="preserve">5.3 AIUC-1 Compliance Evidence Generator</w:t>
      </w:r>
    </w:p>
    <w:p>
      <w:pPr>
        <w:spacing w:after="120"/>
      </w:pPr>
      <w:r>
        <w:rPr>
          <w:rFonts w:ascii="Arial" w:cs="Arial" w:eastAsia="Arial" w:hAnsi="Arial"/>
          <w:sz w:val="22"/>
          <w:szCs w:val="22"/>
        </w:rPr>
        <w:t xml:space="preserve">Generates structured evidence packages for AIUC-1 audits across all six domains: Data &amp; Privacy, Security, Safety, Reliability, Accountability, Society. An auditor gets machine-readable reports mapping every requirement to STC controls and evidence.</w:t>
      </w:r>
    </w:p>
    <w:p>
      <w:pPr>
        <w:spacing w:after="80"/>
      </w:pPr>
    </w:p>
    <w:p>
      <w:pPr>
        <w:pStyle w:val="Heading2"/>
        <w:spacing w:before="280" w:after="160"/>
      </w:pPr>
      <w:r>
        <w:rPr>
          <w:rFonts w:ascii="Arial" w:cs="Arial" w:eastAsia="Arial" w:hAnsi="Arial"/>
          <w:b/>
          <w:bCs/>
          <w:color w:val="2E75B6"/>
          <w:sz w:val="28"/>
          <w:szCs w:val="28"/>
        </w:rPr>
        <w:t xml:space="preserve">5.4 Log Sanitization</w:t>
      </w:r>
    </w:p>
    <w:p>
      <w:pPr>
        <w:spacing w:after="120"/>
      </w:pPr>
      <w:r>
        <w:rPr>
          <w:rFonts w:ascii="Arial" w:cs="Arial" w:eastAsia="Arial" w:hAnsi="Arial"/>
          <w:sz w:val="22"/>
          <w:szCs w:val="22"/>
        </w:rPr>
        <w:t xml:space="preserve">DLP-aware trace processor that redacts proprietary data before export to external observability platforms (Phoenix, Langfuse, Datadog). Ensures observability channels do not become data leak vectors.</w:t>
      </w:r>
    </w:p>
    <w:p>
      <w:pPr>
        <w:spacing w:after="80"/>
      </w:pPr>
    </w:p>
    <w:p>
      <w:pPr>
        <w:pStyle w:val="Heading2"/>
        <w:spacing w:before="280" w:after="160"/>
      </w:pPr>
      <w:r>
        <w:rPr>
          <w:rFonts w:ascii="Arial" w:cs="Arial" w:eastAsia="Arial" w:hAnsi="Arial"/>
          <w:b/>
          <w:bCs/>
          <w:color w:val="2E75B6"/>
          <w:sz w:val="28"/>
          <w:szCs w:val="28"/>
        </w:rPr>
        <w:t xml:space="preserve">5.5 Prompt Registry</w:t>
      </w:r>
    </w:p>
    <w:p>
      <w:pPr>
        <w:spacing w:after="120"/>
      </w:pPr>
      <w:r>
        <w:rPr>
          <w:rFonts w:ascii="Arial" w:cs="Arial" w:eastAsia="Arial" w:hAnsi="Arial"/>
          <w:b/>
          <w:bCs/>
          <w:sz w:val="22"/>
          <w:szCs w:val="22"/>
        </w:rPr>
        <w:t xml:space="preserve">Engine: </w:t>
      </w:r>
      <w:r>
        <w:rPr>
          <w:rFonts w:ascii="Arial" w:cs="Arial" w:eastAsia="Arial" w:hAnsi="Arial"/>
          <w:sz w:val="22"/>
          <w:szCs w:val="22"/>
        </w:rPr>
        <w:t xml:space="preserve">Langfuse (MIT, self-hosted)</w:t>
      </w:r>
    </w:p>
    <w:p>
      <w:pPr>
        <w:spacing w:after="120"/>
      </w:pPr>
      <w:r>
        <w:rPr>
          <w:rFonts w:ascii="Arial" w:cs="Arial" w:eastAsia="Arial" w:hAnsi="Arial"/>
          <w:sz w:val="22"/>
          <w:szCs w:val="22"/>
        </w:rPr>
        <w:t xml:space="preserve">Centralized prompt management with automatic versioning, environment labels (dev/staging/production), and trace linkage. Every Stalwart execution records which prompt version was active. The Trainer registers new prompt versions when it optimizes, creating full prompt lineage for audit.</w:t>
      </w:r>
    </w:p>
    <w:p>
      <w:r>
        <w:br w:type="page"/>
      </w:r>
    </w:p>
    <w:p>
      <w:pPr>
        <w:pStyle w:val="Heading1"/>
        <w:spacing w:before="360" w:after="200"/>
      </w:pPr>
      <w:r>
        <w:rPr>
          <w:rFonts w:ascii="Arial" w:cs="Arial" w:eastAsia="Arial" w:hAnsi="Arial"/>
          <w:b/>
          <w:bCs/>
          <w:color w:val="1B365D"/>
          <w:sz w:val="36"/>
          <w:szCs w:val="36"/>
        </w:rPr>
        <w:t xml:space="preserve">6. Operational Control &amp; Cost Management</w:t>
      </w:r>
    </w:p>
    <w:p>
      <w:pPr>
        <w:spacing w:after="120"/>
      </w:pPr>
      <w:r>
        <w:rPr>
          <w:rFonts w:ascii="Arial" w:cs="Arial" w:eastAsia="Arial" w:hAnsi="Arial"/>
          <w:b/>
          <w:bCs/>
          <w:sz w:val="22"/>
          <w:szCs w:val="22"/>
        </w:rPr>
        <w:t xml:space="preserve">Module: </w:t>
      </w:r>
      <w:r>
        <w:rPr>
          <w:rFonts w:ascii="Arial" w:cs="Arial" w:eastAsia="Arial" w:hAnsi="Arial"/>
          <w:sz w:val="22"/>
          <w:szCs w:val="22"/>
        </w:rPr>
        <w:t xml:space="preserve">operational/cost_controls.py</w:t>
      </w:r>
    </w:p>
    <w:p>
      <w:pPr>
        <w:spacing w:after="120"/>
      </w:pPr>
      <w:r>
        <w:rPr>
          <w:rFonts w:ascii="Arial" w:cs="Arial" w:eastAsia="Arial" w:hAnsi="Arial"/>
          <w:sz w:val="22"/>
          <w:szCs w:val="22"/>
        </w:rPr>
        <w:t xml:space="preserve">Enterprise FinOps controls that prevent cost overruns and resource exhaustion in production AI agent systems.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60"/>
        <w:gridCol w:w="3500"/>
      </w:tblGrid>
      <w:tr>
        <w:trPr>
          <w:tblHeader/>
        </w:trPr>
        <w:tc>
          <w:tcPr>
            <w:tcW w:type="dxa" w:w="2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38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3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Token Governor</w:t>
            </w:r>
          </w:p>
        </w:tc>
        <w:tc>
          <w:tcPr>
            <w:tcW w:type="dxa" w:w="38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Max input/output/context tokens per request</w:t>
            </w:r>
          </w:p>
        </w:tc>
        <w:tc>
          <w:tcPr>
            <w:tcW w:type="dxa" w:w="3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50K input tokens → rejected before LLM call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Rate Limiter</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Per-persona RPM/RPH with concurrent caps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Stalwart: 30 RPM, Trainer: 10 RPM</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Burst Controller</w:t>
            </w:r>
          </w:p>
        </w:tc>
        <w:tc>
          <w:tcPr>
            <w:tcW w:type="dxa" w:w="38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Runaway loop detection, max LLM calls per workflow</w:t>
            </w:r>
          </w:p>
        </w:tc>
        <w:tc>
          <w:tcPr>
            <w:tcW w:type="dxa" w:w="3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Agent stuck in retry → circuit breaker after 10 calls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Cost Circuit Breaker</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Pre-request budget check with graduated response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 warn → 90% throttle → 95% pause → 100% halt</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Anomaly Detector</w:t>
            </w:r>
          </w:p>
        </w:tc>
        <w:tc>
          <w:tcPr>
            <w:tcW w:type="dxa" w:w="38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Alert when cost exceeds N× rolling average</w:t>
            </w:r>
          </w:p>
        </w:tc>
        <w:tc>
          <w:tcPr>
            <w:tcW w:type="dxa" w:w="3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$0.35 request when avg is $0.008 → anomaly alert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Quota Management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Per-persona budget allocation from daily total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Stalwart 80%, Trainer 15%, Critic 5%</w:t>
            </w:r>
          </w:p>
        </w:tc>
      </w:tr>
    </w:tbl>
    <w:p>
      <w:pPr>
        <w:spacing w:after="80"/>
      </w:pPr>
    </w:p>
    <w:p>
      <w:pPr>
        <w:spacing w:after="120"/>
      </w:pPr>
      <w:r>
        <w:rPr>
          <w:rFonts w:ascii="Arial" w:cs="Arial" w:eastAsia="Arial" w:hAnsi="Arial"/>
          <w:sz w:val="22"/>
          <w:szCs w:val="22"/>
        </w:rPr>
        <w:t xml:space="preserve">All cost controls operate BEFORE the LLM call (not after). The system knows the estimated cost before committing spend, and takes graduated action: warn → throttle → pause → halt.</w:t>
      </w:r>
    </w:p>
    <w:p>
      <w:r>
        <w:br w:type="page"/>
      </w:r>
    </w:p>
    <w:p>
      <w:pPr>
        <w:pStyle w:val="Heading1"/>
        <w:spacing w:before="360" w:after="200"/>
      </w:pPr>
      <w:r>
        <w:rPr>
          <w:rFonts w:ascii="Arial" w:cs="Arial" w:eastAsia="Arial" w:hAnsi="Arial"/>
          <w:b/>
          <w:bCs/>
          <w:color w:val="1B365D"/>
          <w:sz w:val="36"/>
          <w:szCs w:val="36"/>
        </w:rPr>
        <w:t xml:space="preserve">7. Data Sovereignty</w:t>
      </w:r>
    </w:p>
    <w:p>
      <w:pPr>
        <w:spacing w:after="120"/>
      </w:pPr>
      <w:r>
        <w:rPr>
          <w:rFonts w:ascii="Arial" w:cs="Arial" w:eastAsia="Arial" w:hAnsi="Arial"/>
          <w:sz w:val="22"/>
          <w:szCs w:val="22"/>
        </w:rPr>
        <w:t xml:space="preserve">Proprietary firm data never leaves the trust boundary. This is an architectural principle, not a configuration option.</w:t>
      </w:r>
    </w:p>
    <w:p>
      <w:pPr>
        <w:spacing w:after="80"/>
      </w:pPr>
    </w:p>
    <w:p>
      <w:pPr>
        <w:pStyle w:val="Heading2"/>
        <w:spacing w:before="280" w:after="160"/>
      </w:pPr>
      <w:r>
        <w:rPr>
          <w:rFonts w:ascii="Arial" w:cs="Arial" w:eastAsia="Arial" w:hAnsi="Arial"/>
          <w:b/>
          <w:bCs/>
          <w:color w:val="2E75B6"/>
          <w:sz w:val="28"/>
          <w:szCs w:val="28"/>
        </w:rPr>
        <w:t xml:space="preserve">7.1 Tiered Data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rPr>
          <w:tblHeader/>
        </w:trPr>
        <w:tc>
          <w:tcPr>
            <w:tcW w:type="dxa" w:w="1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8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Routing Policy</w:t>
            </w:r>
          </w:p>
        </w:tc>
        <w:tc>
          <w:tcPr>
            <w:tcW w:type="dxa" w:w="4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Example Data</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Public</w:t>
            </w:r>
          </w:p>
        </w:tc>
        <w:tc>
          <w:tcPr>
            <w:tcW w:type="dxa" w:w="38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Any provider (OpenAI, Anthropic, Bedrock, local)</w:t>
            </w:r>
          </w:p>
        </w:tc>
        <w:tc>
          <w:tcPr>
            <w:tcW w:type="dxa" w:w="4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General market data, public regulatory text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VPC-only (Bedrock, self-hosted models)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process documents, non-client operational data</w:t>
            </w:r>
          </w:p>
        </w:tc>
      </w:tr>
      <w:tr>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Restricted</w:t>
            </w:r>
          </w:p>
        </w:tc>
        <w:tc>
          <w:tcPr>
            <w:tcW w:type="dxa" w:w="38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Local models ONLY (never leaves boundary)</w:t>
            </w:r>
          </w:p>
        </w:tc>
        <w:tc>
          <w:tcPr>
            <w:tcW w:type="dxa" w:w="4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Client PII, account positions, trade data, advisor compensation</w:t>
            </w:r>
          </w:p>
        </w:tc>
      </w:tr>
    </w:tbl>
    <w:p>
      <w:pPr>
        <w:spacing w:after="80"/>
      </w:pPr>
    </w:p>
    <w:p>
      <w:pPr>
        <w:pStyle w:val="Heading2"/>
        <w:spacing w:before="280" w:after="160"/>
      </w:pPr>
      <w:r>
        <w:rPr>
          <w:rFonts w:ascii="Arial" w:cs="Arial" w:eastAsia="Arial" w:hAnsi="Arial"/>
          <w:b/>
          <w:bCs/>
          <w:color w:val="2E75B6"/>
          <w:sz w:val="28"/>
          <w:szCs w:val="28"/>
        </w:rPr>
        <w:t xml:space="preserve">7.2 Surrogate Tokenization</w:t>
      </w:r>
    </w:p>
    <w:p>
      <w:pPr>
        <w:spacing w:after="120"/>
      </w:pPr>
      <w:r>
        <w:rPr>
          <w:rFonts w:ascii="Arial" w:cs="Arial" w:eastAsia="Arial" w:hAnsi="Arial"/>
          <w:sz w:val="22"/>
          <w:szCs w:val="22"/>
        </w:rPr>
        <w:t xml:space="preserve">Before sending to an external LLM, detected entities are replaced with deterministic surrogate tokens. The LLM reasons over surrogates (e.g., [PERSON_ED2248]) without knowing real values. On response, tokens are reversed for the user. The token map is stored locally, encrypted, and never leaves the boundary.</w:t>
      </w:r>
    </w:p>
    <w:p>
      <w:pPr>
        <w:spacing w:after="80"/>
      </w:pPr>
    </w:p>
    <w:p>
      <w:pPr>
        <w:pStyle w:val="Heading2"/>
        <w:spacing w:before="280" w:after="160"/>
      </w:pPr>
      <w:r>
        <w:rPr>
          <w:rFonts w:ascii="Arial" w:cs="Arial" w:eastAsia="Arial" w:hAnsi="Arial"/>
          <w:b/>
          <w:bCs/>
          <w:color w:val="2E75B6"/>
          <w:sz w:val="28"/>
          <w:szCs w:val="28"/>
        </w:rPr>
        <w:t xml:space="preserve">7.3 Local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368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368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Vector Store</w:t>
            </w:r>
          </w:p>
        </w:tc>
        <w:tc>
          <w:tcPr>
            <w:tcW w:type="dxa" w:w="3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Qdrant (Apache 2.0)</w:t>
            </w:r>
          </w:p>
        </w:tc>
        <w:tc>
          <w:tcPr>
            <w:tcW w:type="dxa" w:w="3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Local document embeddings, never sent externally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Embedding Model</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BGE / E5 via Ollama (MIT)</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Local embedding computation</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Local LLM</w:t>
            </w:r>
          </w:p>
        </w:tc>
        <w:tc>
          <w:tcPr>
            <w:tcW w:type="dxa" w:w="3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Ollama / vLLM (MIT / Apache 2.0)</w:t>
            </w:r>
          </w:p>
        </w:tc>
        <w:tc>
          <w:tcPr>
            <w:tcW w:type="dxa" w:w="3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Inference for restricted-tier data</w:t>
            </w:r>
          </w:p>
        </w:tc>
      </w:tr>
    </w:tbl>
    <w:p>
      <w:r>
        <w:br w:type="page"/>
      </w:r>
    </w:p>
    <w:p>
      <w:pPr>
        <w:pStyle w:val="Heading1"/>
        <w:spacing w:before="360" w:after="200"/>
      </w:pPr>
      <w:r>
        <w:rPr>
          <w:rFonts w:ascii="Arial" w:cs="Arial" w:eastAsia="Arial" w:hAnsi="Arial"/>
          <w:b/>
          <w:bCs/>
          <w:color w:val="1B365D"/>
          <w:sz w:val="36"/>
          <w:szCs w:val="36"/>
        </w:rPr>
        <w:t xml:space="preserve">8. AIUC-1 Compliance Alignment</w:t>
      </w:r>
    </w:p>
    <w:p>
      <w:pPr>
        <w:spacing w:after="120"/>
      </w:pPr>
      <w:r>
        <w:rPr>
          <w:rFonts w:ascii="Arial" w:cs="Arial" w:eastAsia="Arial" w:hAnsi="Arial"/>
          <w:sz w:val="22"/>
          <w:szCs w:val="22"/>
        </w:rPr>
        <w:t xml:space="preserve">AIUC-1 is the world’s first AI agent standard, covering six enterprise risk domains. STC is designed so that a properly configured deployment satisfies AIUC-1 certification requirements out of the box.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rPr>
          <w:tblHeader/>
        </w:trPr>
        <w:tc>
          <w:tcPr>
            <w:tcW w:type="dxa" w:w="2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AIUC-1 Domain</w:t>
            </w:r>
          </w:p>
        </w:tc>
        <w:tc>
          <w:tcPr>
            <w:tcW w:type="dxa" w:w="43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STC Coverage</w:t>
            </w:r>
          </w:p>
        </w:tc>
        <w:tc>
          <w:tcPr>
            <w:tcW w:type="dxa" w:w="3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Key Modules</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 Data &amp; Privacy</w:t>
            </w:r>
          </w:p>
        </w:tc>
        <w:tc>
          <w:tcPr>
            <w:tcW w:type="dxa" w:w="4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PII protection, IP protection, cross-customer isolation, data boundary enforcement</w:t>
            </w:r>
          </w:p>
        </w:tc>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data_security, gateway, auth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 Security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Adversarial robustness, prompt injection defense, access controls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runtime_firewall, auth, adversarial testing</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 Safety</w:t>
            </w:r>
          </w:p>
        </w:tc>
        <w:tc>
          <w:tcPr>
            <w:tcW w:type="dxa" w:w="4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Risk taxonomy, pre-deployment testing, harmful output prevention, hallucination detection</w:t>
            </w:r>
          </w:p>
        </w:tc>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critic, guardrails, evaluation suite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 Reliability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Predictable behavior, error handling, graduated escalation, optimization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trainer, critic escalation, circuit breaker</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E. Accountability</w:t>
            </w:r>
          </w:p>
        </w:tc>
        <w:tc>
          <w:tcPr>
            <w:tcW w:type="dxa" w:w="4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Transparency documentation, immutable audit trail, human oversight, prompt versioning</w:t>
            </w:r>
          </w:p>
        </w:tc>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observability, spec, Langfuse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 Society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Prevent AI misuse, scope enforcement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runtime_firewall, guardrails</w:t>
            </w:r>
          </w:p>
        </w:tc>
      </w:tr>
    </w:tbl>
    <w:p>
      <w:pPr>
        <w:spacing w:after="80"/>
      </w:pPr>
    </w:p>
    <w:p>
      <w:pPr>
        <w:pStyle w:val="Heading2"/>
        <w:spacing w:before="280" w:after="160"/>
      </w:pPr>
      <w:r>
        <w:rPr>
          <w:rFonts w:ascii="Arial" w:cs="Arial" w:eastAsia="Arial" w:hAnsi="Arial"/>
          <w:b/>
          <w:bCs/>
          <w:color w:val="2E75B6"/>
          <w:sz w:val="28"/>
          <w:szCs w:val="28"/>
        </w:rPr>
        <w:t xml:space="preserve">8.1 Declarative Specification as Compliance Artifact</w:t>
      </w:r>
    </w:p>
    <w:p>
      <w:pPr>
        <w:spacing w:after="120"/>
      </w:pPr>
      <w:r>
        <w:rPr>
          <w:rFonts w:ascii="Arial" w:cs="Arial" w:eastAsia="Arial" w:hAnsi="Arial"/>
          <w:sz w:val="22"/>
          <w:szCs w:val="22"/>
        </w:rPr>
        <w:t xml:space="preserve">The Declarative Specification (stc-spec.yaml) serves as the primary governance document for AIUC-1 audits. It contains a compliance section that explicitly maps each AIUC-1 requirement ID to the STC component that satisfies it and the evidence source. An accredited auditor (e.g., Schellman) reviews this file alongside the audit trail exports.</w:t>
      </w:r>
    </w:p>
    <w:p>
      <w:r>
        <w:br w:type="page"/>
      </w:r>
    </w:p>
    <w:p>
      <w:pPr>
        <w:pStyle w:val="Heading1"/>
        <w:spacing w:before="360" w:after="200"/>
      </w:pPr>
      <w:r>
        <w:rPr>
          <w:rFonts w:ascii="Arial" w:cs="Arial" w:eastAsia="Arial" w:hAnsi="Arial"/>
          <w:b/>
          <w:bCs/>
          <w:color w:val="1B365D"/>
          <w:sz w:val="36"/>
          <w:szCs w:val="36"/>
        </w:rPr>
        <w:t xml:space="preserve">9. Open-Source Technology Stack</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80"/>
        <w:gridCol w:w="2480"/>
      </w:tblGrid>
      <w:tr>
        <w:trPr>
          <w:tblHeader/>
        </w:trP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368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248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License</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Agent Execution</w:t>
            </w:r>
          </w:p>
        </w:tc>
        <w:tc>
          <w:tcPr>
            <w:tcW w:type="dxa" w:w="3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LangGraph</w:t>
            </w:r>
          </w:p>
        </w:tc>
        <w:tc>
          <w:tcPr>
            <w:tcW w:type="dxa" w:w="24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MIT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RL-based Optimization</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Microsoft Agent Lightning</w:t>
            </w:r>
          </w:p>
        </w:tc>
        <w:tc>
          <w:tcPr>
            <w:tcW w:type="dxa" w:w="2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LLM Gateway (Default)</w:t>
            </w:r>
          </w:p>
        </w:tc>
        <w:tc>
          <w:tcPr>
            <w:tcW w:type="dxa" w:w="3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LiteLLM</w:t>
            </w:r>
          </w:p>
        </w:tc>
        <w:tc>
          <w:tcPr>
            <w:tcW w:type="dxa" w:w="24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Apache 2.0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LLM + MCP Gateway (Enterprise)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Kong AI Gateway</w:t>
            </w:r>
          </w:p>
        </w:tc>
        <w:tc>
          <w:tcPr>
            <w:tcW w:type="dxa" w:w="2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Apache 2.0</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LLM + MCP Gateway (Performance)</w:t>
            </w:r>
          </w:p>
        </w:tc>
        <w:tc>
          <w:tcPr>
            <w:tcW w:type="dxa" w:w="3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Bifrost</w:t>
            </w:r>
          </w:p>
        </w:tc>
        <w:tc>
          <w:tcPr>
            <w:tcW w:type="dxa" w:w="24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Apache 2.0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Runtime AI Firewall</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 LlamaFirewall</w:t>
            </w:r>
          </w:p>
        </w:tc>
        <w:tc>
          <w:tcPr>
            <w:tcW w:type="dxa" w:w="2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Guardrail Orchestration</w:t>
            </w:r>
          </w:p>
        </w:tc>
        <w:tc>
          <w:tcPr>
            <w:tcW w:type="dxa" w:w="3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NVIDIA NeMo Guardrails</w:t>
            </w:r>
          </w:p>
        </w:tc>
        <w:tc>
          <w:tcPr>
            <w:tcW w:type="dxa" w:w="24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Apache 2.0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Composable Validators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Guardrails AI + Hub</w:t>
            </w:r>
          </w:p>
        </w:tc>
        <w:tc>
          <w:tcPr>
            <w:tcW w:type="dxa" w:w="2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Apache 2.0</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PII Detection + Redaction</w:t>
            </w:r>
          </w:p>
        </w:tc>
        <w:tc>
          <w:tcPr>
            <w:tcW w:type="dxa" w:w="3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Microsoft Presidio</w:t>
            </w:r>
          </w:p>
        </w:tc>
        <w:tc>
          <w:tcPr>
            <w:tcW w:type="dxa" w:w="24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MIT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RBAC Policy Engine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Apache Casbin</w:t>
            </w:r>
          </w:p>
        </w:tc>
        <w:tc>
          <w:tcPr>
            <w:tcW w:type="dxa" w:w="2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Apache 2.0</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Prompt Registry + Versioning</w:t>
            </w:r>
          </w:p>
        </w:tc>
        <w:tc>
          <w:tcPr>
            <w:tcW w:type="dxa" w:w="3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Langfuse</w:t>
            </w:r>
          </w:p>
        </w:tc>
        <w:tc>
          <w:tcPr>
            <w:tcW w:type="dxa" w:w="24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MIT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Observability + Audit</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OpenTelemetry + Arize Phoenix</w:t>
            </w:r>
          </w:p>
        </w:tc>
        <w:tc>
          <w:tcPr>
            <w:tcW w:type="dxa" w:w="2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Apache 2.0</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Local Vector Store</w:t>
            </w:r>
          </w:p>
        </w:tc>
        <w:tc>
          <w:tcPr>
            <w:tcW w:type="dxa" w:w="3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Qdrant</w:t>
            </w:r>
          </w:p>
        </w:tc>
        <w:tc>
          <w:tcPr>
            <w:tcW w:type="dxa" w:w="24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Apache 2.0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Local Embeddings + LLMs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Ollama</w:t>
            </w:r>
          </w:p>
        </w:tc>
        <w:tc>
          <w:tcPr>
            <w:tcW w:type="dxa" w:w="2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MIT</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Adversarial Testing</w:t>
            </w:r>
          </w:p>
        </w:tc>
        <w:tc>
          <w:tcPr>
            <w:tcW w:type="dxa" w:w="36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MITRE ATLAS-informed probes</w:t>
            </w:r>
          </w:p>
        </w:tc>
        <w:tc>
          <w:tcPr>
            <w:tcW w:type="dxa" w:w="24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sz w:val="20"/>
                <w:szCs w:val="20"/>
              </w:rPr>
              <w:t xml:space="preserve">Custom</w:t>
            </w:r>
          </w:p>
        </w:tc>
      </w:tr>
    </w:tbl>
    <w:p>
      <w:pPr>
        <w:spacing w:after="80"/>
      </w:pPr>
    </w:p>
    <w:p>
      <w:pPr>
        <w:spacing w:after="120"/>
      </w:pPr>
      <w:r>
        <w:rPr>
          <w:rFonts w:ascii="Arial" w:cs="Arial" w:eastAsia="Arial" w:hAnsi="Arial"/>
          <w:sz w:val="22"/>
          <w:szCs w:val="22"/>
        </w:rPr>
        <w:t xml:space="preserve">Everything is self-hostable with no vendor lock-in. The Declarative Specification ties all components together as a single source of truth.</w:t>
      </w:r>
    </w:p>
    <w:p>
      <w:r>
        <w:br w:type="page"/>
      </w:r>
    </w:p>
    <w:p>
      <w:pPr>
        <w:pStyle w:val="Heading1"/>
        <w:spacing w:before="360" w:after="200"/>
      </w:pPr>
      <w:r>
        <w:rPr>
          <w:rFonts w:ascii="Arial" w:cs="Arial" w:eastAsia="Arial" w:hAnsi="Arial"/>
          <w:b/>
          <w:bCs/>
          <w:color w:val="1B365D"/>
          <w:sz w:val="36"/>
          <w:szCs w:val="36"/>
        </w:rPr>
        <w:t xml:space="preserve">10. Getting Started</w:t>
      </w:r>
    </w:p>
    <w:p>
      <w:pPr>
        <w:spacing w:after="80"/>
      </w:pPr>
    </w:p>
    <w:p>
      <w:pPr>
        <w:pStyle w:val="Heading2"/>
        <w:spacing w:before="280" w:after="160"/>
      </w:pPr>
      <w:r>
        <w:rPr>
          <w:rFonts w:ascii="Arial" w:cs="Arial" w:eastAsia="Arial" w:hAnsi="Arial"/>
          <w:b/>
          <w:bCs/>
          <w:color w:val="2E75B6"/>
          <w:sz w:val="28"/>
          <w:szCs w:val="28"/>
        </w:rPr>
        <w:t xml:space="preserve">10.1 Quick Start</w:t>
      </w:r>
    </w:p>
    <w:p>
      <w:pPr>
        <w:shd w:fill="F5F5F5" w:val="clear"/>
        <w:spacing w:after="80"/>
        <w:ind w:left="360"/>
      </w:pPr>
      <w:r>
        <w:rPr>
          <w:rFonts w:ascii="Courier New" w:cs="Courier New" w:eastAsia="Courier New" w:hAnsi="Courier New"/>
          <w:sz w:val="18"/>
          <w:szCs w:val="18"/>
        </w:rPr>
        <w:t xml:space="preserve">git clone https://github.com/nitesh71078/stc-framework.git</w:t>
      </w:r>
    </w:p>
    <w:p>
      <w:pPr>
        <w:shd w:fill="F5F5F5" w:val="clear"/>
        <w:spacing w:after="80"/>
        <w:ind w:left="360"/>
      </w:pPr>
      <w:r>
        <w:rPr>
          <w:rFonts w:ascii="Courier New" w:cs="Courier New" w:eastAsia="Courier New" w:hAnsi="Courier New"/>
          <w:sz w:val="18"/>
          <w:szCs w:val="18"/>
        </w:rPr>
        <w:t xml:space="preserve">cd stc-framework</w:t>
      </w:r>
    </w:p>
    <w:p>
      <w:pPr>
        <w:shd w:fill="F5F5F5" w:val="clear"/>
        <w:spacing w:after="80"/>
        <w:ind w:left="360"/>
      </w:pPr>
      <w:r>
        <w:rPr>
          <w:rFonts w:ascii="Courier New" w:cs="Courier New" w:eastAsia="Courier New" w:hAnsi="Courier New"/>
          <w:sz w:val="18"/>
          <w:szCs w:val="18"/>
        </w:rPr>
        <w:t xml:space="preserve">cp .env.example .env  # Configure API keys</w:t>
      </w:r>
    </w:p>
    <w:p>
      <w:pPr>
        <w:shd w:fill="F5F5F5" w:val="clear"/>
        <w:spacing w:after="80"/>
        <w:ind w:left="360"/>
      </w:pPr>
      <w:r>
        <w:rPr>
          <w:rFonts w:ascii="Courier New" w:cs="Courier New" w:eastAsia="Courier New" w:hAnsi="Courier New"/>
          <w:sz w:val="18"/>
          <w:szCs w:val="18"/>
        </w:rPr>
        <w:t xml:space="preserve">docker-compose up -d  # Start infrastructure</w:t>
      </w:r>
    </w:p>
    <w:p>
      <w:pPr>
        <w:shd w:fill="F5F5F5" w:val="clear"/>
        <w:spacing w:after="80"/>
        <w:ind w:left="360"/>
      </w:pPr>
      <w:r>
        <w:rPr>
          <w:rFonts w:ascii="Courier New" w:cs="Courier New" w:eastAsia="Courier New" w:hAnsi="Courier New"/>
          <w:sz w:val="18"/>
          <w:szCs w:val="18"/>
        </w:rPr>
        <w:t xml:space="preserve">python reference-impl/scripts/load_documents.py</w:t>
      </w:r>
    </w:p>
    <w:p>
      <w:pPr>
        <w:shd w:fill="F5F5F5" w:val="clear"/>
        <w:spacing w:after="80"/>
        <w:ind w:left="360"/>
      </w:pPr>
      <w:r>
        <w:rPr>
          <w:rFonts w:ascii="Courier New" w:cs="Courier New" w:eastAsia="Courier New" w:hAnsi="Courier New"/>
          <w:sz w:val="18"/>
          <w:szCs w:val="18"/>
        </w:rPr>
        <w:t xml:space="preserve">python reference-impl/scripts/run_agent.py</w:t>
      </w:r>
    </w:p>
    <w:p>
      <w:pPr>
        <w:spacing w:after="80"/>
      </w:pPr>
    </w:p>
    <w:p>
      <w:pPr>
        <w:pStyle w:val="Heading2"/>
        <w:spacing w:before="280" w:after="160"/>
      </w:pPr>
      <w:r>
        <w:rPr>
          <w:rFonts w:ascii="Arial" w:cs="Arial" w:eastAsia="Arial" w:hAnsi="Arial"/>
          <w:b/>
          <w:bCs/>
          <w:color w:val="2E75B6"/>
          <w:sz w:val="28"/>
          <w:szCs w:val="28"/>
        </w:rPr>
        <w:t xml:space="preserve">10.2 Enterprise Deployment (Kong)</w:t>
      </w:r>
    </w:p>
    <w:p>
      <w:pPr>
        <w:shd w:fill="F5F5F5" w:val="clear"/>
        <w:spacing w:after="80"/>
        <w:ind w:left="360"/>
      </w:pPr>
      <w:r>
        <w:rPr>
          <w:rFonts w:ascii="Courier New" w:cs="Courier New" w:eastAsia="Courier New" w:hAnsi="Courier New"/>
          <w:sz w:val="18"/>
          <w:szCs w:val="18"/>
        </w:rPr>
        <w:t xml:space="preserve">docker-compose -f docker-compose.yaml -f docker-compose.kong.yaml up -d</w:t>
      </w:r>
    </w:p>
    <w:p>
      <w:pPr>
        <w:spacing w:after="120"/>
      </w:pPr>
      <w:r>
        <w:rPr>
          <w:rFonts w:ascii="Arial" w:cs="Arial" w:eastAsia="Arial" w:hAnsi="Arial"/>
          <w:sz w:val="22"/>
          <w:szCs w:val="22"/>
        </w:rPr>
        <w:t xml:space="preserve">Update stc-spec.yaml: sentinel.gateway.engine: kong</w:t>
      </w:r>
    </w:p>
    <w:p>
      <w:pPr>
        <w:spacing w:after="80"/>
      </w:pPr>
    </w:p>
    <w:p>
      <w:pPr>
        <w:pStyle w:val="Heading2"/>
        <w:spacing w:before="280" w:after="160"/>
      </w:pPr>
      <w:r>
        <w:rPr>
          <w:rFonts w:ascii="Arial" w:cs="Arial" w:eastAsia="Arial" w:hAnsi="Arial"/>
          <w:b/>
          <w:bCs/>
          <w:color w:val="2E75B6"/>
          <w:sz w:val="28"/>
          <w:szCs w:val="28"/>
        </w:rPr>
        <w:t xml:space="preserve">10.3 Run the Learning Demo</w:t>
      </w:r>
    </w:p>
    <w:p>
      <w:pPr>
        <w:shd w:fill="F5F5F5" w:val="clear"/>
        <w:spacing w:after="80"/>
        <w:ind w:left="360"/>
      </w:pPr>
      <w:r>
        <w:rPr>
          <w:rFonts w:ascii="Courier New" w:cs="Courier New" w:eastAsia="Courier New" w:hAnsi="Courier New"/>
          <w:sz w:val="18"/>
          <w:szCs w:val="18"/>
        </w:rPr>
        <w:t xml:space="preserve">python reference-impl/scripts/learning_demo.py</w:t>
      </w:r>
    </w:p>
    <w:p>
      <w:pPr>
        <w:spacing w:after="120"/>
      </w:pPr>
      <w:r>
        <w:rPr>
          <w:rFonts w:ascii="Arial" w:cs="Arial" w:eastAsia="Arial" w:hAnsi="Arial"/>
          <w:sz w:val="22"/>
          <w:szCs w:val="22"/>
        </w:rPr>
        <w:t xml:space="preserve">Demonstrates 4 rounds of Trainer optimization with measurable improvement in accuracy and cost.</w:t>
      </w:r>
    </w:p>
    <w:p>
      <w:pPr>
        <w:spacing w:after="80"/>
      </w:pPr>
    </w:p>
    <w:p>
      <w:pPr>
        <w:pStyle w:val="Heading2"/>
        <w:spacing w:before="280" w:after="160"/>
      </w:pPr>
      <w:r>
        <w:rPr>
          <w:rFonts w:ascii="Arial" w:cs="Arial" w:eastAsia="Arial" w:hAnsi="Arial"/>
          <w:b/>
          <w:bCs/>
          <w:color w:val="2E75B6"/>
          <w:sz w:val="28"/>
          <w:szCs w:val="28"/>
        </w:rPr>
        <w:t xml:space="preserve">10.4 Run Adversarial Testing</w:t>
      </w:r>
    </w:p>
    <w:p>
      <w:pPr>
        <w:shd w:fill="F5F5F5" w:val="clear"/>
        <w:spacing w:after="80"/>
        <w:ind w:left="360"/>
      </w:pPr>
      <w:r>
        <w:rPr>
          <w:rFonts w:ascii="Courier New" w:cs="Courier New" w:eastAsia="Courier New" w:hAnsi="Courier New"/>
          <w:sz w:val="18"/>
          <w:szCs w:val="18"/>
        </w:rPr>
        <w:t xml:space="preserve">python adversarial/run_red_team.py</w:t>
      </w:r>
    </w:p>
    <w:p>
      <w:pPr>
        <w:spacing w:after="120"/>
      </w:pPr>
      <w:r>
        <w:rPr>
          <w:rFonts w:ascii="Arial" w:cs="Arial" w:eastAsia="Arial" w:hAnsi="Arial"/>
          <w:sz w:val="22"/>
          <w:szCs w:val="22"/>
        </w:rPr>
        <w:t xml:space="preserve">8 MITRE ATLAS-informed probes testing prompt injection, data exfiltration, hallucination induction, and jailbreak resistance.</w:t>
      </w:r>
    </w:p>
    <w:p>
      <w:pPr>
        <w:spacing w:after="80"/>
      </w:pPr>
    </w:p>
    <w:p>
      <w:pPr>
        <w:spacing w:after="80"/>
      </w:pPr>
    </w:p>
    <w:p>
      <w:pPr>
        <w:spacing w:before="600"/>
        <w:jc w:val="center"/>
      </w:pPr>
      <w:r>
        <w:rPr>
          <w:rFonts w:ascii="Arial" w:cs="Arial" w:eastAsia="Arial" w:hAnsi="Arial"/>
          <w:i/>
          <w:iCs/>
          <w:color w:val="999999"/>
          <w:sz w:val="22"/>
          <w:szCs w:val="22"/>
        </w:rPr>
        <w:t xml:space="preserve">— END OF DOCUMENT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65D"/>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2026-03-10T00:43:02.610Z</dcterms:created>
  <dcterms:modified xsi:type="dcterms:W3CDTF">2026-03-10T00:43:02.611Z</dcterms:modified>
</cp:coreProperties>
</file>

<file path=docProps/custom.xml><?xml version="1.0" encoding="utf-8"?>
<Properties xmlns="http://schemas.openxmlformats.org/officeDocument/2006/custom-properties" xmlns:vt="http://schemas.openxmlformats.org/officeDocument/2006/docPropsVTypes"/>
</file>