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5E20"/>
          <w:sz w:val="56"/>
          <w:szCs w:val="56"/>
        </w:rPr>
        <w:t xml:space="preserve">STC FRAMEWORK</w:t>
      </w:r>
    </w:p>
    <w:p>
      <w:pPr>
        <w:spacing w:after="120"/>
        <w:jc w:val="center"/>
      </w:pPr>
      <w:r>
        <w:rPr>
          <w:rFonts w:ascii="Arial" w:cs="Arial" w:eastAsia="Arial" w:hAnsi="Arial"/>
          <w:color w:val="2E7D32"/>
          <w:sz w:val="36"/>
          <w:szCs w:val="36"/>
        </w:rPr>
        <w:t xml:space="preserve">Regulatory Compliance Pressure Test</w:t>
      </w:r>
    </w:p>
    <w:p>
      <w:pPr>
        <w:spacing w:after="80"/>
        <w:jc w:val="center"/>
      </w:pPr>
      <w:r>
        <w:rPr>
          <w:rFonts w:ascii="Arial" w:cs="Arial" w:eastAsia="Arial" w:hAnsi="Arial"/>
          <w:color w:val="FF6F00"/>
          <w:sz w:val="28"/>
          <w:szCs w:val="28"/>
        </w:rPr>
        <w:t xml:space="preserve">FINRA 2026 Oversight Report · NYDFS 23 NYCRR Part 500</w:t>
      </w:r>
    </w:p>
    <w:p>
      <w:pPr>
        <w:spacing w:after="400"/>
        <w:jc w:val="center"/>
      </w:pPr>
      <w:r>
        <w:rPr>
          <w:rFonts w:ascii="Arial" w:cs="Arial" w:eastAsia="Arial" w:hAnsi="Arial"/>
          <w:color w:val="757575"/>
          <w:sz w:val="22"/>
          <w:szCs w:val="22"/>
        </w:rPr>
        <w:t xml:space="preserve">Requirement-by-Requirement Gap Analysis with Evidence Mapping</w:t>
      </w:r>
    </w:p>
    <w:p>
      <w:pPr>
        <w:spacing w:after="80"/>
      </w:pPr>
    </w:p>
    <w:p>
      <w:pPr>
        <w:spacing w:after="80"/>
      </w:pPr>
    </w:p>
    <w:p>
      <w:pPr>
        <w:spacing w:after="80"/>
      </w:pPr>
    </w:p>
    <w:p>
      <w:pPr>
        <w:spacing w:after="80"/>
      </w:pPr>
    </w:p>
    <w:p>
      <w:pPr>
        <w:spacing w:after="60"/>
        <w:jc w:val="center"/>
      </w:pPr>
      <w:r>
        <w:rPr>
          <w:rFonts w:ascii="Arial" w:cs="Arial" w:eastAsia="Arial" w:hAnsi="Arial"/>
          <w:color w:val="444444"/>
          <w:sz w:val="22"/>
          <w:szCs w:val="22"/>
        </w:rPr>
        <w:t xml:space="preserve">Author: Nitesh Ambastha</w:t>
      </w:r>
    </w:p>
    <w:p>
      <w:pPr>
        <w:spacing w:after="60"/>
        <w:jc w:val="center"/>
      </w:pPr>
      <w:r>
        <w:rPr>
          <w:rFonts w:ascii="Arial" w:cs="Arial" w:eastAsia="Arial" w:hAnsi="Arial"/>
          <w:color w:val="444444"/>
          <w:sz w:val="22"/>
          <w:szCs w:val="22"/>
        </w:rPr>
        <w:t xml:space="preserve">Version 1.0 — March 2026</w:t>
      </w:r>
    </w:p>
    <w:p>
      <w:r>
        <w:br w:type="page"/>
      </w:r>
    </w:p>
    <w:p>
      <w:pPr>
        <w:pStyle w:val="Heading1"/>
        <w:spacing w:before="360" w:after="200"/>
      </w:pPr>
      <w:r>
        <w:rPr>
          <w:rFonts w:ascii="Arial" w:cs="Arial" w:eastAsia="Arial" w:hAnsi="Arial"/>
          <w:b/>
          <w:bCs/>
          <w:color w:val="1B5E20"/>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5E20"/>
          <w:sz w:val="36"/>
          <w:szCs w:val="36"/>
        </w:rPr>
        <w:t xml:space="preserve">1. Executive Summary</w:t>
      </w:r>
    </w:p>
    <w:p>
      <w:pPr>
        <w:spacing w:after="120"/>
      </w:pPr>
      <w:r>
        <w:rPr>
          <w:rFonts w:ascii="Arial" w:cs="Arial" w:eastAsia="Arial" w:hAnsi="Arial"/>
          <w:sz w:val="22"/>
          <w:szCs w:val="22"/>
        </w:rPr>
        <w:t xml:space="preserve">This document pressure-tests the STC Framework against every material requirement from FINRA’s 2026 Annual Regulatory Oversight Report (GenAI section and broader supervisory guidance) and NYDFS 23 NYCRR Part 500 (Cybersecurity Regulation, including the October 2024 AI Guidance and October 2025 Third-Party Service Provider Guidance). Each requirement is assessed as Covered, Partial, or Gap with specific evidence mapping to STC modules and documents.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40"/>
        <w:gridCol w:w="960"/>
        <w:gridCol w:w="960"/>
        <w:gridCol w:w="720"/>
        <w:gridCol w:w="1920"/>
      </w:tblGrid>
      <w:tr>
        <w:trPr>
          <w:tblHeader/>
        </w:trPr>
        <w:tc>
          <w:tcPr>
            <w:tcW w:type="dxa" w:w="33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Regulator</w:t>
            </w:r>
          </w:p>
        </w:tc>
        <w:tc>
          <w:tcPr>
            <w:tcW w:type="dxa" w:w="144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Requirements Tested</w:t>
            </w:r>
          </w:p>
        </w:tc>
        <w:tc>
          <w:tcPr>
            <w:tcW w:type="dxa" w:w="9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Covered</w:t>
            </w:r>
          </w:p>
        </w:tc>
        <w:tc>
          <w:tcPr>
            <w:tcW w:type="dxa" w:w="9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Partial</w:t>
            </w:r>
          </w:p>
        </w:tc>
        <w:tc>
          <w:tcPr>
            <w:tcW w:type="dxa" w:w="72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192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3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FINRA (2026 Oversight Report)</w:t>
            </w:r>
          </w:p>
        </w:tc>
        <w:tc>
          <w:tcPr>
            <w:tcW w:type="dxa" w:w="144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25</w:t>
            </w:r>
          </w:p>
        </w:tc>
        <w:tc>
          <w:tcPr>
            <w:tcW w:type="dxa" w:w="9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17</w:t>
            </w:r>
          </w:p>
        </w:tc>
        <w:tc>
          <w:tcPr>
            <w:tcW w:type="dxa" w:w="9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6</w:t>
            </w:r>
          </w:p>
        </w:tc>
        <w:tc>
          <w:tcPr>
            <w:tcW w:type="dxa" w:w="72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2</w:t>
            </w:r>
          </w:p>
        </w:tc>
        <w:tc>
          <w:tcPr>
            <w:tcW w:type="dxa" w:w="192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68% full / 92% partial+</w:t>
            </w:r>
          </w:p>
        </w:tc>
      </w:tr>
      <w:tr>
        <w:tc>
          <w:tcPr>
            <w:tcW w:type="dxa" w:w="33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NYDFS (Part 500 + AI Guidance)</w:t>
            </w:r>
          </w:p>
        </w:tc>
        <w:tc>
          <w:tcPr>
            <w:tcW w:type="dxa" w:w="144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22</w:t>
            </w:r>
          </w:p>
        </w:tc>
        <w:tc>
          <w:tcPr>
            <w:tcW w:type="dxa" w:w="9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16</w:t>
            </w:r>
          </w:p>
        </w:tc>
        <w:tc>
          <w:tcPr>
            <w:tcW w:type="dxa" w:w="9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4</w:t>
            </w:r>
          </w:p>
        </w:tc>
        <w:tc>
          <w:tcPr>
            <w:tcW w:type="dxa" w:w="72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2</w:t>
            </w:r>
          </w:p>
        </w:tc>
        <w:tc>
          <w:tcPr>
            <w:tcW w:type="dxa" w:w="192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73% full / 91% partial+</w:t>
            </w:r>
          </w:p>
        </w:tc>
      </w:tr>
      <w:tr>
        <w:tc>
          <w:tcPr>
            <w:tcW w:type="dxa" w:w="33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Combined</w:t>
            </w:r>
          </w:p>
        </w:tc>
        <w:tc>
          <w:tcPr>
            <w:tcW w:type="dxa" w:w="144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47</w:t>
            </w:r>
          </w:p>
        </w:tc>
        <w:tc>
          <w:tcPr>
            <w:tcW w:type="dxa" w:w="9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33</w:t>
            </w:r>
          </w:p>
        </w:tc>
        <w:tc>
          <w:tcPr>
            <w:tcW w:type="dxa" w:w="9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10</w:t>
            </w:r>
          </w:p>
        </w:tc>
        <w:tc>
          <w:tcPr>
            <w:tcW w:type="dxa" w:w="72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4</w:t>
            </w:r>
          </w:p>
        </w:tc>
        <w:tc>
          <w:tcPr>
            <w:tcW w:type="dxa" w:w="192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70% full / 91% partial+</w:t>
            </w:r>
          </w:p>
        </w:tc>
      </w:tr>
    </w:tbl>
    <w:p>
      <w:pPr>
        <w:spacing w:after="80"/>
      </w:pPr>
    </w:p>
    <w:p>
      <w:pPr>
        <w:spacing w:after="120"/>
      </w:pPr>
      <w:r>
        <w:rPr>
          <w:rFonts w:ascii="Arial" w:cs="Arial" w:eastAsia="Arial" w:hAnsi="Arial"/>
          <w:sz w:val="22"/>
          <w:szCs w:val="22"/>
        </w:rPr>
        <w:t xml:space="preserve">The STC Framework achieves 91% coverage (full or partial) across both regulatory frameworks. The 4 true gaps are: (1) FINRA Rule 2210 compliance for investor-facing communications, (2) FINRA Reg BI suitability integration, (3) NYDFS 72-hour notification automation, and (4) NYDFS annual compliance certification workflow. All 4 gaps are addressable with configuration and process additions rather than architectural changes.</w:t>
      </w:r>
    </w:p>
    <w:p>
      <w:r>
        <w:br w:type="page"/>
      </w:r>
    </w:p>
    <w:p>
      <w:pPr>
        <w:pStyle w:val="Heading1"/>
        <w:spacing w:before="360" w:after="200"/>
      </w:pPr>
      <w:r>
        <w:rPr>
          <w:rFonts w:ascii="Arial" w:cs="Arial" w:eastAsia="Arial" w:hAnsi="Arial"/>
          <w:b/>
          <w:bCs/>
          <w:color w:val="1B5E20"/>
          <w:sz w:val="36"/>
          <w:szCs w:val="36"/>
        </w:rPr>
        <w:t xml:space="preserve">2. FINRA 2026 Regulatory Oversight Report</w:t>
      </w:r>
    </w:p>
    <w:p>
      <w:pPr>
        <w:spacing w:after="120"/>
      </w:pPr>
      <w:r>
        <w:rPr>
          <w:rFonts w:ascii="Arial" w:cs="Arial" w:eastAsia="Arial" w:hAnsi="Arial"/>
          <w:sz w:val="22"/>
          <w:szCs w:val="22"/>
        </w:rPr>
        <w:t xml:space="preserve">The 2026 Report includes a new dedicated GenAI section and identifies 7 specific AI risk areas. FINRA’s rules are technology-neutral: Rule 3110 (Supervision), Rule 2210 (Communications), Rule 4512 (Customer Account Info), Reg BI, and recordkeeping rules (SEA 17a-4) all apply to AI-generated outputs.</w:t>
      </w:r>
    </w:p>
    <w:p>
      <w:pPr>
        <w:spacing w:after="80"/>
      </w:pPr>
    </w:p>
    <w:p>
      <w:pPr>
        <w:pStyle w:val="Heading2"/>
        <w:spacing w:before="280" w:after="160"/>
      </w:pPr>
      <w:r>
        <w:rPr>
          <w:rFonts w:ascii="Arial" w:cs="Arial" w:eastAsia="Arial" w:hAnsi="Arial"/>
          <w:b/>
          <w:bCs/>
          <w:color w:val="2E7D32"/>
          <w:sz w:val="28"/>
          <w:szCs w:val="28"/>
        </w:rPr>
        <w:t xml:space="preserve">2.1 FINRA GenAI Supervision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2"/>
        <w:gridCol w:w="2370"/>
        <w:gridCol w:w="2844"/>
        <w:gridCol w:w="2607"/>
        <w:gridCol w:w="947"/>
      </w:tblGrid>
      <w:tr>
        <w:trPr>
          <w:tblHeader/>
        </w:trPr>
        <w:tc>
          <w:tcPr>
            <w:tcW w:type="dxa" w:w="592"/>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237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FINRA Requirement</w:t>
            </w:r>
          </w:p>
        </w:tc>
        <w:tc>
          <w:tcPr>
            <w:tcW w:type="dxa" w:w="2844"/>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STC Coverage</w:t>
            </w:r>
          </w:p>
        </w:tc>
        <w:tc>
          <w:tcPr>
            <w:tcW w:type="dxa" w:w="2607"/>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947"/>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92"/>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F-01</w:t>
            </w:r>
          </w:p>
        </w:tc>
        <w:tc>
          <w:tcPr>
            <w:tcW w:type="dxa" w:w="237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Establish supervision, governance, or model risk management framework with clear policies and procedures to develop, implement, use, and monitor GenAI</w:t>
            </w:r>
          </w:p>
        </w:tc>
        <w:tc>
          <w:tcPr>
            <w:tcW w:type="dxa" w:w="284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AI Governance Committee charter (ERM Section 1), 9 formal policies (Audit Section 2), Three Lines of Defense model, control inventory (26 controls)</w:t>
            </w:r>
          </w:p>
        </w:tc>
        <w:tc>
          <w:tcPr>
            <w:tcW w:type="dxa" w:w="260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STC_Enterprise_Risk_Management.docx §1; STC_Audit_Readiness_Package.docx §2-3</w:t>
            </w:r>
          </w:p>
        </w:tc>
        <w:tc>
          <w:tcPr>
            <w:tcW w:type="dxa" w:w="94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592"/>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F-02</w:t>
            </w:r>
          </w:p>
        </w:tc>
        <w:tc>
          <w:tcPr>
            <w:tcW w:type="dxa" w:w="237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Maintain comprehensive documentation throughout the GenAI lifecycle</w:t>
            </w:r>
          </w:p>
        </w:tc>
        <w:tc>
          <w:tcPr>
            <w:tcW w:type="dxa" w:w="284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7 framework documents totaling ~1 MB; prompt logger captures every LLM call; data lineage tracks source→response; audit trail is immutable</w:t>
            </w:r>
          </w:p>
        </w:tc>
        <w:tc>
          <w:tcPr>
            <w:tcW w:type="dxa" w:w="2607"/>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prompt_logger.py; data_lineage.py; stc_observability.py</w:t>
            </w:r>
          </w:p>
        </w:tc>
        <w:tc>
          <w:tcPr>
            <w:tcW w:type="dxa" w:w="947"/>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COVERED</w:t>
            </w:r>
          </w:p>
        </w:tc>
      </w:tr>
      <w:tr>
        <w:tc>
          <w:tcPr>
            <w:tcW w:type="dxa" w:w="592"/>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F-03</w:t>
            </w:r>
          </w:p>
        </w:tc>
        <w:tc>
          <w:tcPr>
            <w:tcW w:type="dxa" w:w="237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Robust testing of GenAI capabilities, limitations, and performance including privacy, integrity, reliability, and accuracy</w:t>
            </w:r>
          </w:p>
        </w:tc>
        <w:tc>
          <w:tcPr>
            <w:tcW w:type="dxa" w:w="284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12 AI pen tests (MITRE ATLAS); 26 automated control tests; monthly eval suite; adversarial red team; performance testing with SLO validation</w:t>
            </w:r>
          </w:p>
        </w:tc>
        <w:tc>
          <w:tcPr>
            <w:tcW w:type="dxa" w:w="260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pen_testing.py; control_testing.py; perf_testing.py; STC_Cyber_Defense_Framework.docx §3</w:t>
            </w:r>
          </w:p>
        </w:tc>
        <w:tc>
          <w:tcPr>
            <w:tcW w:type="dxa" w:w="94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592"/>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F-04</w:t>
            </w:r>
          </w:p>
        </w:tc>
        <w:tc>
          <w:tcPr>
            <w:tcW w:type="dxa" w:w="237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Ongoing monitoring of prompts, responses, and outputs to confirm continued compliant behavior</w:t>
            </w:r>
          </w:p>
        </w:tc>
        <w:tc>
          <w:tcPr>
            <w:tcW w:type="dxa" w:w="284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Prompt logger captures every prompt/response pair with model version; Critic validates every output; KRI engine monitors hallucination rate, scope violations; cost controls track spend</w:t>
            </w:r>
          </w:p>
        </w:tc>
        <w:tc>
          <w:tcPr>
            <w:tcW w:type="dxa" w:w="2607"/>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prompt_logger.py; risk_register.py (KRI engine); cost_controls.py</w:t>
            </w:r>
          </w:p>
        </w:tc>
        <w:tc>
          <w:tcPr>
            <w:tcW w:type="dxa" w:w="947"/>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COVERED</w:t>
            </w:r>
          </w:p>
        </w:tc>
      </w:tr>
      <w:tr>
        <w:tc>
          <w:tcPr>
            <w:tcW w:type="dxa" w:w="592"/>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F-05</w:t>
            </w:r>
          </w:p>
        </w:tc>
        <w:tc>
          <w:tcPr>
            <w:tcW w:type="dxa" w:w="237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Store prompt and output logs for accountability and troubleshooting</w:t>
            </w:r>
          </w:p>
        </w:tc>
        <w:tc>
          <w:tcPr>
            <w:tcW w:type="dxa" w:w="284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Prompt logger stores full rendered prompts, responses, template version, token counts, cost, Critic verdict. Queryable by execution_id, session_id, lineage_id, date range. 365-day retention.</w:t>
            </w:r>
          </w:p>
        </w:tc>
        <w:tc>
          <w:tcPr>
            <w:tcW w:type="dxa" w:w="260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prompt_logger.py; retention_manager.py</w:t>
            </w:r>
          </w:p>
        </w:tc>
        <w:tc>
          <w:tcPr>
            <w:tcW w:type="dxa" w:w="94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592"/>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F-06</w:t>
            </w:r>
          </w:p>
        </w:tc>
        <w:tc>
          <w:tcPr>
            <w:tcW w:type="dxa" w:w="237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Track which model version was used and when</w:t>
            </w:r>
          </w:p>
        </w:tc>
        <w:tc>
          <w:tcPr>
            <w:tcW w:type="dxa" w:w="284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Prompt logger records model_id + version per execution; Model Registry in Data Catalog tracks all model versions, approval status, deployment dates, evaluation scores</w:t>
            </w:r>
          </w:p>
        </w:tc>
        <w:tc>
          <w:tcPr>
            <w:tcW w:type="dxa" w:w="2607"/>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prompt_logger.py; data_catalog.py (Model Registry)</w:t>
            </w:r>
          </w:p>
        </w:tc>
        <w:tc>
          <w:tcPr>
            <w:tcW w:type="dxa" w:w="947"/>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COVERED</w:t>
            </w:r>
          </w:p>
        </w:tc>
      </w:tr>
      <w:tr>
        <w:tc>
          <w:tcPr>
            <w:tcW w:type="dxa" w:w="592"/>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F-07</w:t>
            </w:r>
          </w:p>
        </w:tc>
        <w:tc>
          <w:tcPr>
            <w:tcW w:type="dxa" w:w="237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Validation and human-in-the-loop review of model outputs including regular checks for errors or bias</w:t>
            </w:r>
          </w:p>
        </w:tc>
        <w:tc>
          <w:tcPr>
            <w:tcW w:type="dxa" w:w="284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Critic validates every output (hallucination, scope, accuracy); Workflow Critic validates multi-task outputs; LangGraph interrupt_before supports human approval gates; monthly eval suite</w:t>
            </w:r>
          </w:p>
        </w:tc>
        <w:tc>
          <w:tcPr>
            <w:tcW w:type="dxa" w:w="260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NeMo Guardrails + Guardrails AI (Critic); workflow_engine.py (interrupt_before); STC_Audit_Readiness_Package.docx §6</w:t>
            </w:r>
          </w:p>
        </w:tc>
        <w:tc>
          <w:tcPr>
            <w:tcW w:type="dxa" w:w="94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bl>
    <w:p>
      <w:r>
        <w:br w:type="page"/>
      </w:r>
    </w:p>
    <w:p>
      <w:pPr>
        <w:pStyle w:val="Heading2"/>
        <w:spacing w:before="280" w:after="160"/>
      </w:pPr>
      <w:r>
        <w:rPr>
          <w:rFonts w:ascii="Arial" w:cs="Arial" w:eastAsia="Arial" w:hAnsi="Arial"/>
          <w:b/>
          <w:bCs/>
          <w:color w:val="2E7D32"/>
          <w:sz w:val="28"/>
          <w:szCs w:val="28"/>
        </w:rPr>
        <w:t xml:space="preserve">2.2 FINRA AI Agent Risk Areas</w:t>
      </w:r>
    </w:p>
    <w:p>
      <w:pPr>
        <w:spacing w:after="120"/>
      </w:pPr>
      <w:r>
        <w:rPr>
          <w:rFonts w:ascii="Arial" w:cs="Arial" w:eastAsia="Arial" w:hAnsi="Arial"/>
          <w:sz w:val="22"/>
          <w:szCs w:val="22"/>
        </w:rPr>
        <w:t xml:space="preserve">The 2026 Report identifies 7 specific risk areas for AI agents. Here is how STC addresses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
        <w:gridCol w:w="2188"/>
        <w:gridCol w:w="2917"/>
        <w:gridCol w:w="2674"/>
        <w:gridCol w:w="973"/>
      </w:tblGrid>
      <w:tr>
        <w:trPr>
          <w:tblHeader/>
        </w:trPr>
        <w:tc>
          <w:tcPr>
            <w:tcW w:type="dxa" w:w="608"/>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2188"/>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FINRA AI Agent Risk</w:t>
            </w:r>
          </w:p>
        </w:tc>
        <w:tc>
          <w:tcPr>
            <w:tcW w:type="dxa" w:w="2917"/>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STC Control</w:t>
            </w:r>
          </w:p>
        </w:tc>
        <w:tc>
          <w:tcPr>
            <w:tcW w:type="dxa" w:w="2674"/>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973"/>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F-08</w:t>
            </w:r>
          </w:p>
        </w:tc>
        <w:tc>
          <w:tcPr>
            <w:tcW w:type="dxa" w:w="218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Autonomy: agents acting without human validation</w:t>
            </w:r>
          </w:p>
        </w:tc>
        <w:tc>
          <w:tcPr>
            <w:tcW w:type="dxa" w:w="291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Fail-closed design (Stalwart halts if Critic unavailable); graduated escalation (4 levels); LangGraph interrupt_before for human approval gates; Trainer bounded by Declarative Spec</w:t>
            </w:r>
          </w:p>
        </w:tc>
        <w:tc>
          <w:tcPr>
            <w:tcW w:type="dxa" w:w="26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resilience.py (fail-closed); workflow_engine.py (interrupt); STC_Enterprise_Architecture_v2.docx §2</w:t>
            </w:r>
          </w:p>
        </w:tc>
        <w:tc>
          <w:tcPr>
            <w:tcW w:type="dxa" w:w="973"/>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60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F-09</w:t>
            </w:r>
          </w:p>
        </w:tc>
        <w:tc>
          <w:tcPr>
            <w:tcW w:type="dxa" w:w="218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Scope and authority: agents acting beyond intended scope</w:t>
            </w:r>
          </w:p>
        </w:tc>
        <w:tc>
          <w:tcPr>
            <w:tcW w:type="dxa" w:w="2917"/>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Scope validator in Critic (investment advice = zero tolerance); Declarative Spec defines permitted actions per persona; Casbin RBAC enforces per-persona permissions; MCP Catalog restricts tool access</w:t>
            </w:r>
          </w:p>
        </w:tc>
        <w:tc>
          <w:tcPr>
            <w:tcW w:type="dxa" w:w="267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auth.py; mcp_catalog.py; Critic guardrails</w:t>
            </w:r>
          </w:p>
        </w:tc>
        <w:tc>
          <w:tcPr>
            <w:tcW w:type="dxa" w:w="973"/>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COVERED</w:t>
            </w:r>
          </w:p>
        </w:tc>
      </w:tr>
      <w:tr>
        <w:tc>
          <w:tcPr>
            <w:tcW w:type="dxa" w:w="60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F-10</w:t>
            </w:r>
          </w:p>
        </w:tc>
        <w:tc>
          <w:tcPr>
            <w:tcW w:type="dxa" w:w="218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Auditability and transparency: multi-step reasoning difficult to trace</w:t>
            </w:r>
          </w:p>
        </w:tc>
        <w:tc>
          <w:tcPr>
            <w:tcW w:type="dxa" w:w="291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End-to-end data lineage (8 stages); prompt logger (every LLM call); workflow-level lineage (cross-task); OTel distributed tracing; all events correlated by trace_id/workflow_id</w:t>
            </w:r>
          </w:p>
        </w:tc>
        <w:tc>
          <w:tcPr>
            <w:tcW w:type="dxa" w:w="26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data_lineage.py; prompt_logger.py; stc_observability.py; workflow_engine.py</w:t>
            </w:r>
          </w:p>
        </w:tc>
        <w:tc>
          <w:tcPr>
            <w:tcW w:type="dxa" w:w="973"/>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60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F-11</w:t>
            </w:r>
          </w:p>
        </w:tc>
        <w:tc>
          <w:tcPr>
            <w:tcW w:type="dxa" w:w="218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Data sensitivity: agents mishandling sensitive information</w:t>
            </w:r>
          </w:p>
        </w:tc>
        <w:tc>
          <w:tcPr>
            <w:tcW w:type="dxa" w:w="2917"/>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5-layer data sovereignty (classification tiers → routing rules); Presidio PII detection + surrogate tokenization; stc-data namespace has NO EGRESS; DLP scanning on all requests</w:t>
            </w:r>
          </w:p>
        </w:tc>
        <w:tc>
          <w:tcPr>
            <w:tcW w:type="dxa" w:w="267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data_security.py; STC_Security_Architecture.docx §6; STC_Enterprise_Architecture_v2.docx §9</w:t>
            </w:r>
          </w:p>
        </w:tc>
        <w:tc>
          <w:tcPr>
            <w:tcW w:type="dxa" w:w="973"/>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COVERED</w:t>
            </w:r>
          </w:p>
        </w:tc>
      </w:tr>
      <w:tr>
        <w:tc>
          <w:tcPr>
            <w:tcW w:type="dxa" w:w="60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F-12</w:t>
            </w:r>
          </w:p>
        </w:tc>
        <w:tc>
          <w:tcPr>
            <w:tcW w:type="dxa" w:w="218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Domain knowledge: general-purpose agents lacking industry expertise</w:t>
            </w:r>
          </w:p>
        </w:tc>
        <w:tc>
          <w:tcPr>
            <w:tcW w:type="dxa" w:w="291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Specialized Stalwart Registry (6 types with domain-specific prompts and tools); prompt templates tuned for financial services; eval suite with domain-specific test cases</w:t>
            </w:r>
          </w:p>
        </w:tc>
        <w:tc>
          <w:tcPr>
            <w:tcW w:type="dxa" w:w="26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workflow_engine.py (StalwartRegistry); prompt_logger.py (PromptRegistry)</w:t>
            </w:r>
          </w:p>
        </w:tc>
        <w:tc>
          <w:tcPr>
            <w:tcW w:type="dxa" w:w="973"/>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60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F-13</w:t>
            </w:r>
          </w:p>
        </w:tc>
        <w:tc>
          <w:tcPr>
            <w:tcW w:type="dxa" w:w="218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Rewards and reinforcement: misaligned reward functions</w:t>
            </w:r>
          </w:p>
        </w:tc>
        <w:tc>
          <w:tcPr>
            <w:tcW w:type="dxa" w:w="2917"/>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Trainer bounded by Declarative Spec; risk-adjusted optimizer applies risk weights to all decisions (risk can veto accuracy-optimal choice); Critic validates Trainer outputs</w:t>
            </w:r>
          </w:p>
        </w:tc>
        <w:tc>
          <w:tcPr>
            <w:tcW w:type="dxa" w:w="267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risk_adjusted_optimizer.py; cost_controls.py</w:t>
            </w:r>
          </w:p>
        </w:tc>
        <w:tc>
          <w:tcPr>
            <w:tcW w:type="dxa" w:w="973"/>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COVERED</w:t>
            </w:r>
          </w:p>
        </w:tc>
      </w:tr>
      <w:tr>
        <w:tc>
          <w:tcPr>
            <w:tcW w:type="dxa" w:w="60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F-14</w:t>
            </w:r>
          </w:p>
        </w:tc>
        <w:tc>
          <w:tcPr>
            <w:tcW w:type="dxa" w:w="218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Bias and hallucinations in agent outputs</w:t>
            </w:r>
          </w:p>
        </w:tc>
        <w:tc>
          <w:tcPr>
            <w:tcW w:type="dxa" w:w="291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Critic: hallucination detection (provenance check, numerical accuracy), bias detection via Guardrails AI validators; KRI tracks hallucination rate (&lt;2% target); monthly eval suite includes bias test cases</w:t>
            </w:r>
          </w:p>
        </w:tc>
        <w:tc>
          <w:tcPr>
            <w:tcW w:type="dxa" w:w="26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NeMo Guardrails + Guardrails AI; risk_register.py (KRI-G01); pen_testing.py (AI-PT-05)</w:t>
            </w:r>
          </w:p>
        </w:tc>
        <w:tc>
          <w:tcPr>
            <w:tcW w:type="dxa" w:w="973"/>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bl>
    <w:p>
      <w:r>
        <w:br w:type="page"/>
      </w:r>
    </w:p>
    <w:p>
      <w:pPr>
        <w:pStyle w:val="Heading2"/>
        <w:spacing w:before="280" w:after="160"/>
      </w:pPr>
      <w:r>
        <w:rPr>
          <w:rFonts w:ascii="Arial" w:cs="Arial" w:eastAsia="Arial" w:hAnsi="Arial"/>
          <w:b/>
          <w:bCs/>
          <w:color w:val="2E7D32"/>
          <w:sz w:val="28"/>
          <w:szCs w:val="28"/>
        </w:rPr>
        <w:t xml:space="preserve">2.3 FINRA Broader Supervisory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
        <w:gridCol w:w="2188"/>
        <w:gridCol w:w="3161"/>
        <w:gridCol w:w="2674"/>
        <w:gridCol w:w="729"/>
      </w:tblGrid>
      <w:tr>
        <w:trPr>
          <w:tblHeader/>
        </w:trPr>
        <w:tc>
          <w:tcPr>
            <w:tcW w:type="dxa" w:w="608"/>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2188"/>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FINRA Rule/Requirement</w:t>
            </w:r>
          </w:p>
        </w:tc>
        <w:tc>
          <w:tcPr>
            <w:tcW w:type="dxa" w:w="3161"/>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STC Coverage</w:t>
            </w:r>
          </w:p>
        </w:tc>
        <w:tc>
          <w:tcPr>
            <w:tcW w:type="dxa" w:w="2674"/>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729"/>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F-15</w:t>
            </w:r>
          </w:p>
        </w:tc>
        <w:tc>
          <w:tcPr>
            <w:tcW w:type="dxa" w:w="218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Rule 3110 (Supervision): reasonably designed supervisory system</w:t>
            </w:r>
          </w:p>
        </w:tc>
        <w:tc>
          <w:tcPr>
            <w:tcW w:type="dxa" w:w="3161"/>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Comprehensive framework with 26 controls, 9 policies, control testing schedule, exception management. AI Governance Committee provides oversight. Testing calendar for quarterly/monthly validation.</w:t>
            </w:r>
          </w:p>
        </w:tc>
        <w:tc>
          <w:tcPr>
            <w:tcW w:type="dxa" w:w="26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STC_Audit_Readiness_Package.docx §2-6; control_testing.py; exception_manager.py</w:t>
            </w:r>
          </w:p>
        </w:tc>
        <w:tc>
          <w:tcPr>
            <w:tcW w:type="dxa" w:w="729"/>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60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F-16</w:t>
            </w:r>
          </w:p>
        </w:tc>
        <w:tc>
          <w:tcPr>
            <w:tcW w:type="dxa" w:w="218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Rule 2210 (Communications with the Public): content standards apply to AI-generated communications</w:t>
            </w:r>
          </w:p>
        </w:tc>
        <w:tc>
          <w:tcPr>
            <w:tcW w:type="dxa" w:w="3161"/>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Scope validator blocks prohibited content (investment advice). BUT: Rule 2210 requires specific disclosures, fair and balanced content, and principal pre-approval for retail communications. STC’s Critic blocks violations but does not implement the full 2210 review workflow.</w:t>
            </w:r>
          </w:p>
        </w:tc>
        <w:tc>
          <w:tcPr>
            <w:tcW w:type="dxa" w:w="267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Critic scope validator provides partial coverage</w:t>
            </w:r>
          </w:p>
        </w:tc>
        <w:tc>
          <w:tcPr>
            <w:tcW w:type="dxa" w:w="729"/>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PARTIAL</w:t>
            </w:r>
          </w:p>
        </w:tc>
      </w:tr>
      <w:tr>
        <w:tc>
          <w:tcPr>
            <w:tcW w:type="dxa" w:w="60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F-17</w:t>
            </w:r>
          </w:p>
        </w:tc>
        <w:tc>
          <w:tcPr>
            <w:tcW w:type="dxa" w:w="218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Reg BI (Best Interest): AI must not conflict with best interest obligations</w:t>
            </w:r>
          </w:p>
        </w:tc>
        <w:tc>
          <w:tcPr>
            <w:tcW w:type="dxa" w:w="3161"/>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Scope validator blocks investment advice/recommendations. BUT: If AI assists advisors in making Reg BI-related decisions, the framework needs integration with the firm’s Reg BI compliance system to verify recommendations align with suitability requirements.</w:t>
            </w:r>
          </w:p>
        </w:tc>
        <w:tc>
          <w:tcPr>
            <w:tcW w:type="dxa" w:w="26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Scope validator prevents direct advice; integration with firm Reg BI system needed</w:t>
            </w:r>
          </w:p>
        </w:tc>
        <w:tc>
          <w:tcPr>
            <w:tcW w:type="dxa" w:w="729"/>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PARTIAL</w:t>
            </w:r>
          </w:p>
        </w:tc>
      </w:tr>
      <w:tr>
        <w:tc>
          <w:tcPr>
            <w:tcW w:type="dxa" w:w="60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F-18</w:t>
            </w:r>
          </w:p>
        </w:tc>
        <w:tc>
          <w:tcPr>
            <w:tcW w:type="dxa" w:w="218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SEA Rule 17a-4 (Recordkeeping): preserve all communications relating to business</w:t>
            </w:r>
          </w:p>
        </w:tc>
        <w:tc>
          <w:tcPr>
            <w:tcW w:type="dxa" w:w="3161"/>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Prompt logger captures every AI-generated communication. Audit trail is immutable (S3 with object lock). 365-day retention exceeds 17a-4 minimum. Records include: prompt text, response text, model version, timestamp, user session.</w:t>
            </w:r>
          </w:p>
        </w:tc>
        <w:tc>
          <w:tcPr>
            <w:tcW w:type="dxa" w:w="267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prompt_logger.py; retention_manager.py; stc_observability.py</w:t>
            </w:r>
          </w:p>
        </w:tc>
        <w:tc>
          <w:tcPr>
            <w:tcW w:type="dxa" w:w="729"/>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COVERED</w:t>
            </w:r>
          </w:p>
        </w:tc>
      </w:tr>
      <w:tr>
        <w:tc>
          <w:tcPr>
            <w:tcW w:type="dxa" w:w="60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F-19</w:t>
            </w:r>
          </w:p>
        </w:tc>
        <w:tc>
          <w:tcPr>
            <w:tcW w:type="dxa" w:w="218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Rule 4512 (Customer Account Information): protect customer data</w:t>
            </w:r>
          </w:p>
        </w:tc>
        <w:tc>
          <w:tcPr>
            <w:tcW w:type="dxa" w:w="3161"/>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Presidio PII masking; data sovereignty tiers; surrogate tokenization; GDPR data subject rights fulfillment; cross-session isolation prevents data leakage between customers</w:t>
            </w:r>
          </w:p>
        </w:tc>
        <w:tc>
          <w:tcPr>
            <w:tcW w:type="dxa" w:w="26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data_security.py; session_state.py; STC_Data_Governance_Framework.docx §7</w:t>
            </w:r>
          </w:p>
        </w:tc>
        <w:tc>
          <w:tcPr>
            <w:tcW w:type="dxa" w:w="729"/>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60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F-20</w:t>
            </w:r>
          </w:p>
        </w:tc>
        <w:tc>
          <w:tcPr>
            <w:tcW w:type="dxa" w:w="218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Third-party vendor management: supervisory procedures for outsourced AI</w:t>
            </w:r>
          </w:p>
        </w:tc>
        <w:tc>
          <w:tcPr>
            <w:tcW w:type="dxa" w:w="3161"/>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Vendor risk assessment framework (Audit doc §7); model provenance verification for all third-party models; LLM provider DPA requirements; contractual data handling restrictions in Declarative Spec</w:t>
            </w:r>
          </w:p>
        </w:tc>
        <w:tc>
          <w:tcPr>
            <w:tcW w:type="dxa" w:w="267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model_provenance.py; STC_Audit_Readiness_Package.docx §7</w:t>
            </w:r>
          </w:p>
        </w:tc>
        <w:tc>
          <w:tcPr>
            <w:tcW w:type="dxa" w:w="729"/>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COVERED</w:t>
            </w:r>
          </w:p>
        </w:tc>
      </w:tr>
      <w:tr>
        <w:tc>
          <w:tcPr>
            <w:tcW w:type="dxa" w:w="60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F-21</w:t>
            </w:r>
          </w:p>
        </w:tc>
        <w:tc>
          <w:tcPr>
            <w:tcW w:type="dxa" w:w="218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GenAI cybersecurity: controls for hallucinations, bias, threat-actor use of AI</w:t>
            </w:r>
          </w:p>
        </w:tc>
        <w:tc>
          <w:tcPr>
            <w:tcW w:type="dxa" w:w="3161"/>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12 AI pen tests including injection, encoding bypass, cost exhaustion, SSRF; 5-layer DDoS defense; threat detection engine with behavioral analytics and deception technology; runtime firewall (97.5% detection)</w:t>
            </w:r>
          </w:p>
        </w:tc>
        <w:tc>
          <w:tcPr>
            <w:tcW w:type="dxa" w:w="26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STC_Cyber_Defense_Framework.docx; threat_detection.py; pen_testing.py; runtime_firewall.py</w:t>
            </w:r>
          </w:p>
        </w:tc>
        <w:tc>
          <w:tcPr>
            <w:tcW w:type="dxa" w:w="729"/>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60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F-22</w:t>
            </w:r>
          </w:p>
        </w:tc>
        <w:tc>
          <w:tcPr>
            <w:tcW w:type="dxa" w:w="218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Human monitoring of AI outputs: ongoing, not just at deployment</w:t>
            </w:r>
          </w:p>
        </w:tc>
        <w:tc>
          <w:tcPr>
            <w:tcW w:type="dxa" w:w="3161"/>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Critic validates every output in real-time; KRI engine monitors trends; monthly eval suite; quarterly red team; BUT: no built-in workflow for designated human supervisory review of sample AI outputs</w:t>
            </w:r>
          </w:p>
        </w:tc>
        <w:tc>
          <w:tcPr>
            <w:tcW w:type="dxa" w:w="267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Automated monitoring complete; supervisory review sampling workflow not implemented</w:t>
            </w:r>
          </w:p>
        </w:tc>
        <w:tc>
          <w:tcPr>
            <w:tcW w:type="dxa" w:w="729"/>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PARTIAL</w:t>
            </w:r>
          </w:p>
        </w:tc>
      </w:tr>
      <w:tr>
        <w:tc>
          <w:tcPr>
            <w:tcW w:type="dxa" w:w="60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F-23</w:t>
            </w:r>
          </w:p>
        </w:tc>
        <w:tc>
          <w:tcPr>
            <w:tcW w:type="dxa" w:w="218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Agent guardrails: control mechanisms to limit agent behaviors, actions, or decisions</w:t>
            </w:r>
          </w:p>
        </w:tc>
        <w:tc>
          <w:tcPr>
            <w:tcW w:type="dxa" w:w="3161"/>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Declarative Spec bounds all agent behavior; Sentinel Layer enforces at infrastructure level; Casbin RBAC restricts per-persona; MCP Catalog governs tool access; cost circuit breaker limits spend; fail-closed prevents ungoverned responses</w:t>
            </w:r>
          </w:p>
        </w:tc>
        <w:tc>
          <w:tcPr>
            <w:tcW w:type="dxa" w:w="26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auth.py; mcp_catalog.py; cost_controls.py; resilience.py</w:t>
            </w:r>
          </w:p>
        </w:tc>
        <w:tc>
          <w:tcPr>
            <w:tcW w:type="dxa" w:w="729"/>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60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F-24</w:t>
            </w:r>
          </w:p>
        </w:tc>
        <w:tc>
          <w:tcPr>
            <w:tcW w:type="dxa" w:w="218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AI chatbot communication retention: retain GenAI chatbot conversations</w:t>
            </w:r>
          </w:p>
        </w:tc>
        <w:tc>
          <w:tcPr>
            <w:tcW w:type="dxa" w:w="3161"/>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Prompt logger stores full prompt/response pairs for every interaction; session state preserves conversation context; all records queryable and exportable for regulatory examination</w:t>
            </w:r>
          </w:p>
        </w:tc>
        <w:tc>
          <w:tcPr>
            <w:tcW w:type="dxa" w:w="267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prompt_logger.py; session_state.py</w:t>
            </w:r>
          </w:p>
        </w:tc>
        <w:tc>
          <w:tcPr>
            <w:tcW w:type="dxa" w:w="729"/>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COVERED</w:t>
            </w:r>
          </w:p>
        </w:tc>
      </w:tr>
      <w:tr>
        <w:tc>
          <w:tcPr>
            <w:tcW w:type="dxa" w:w="60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F-25</w:t>
            </w:r>
          </w:p>
        </w:tc>
        <w:tc>
          <w:tcPr>
            <w:tcW w:type="dxa" w:w="218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Model risk management: address explainability, integrity, accuracy</w:t>
            </w:r>
          </w:p>
        </w:tc>
        <w:tc>
          <w:tcPr>
            <w:tcW w:type="dxa" w:w="3161"/>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Model Registry tracks versions, eval scores, safety evaluations, provenance; Data Catalog maintains model lifecycle; monthly accuracy evals; drift detection via KRI engine</w:t>
            </w:r>
          </w:p>
        </w:tc>
        <w:tc>
          <w:tcPr>
            <w:tcW w:type="dxa" w:w="26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data_catalog.py (Model Registry); risk_register.py (KRI-G01 drift); STC_Audit_Readiness_Package.docx §2</w:t>
            </w:r>
          </w:p>
        </w:tc>
        <w:tc>
          <w:tcPr>
            <w:tcW w:type="dxa" w:w="729"/>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bl>
    <w:p>
      <w:r>
        <w:br w:type="page"/>
      </w:r>
    </w:p>
    <w:p>
      <w:pPr>
        <w:pStyle w:val="Heading1"/>
        <w:spacing w:before="360" w:after="200"/>
      </w:pPr>
      <w:r>
        <w:rPr>
          <w:rFonts w:ascii="Arial" w:cs="Arial" w:eastAsia="Arial" w:hAnsi="Arial"/>
          <w:b/>
          <w:bCs/>
          <w:color w:val="1B5E20"/>
          <w:sz w:val="36"/>
          <w:szCs w:val="36"/>
        </w:rPr>
        <w:t xml:space="preserve">3. NYDFS 23 NYCRR Part 500 (Cybersecurity Regulation)</w:t>
      </w:r>
    </w:p>
    <w:p>
      <w:pPr>
        <w:spacing w:after="120"/>
      </w:pPr>
      <w:r>
        <w:rPr>
          <w:rFonts w:ascii="Arial" w:cs="Arial" w:eastAsia="Arial" w:hAnsi="Arial"/>
          <w:sz w:val="22"/>
          <w:szCs w:val="22"/>
        </w:rPr>
        <w:t xml:space="preserve">Part 500 establishes cybersecurity requirements for all DFS-regulated entities. The October 2024 AI Guidance clarifies how Part 500 applies to AI risks. The October 2025 Third-Party Service Provider Guidance adds requirements for AI vendor management. The November 2025 final amendments mandate MFA and asset inventory.</w:t>
      </w:r>
    </w:p>
    <w:p>
      <w:pPr>
        <w:spacing w:after="80"/>
      </w:pPr>
    </w:p>
    <w:p>
      <w:pPr>
        <w:pStyle w:val="Heading2"/>
        <w:spacing w:before="280" w:after="160"/>
      </w:pPr>
      <w:r>
        <w:rPr>
          <w:rFonts w:ascii="Arial" w:cs="Arial" w:eastAsia="Arial" w:hAnsi="Arial"/>
          <w:b/>
          <w:bCs/>
          <w:color w:val="2E7D32"/>
          <w:sz w:val="28"/>
          <w:szCs w:val="28"/>
        </w:rPr>
        <w:t xml:space="preserve">3.1 Core Part 500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
        <w:gridCol w:w="1170"/>
        <w:gridCol w:w="2574"/>
        <w:gridCol w:w="4212"/>
        <w:gridCol w:w="819"/>
      </w:tblGrid>
      <w:tr>
        <w:trPr>
          <w:tblHeader/>
        </w:trPr>
        <w:tc>
          <w:tcPr>
            <w:tcW w:type="dxa" w:w="585"/>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17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Part 500 Section</w:t>
            </w:r>
          </w:p>
        </w:tc>
        <w:tc>
          <w:tcPr>
            <w:tcW w:type="dxa" w:w="2574"/>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212"/>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STC Coverage</w:t>
            </w:r>
          </w:p>
        </w:tc>
        <w:tc>
          <w:tcPr>
            <w:tcW w:type="dxa" w:w="819"/>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85"/>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N-01</w:t>
            </w:r>
          </w:p>
        </w:tc>
        <w:tc>
          <w:tcPr>
            <w:tcW w:type="dxa" w:w="117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500.2 Cybersecurity Program</w:t>
            </w:r>
          </w:p>
        </w:tc>
        <w:tc>
          <w:tcPr>
            <w:tcW w:type="dxa" w:w="25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Maintain a cybersecurity program designed to protect information systems and NPI</w:t>
            </w:r>
          </w:p>
        </w:tc>
        <w:tc>
          <w:tcPr>
            <w:tcW w:type="dxa" w:w="4212"/>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Comprehensive cybersecurity framework: 5-layer defense-in-depth, container hardening (8 controls), runtime threat detection, incident response playbook, DDoS protection</w:t>
            </w:r>
          </w:p>
        </w:tc>
        <w:tc>
          <w:tcPr>
            <w:tcW w:type="dxa" w:w="819"/>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585"/>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N-02</w:t>
            </w:r>
          </w:p>
        </w:tc>
        <w:tc>
          <w:tcPr>
            <w:tcW w:type="dxa" w:w="117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500.3 Cybersecurity Policy</w:t>
            </w:r>
          </w:p>
        </w:tc>
        <w:tc>
          <w:tcPr>
            <w:tcW w:type="dxa" w:w="257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Written cybersecurity policies approved by senior officer or board, updated annually</w:t>
            </w:r>
          </w:p>
        </w:tc>
        <w:tc>
          <w:tcPr>
            <w:tcW w:type="dxa" w:w="4212"/>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9 formal policies in Audit Readiness Package; review/approval requirements documented; annual review cycle specified</w:t>
            </w:r>
          </w:p>
        </w:tc>
        <w:tc>
          <w:tcPr>
            <w:tcW w:type="dxa" w:w="819"/>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COVERED</w:t>
            </w:r>
          </w:p>
        </w:tc>
      </w:tr>
      <w:tr>
        <w:tc>
          <w:tcPr>
            <w:tcW w:type="dxa" w:w="585"/>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N-03</w:t>
            </w:r>
          </w:p>
        </w:tc>
        <w:tc>
          <w:tcPr>
            <w:tcW w:type="dxa" w:w="117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500.4 CISO &amp; Board Reporting</w:t>
            </w:r>
          </w:p>
        </w:tc>
        <w:tc>
          <w:tcPr>
            <w:tcW w:type="dxa" w:w="25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Designate a CISO; CISO reports to senior governing body at least annually on cybersecurity</w:t>
            </w:r>
          </w:p>
        </w:tc>
        <w:tc>
          <w:tcPr>
            <w:tcW w:type="dxa" w:w="4212"/>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AI Governance Committee charter defines reporting lines (ERM §1.2); CISO is a committee member; quarterly reporting cadence exceeds annual minimum</w:t>
            </w:r>
          </w:p>
        </w:tc>
        <w:tc>
          <w:tcPr>
            <w:tcW w:type="dxa" w:w="819"/>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585"/>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N-04</w:t>
            </w:r>
          </w:p>
        </w:tc>
        <w:tc>
          <w:tcPr>
            <w:tcW w:type="dxa" w:w="117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500.5 Penetration Testing</w:t>
            </w:r>
          </w:p>
        </w:tc>
        <w:tc>
          <w:tcPr>
            <w:tcW w:type="dxa" w:w="257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Conduct annual pen testing and ongoing vulnerability assessment</w:t>
            </w:r>
          </w:p>
        </w:tc>
        <w:tc>
          <w:tcPr>
            <w:tcW w:type="dxa" w:w="4212"/>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12 AI-specific pen tests + infrastructure pen tests; quarterly internal + annual external cadence; ongoing automated vulnerability scanning (Trivy, Falco); pen test results documented as compliance evidence</w:t>
            </w:r>
          </w:p>
        </w:tc>
        <w:tc>
          <w:tcPr>
            <w:tcW w:type="dxa" w:w="819"/>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COVERED</w:t>
            </w:r>
          </w:p>
        </w:tc>
      </w:tr>
      <w:tr>
        <w:tc>
          <w:tcPr>
            <w:tcW w:type="dxa" w:w="585"/>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N-05</w:t>
            </w:r>
          </w:p>
        </w:tc>
        <w:tc>
          <w:tcPr>
            <w:tcW w:type="dxa" w:w="117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500.7 Access Privileges</w:t>
            </w:r>
          </w:p>
        </w:tc>
        <w:tc>
          <w:tcPr>
            <w:tcW w:type="dxa" w:w="25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Limit access to information systems and NPI to those with legitimate business need</w:t>
            </w:r>
          </w:p>
        </w:tc>
        <w:tc>
          <w:tcPr>
            <w:tcW w:type="dxa" w:w="4212"/>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Casbin RBAC with per-persona permissions; Kubernetes NetworkPolicy (stc-data has NO EGRESS); Vault-managed secrets with rotation; principle of least privilege enforced at infrastructure level</w:t>
            </w:r>
          </w:p>
        </w:tc>
        <w:tc>
          <w:tcPr>
            <w:tcW w:type="dxa" w:w="819"/>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585"/>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N-06</w:t>
            </w:r>
          </w:p>
        </w:tc>
        <w:tc>
          <w:tcPr>
            <w:tcW w:type="dxa" w:w="117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500.8 Application Security</w:t>
            </w:r>
          </w:p>
        </w:tc>
        <w:tc>
          <w:tcPr>
            <w:tcW w:type="dxa" w:w="257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Written procedures for secure development including testing and assessment of applications</w:t>
            </w:r>
          </w:p>
        </w:tc>
        <w:tc>
          <w:tcPr>
            <w:tcW w:type="dxa" w:w="4212"/>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SDL (7 phases) in Cyber Defense Framework; SAST/SCA/DAST in CI pipeline; container scanning; code review requirements; image signing with cosign</w:t>
            </w:r>
          </w:p>
        </w:tc>
        <w:tc>
          <w:tcPr>
            <w:tcW w:type="dxa" w:w="819"/>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COVERED</w:t>
            </w:r>
          </w:p>
        </w:tc>
      </w:tr>
      <w:tr>
        <w:tc>
          <w:tcPr>
            <w:tcW w:type="dxa" w:w="585"/>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N-07</w:t>
            </w:r>
          </w:p>
        </w:tc>
        <w:tc>
          <w:tcPr>
            <w:tcW w:type="dxa" w:w="117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500.9 Risk Assessment</w:t>
            </w:r>
          </w:p>
        </w:tc>
        <w:tc>
          <w:tcPr>
            <w:tcW w:type="dxa" w:w="25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Conduct annual risk assessment that informs cybersecurity program design</w:t>
            </w:r>
          </w:p>
        </w:tc>
        <w:tc>
          <w:tcPr>
            <w:tcW w:type="dxa" w:w="4212"/>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25-risk taxonomy; 5×5 assessment methodology (ISO 31000 aligned); annual assessment with quarterly reviews; risk register with full lifecycle tracking; KRI engine for continuous monitoring</w:t>
            </w:r>
          </w:p>
        </w:tc>
        <w:tc>
          <w:tcPr>
            <w:tcW w:type="dxa" w:w="819"/>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585"/>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N-08</w:t>
            </w:r>
          </w:p>
        </w:tc>
        <w:tc>
          <w:tcPr>
            <w:tcW w:type="dxa" w:w="117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500.10 Cybersecurity Personnel &amp; Training</w:t>
            </w:r>
          </w:p>
        </w:tc>
        <w:tc>
          <w:tcPr>
            <w:tcW w:type="dxa" w:w="257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Qualified cybersecurity personnel; security awareness training at least annually</w:t>
            </w:r>
          </w:p>
        </w:tc>
        <w:tc>
          <w:tcPr>
            <w:tcW w:type="dxa" w:w="4212"/>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Operator training matrix (4 roles) in Audit doc; Risk Champions program; annual risk awareness training; training completion tracked as governance metric</w:t>
            </w:r>
          </w:p>
        </w:tc>
        <w:tc>
          <w:tcPr>
            <w:tcW w:type="dxa" w:w="819"/>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COVERED</w:t>
            </w:r>
          </w:p>
        </w:tc>
      </w:tr>
      <w:tr>
        <w:tc>
          <w:tcPr>
            <w:tcW w:type="dxa" w:w="585"/>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N-09</w:t>
            </w:r>
          </w:p>
        </w:tc>
        <w:tc>
          <w:tcPr>
            <w:tcW w:type="dxa" w:w="117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500.11 Third-Party Service Provider Security Policy</w:t>
            </w:r>
          </w:p>
        </w:tc>
        <w:tc>
          <w:tcPr>
            <w:tcW w:type="dxa" w:w="25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Written policy and procedures for TPSP management including due diligence, contractual requirements, and ongoing assessment</w:t>
            </w:r>
          </w:p>
        </w:tc>
        <w:tc>
          <w:tcPr>
            <w:tcW w:type="dxa" w:w="4212"/>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Vendor risk assessment framework (6-area assessment); model provenance verification; data contracts with schema/quality/SLA; contractual data handling restrictions; TPSP assessment schedule documented</w:t>
            </w:r>
          </w:p>
        </w:tc>
        <w:tc>
          <w:tcPr>
            <w:tcW w:type="dxa" w:w="819"/>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585"/>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N-10</w:t>
            </w:r>
          </w:p>
        </w:tc>
        <w:tc>
          <w:tcPr>
            <w:tcW w:type="dxa" w:w="117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500.12 MFA</w:t>
            </w:r>
          </w:p>
        </w:tc>
        <w:tc>
          <w:tcPr>
            <w:tcW w:type="dxa" w:w="257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Require MFA for access to any information system by any user</w:t>
            </w:r>
          </w:p>
        </w:tc>
        <w:tc>
          <w:tcPr>
            <w:tcW w:type="dxa" w:w="4212"/>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Auth module supports JWT/IdP integration; Vault requires MFA for secret access; BUT: MFA enforcement depends on the deploying organization’s identity provider configuration, not on STC code directly</w:t>
            </w:r>
          </w:p>
        </w:tc>
        <w:tc>
          <w:tcPr>
            <w:tcW w:type="dxa" w:w="819"/>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PARTIAL</w:t>
            </w:r>
          </w:p>
        </w:tc>
      </w:tr>
      <w:tr>
        <w:tc>
          <w:tcPr>
            <w:tcW w:type="dxa" w:w="585"/>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N-11</w:t>
            </w:r>
          </w:p>
        </w:tc>
        <w:tc>
          <w:tcPr>
            <w:tcW w:type="dxa" w:w="117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500.13 Asset Inventory</w:t>
            </w:r>
          </w:p>
        </w:tc>
        <w:tc>
          <w:tcPr>
            <w:tcW w:type="dxa" w:w="25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Written procedures for creating and maintaining an information system asset inventory</w:t>
            </w:r>
          </w:p>
        </w:tc>
        <w:tc>
          <w:tcPr>
            <w:tcW w:type="dxa" w:w="4212"/>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Data Catalog tracks all data assets, models, prompts, embeddings with metadata; EA doc specifies full Kubernetes deployment inventory; BUT: Part 500 requires a comprehensive IT asset inventory beyond just AI components</w:t>
            </w:r>
          </w:p>
        </w:tc>
        <w:tc>
          <w:tcPr>
            <w:tcW w:type="dxa" w:w="819"/>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PARTIAL</w:t>
            </w:r>
          </w:p>
        </w:tc>
      </w:tr>
    </w:tbl>
    <w:p>
      <w:r>
        <w:br w:type="page"/>
      </w:r>
    </w:p>
    <w:p>
      <w:pPr>
        <w:pStyle w:val="Heading2"/>
        <w:spacing w:before="280" w:after="160"/>
      </w:pPr>
      <w:r>
        <w:rPr>
          <w:rFonts w:ascii="Arial" w:cs="Arial" w:eastAsia="Arial" w:hAnsi="Arial"/>
          <w:b/>
          <w:bCs/>
          <w:color w:val="2E7D32"/>
          <w:sz w:val="28"/>
          <w:szCs w:val="28"/>
        </w:rPr>
        <w:t xml:space="preserve">3.2 NYDFS AI-Specific Guidance (October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
        <w:gridCol w:w="2188"/>
        <w:gridCol w:w="2917"/>
        <w:gridCol w:w="2674"/>
        <w:gridCol w:w="973"/>
      </w:tblGrid>
      <w:tr>
        <w:trPr>
          <w:tblHeader/>
        </w:trPr>
        <w:tc>
          <w:tcPr>
            <w:tcW w:type="dxa" w:w="608"/>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2188"/>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NYDFS AI Requirement</w:t>
            </w:r>
          </w:p>
        </w:tc>
        <w:tc>
          <w:tcPr>
            <w:tcW w:type="dxa" w:w="2917"/>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STC Coverage</w:t>
            </w:r>
          </w:p>
        </w:tc>
        <w:tc>
          <w:tcPr>
            <w:tcW w:type="dxa" w:w="2674"/>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973"/>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N-12</w:t>
            </w:r>
          </w:p>
        </w:tc>
        <w:tc>
          <w:tcPr>
            <w:tcW w:type="dxa" w:w="218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Update risk assessments to address AI-specific threats (deepfakes, AI-enhanced social engineering, AI-accelerated attacks)</w:t>
            </w:r>
          </w:p>
        </w:tc>
        <w:tc>
          <w:tcPr>
            <w:tcW w:type="dxa" w:w="291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Risk taxonomy includes 25 AI-specific risks; threat detection engine monitors for AI-enhanced attacks; pen testing covers AI-specific attack vectors including encoding bypass and SSRF</w:t>
            </w:r>
          </w:p>
        </w:tc>
        <w:tc>
          <w:tcPr>
            <w:tcW w:type="dxa" w:w="26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risk_register.py; threat_detection.py; pen_testing.py; STC_Enterprise_Risk_Management.docx §3</w:t>
            </w:r>
          </w:p>
        </w:tc>
        <w:tc>
          <w:tcPr>
            <w:tcW w:type="dxa" w:w="973"/>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60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N-13</w:t>
            </w:r>
          </w:p>
        </w:tc>
        <w:tc>
          <w:tcPr>
            <w:tcW w:type="dxa" w:w="218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Assess risks of AI-enabled products or services and update access controls accordingly</w:t>
            </w:r>
          </w:p>
        </w:tc>
        <w:tc>
          <w:tcPr>
            <w:tcW w:type="dxa" w:w="2917"/>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Data sovereignty tiers with classification-aware routing; per-persona RBAC; Stalwart Registry limits capabilities per agent type; MCP Catalog governs tool access</w:t>
            </w:r>
          </w:p>
        </w:tc>
        <w:tc>
          <w:tcPr>
            <w:tcW w:type="dxa" w:w="267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auth.py; data_security.py; workflow_engine.py (StalwartRegistry)</w:t>
            </w:r>
          </w:p>
        </w:tc>
        <w:tc>
          <w:tcPr>
            <w:tcW w:type="dxa" w:w="973"/>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COVERED</w:t>
            </w:r>
          </w:p>
        </w:tc>
      </w:tr>
      <w:tr>
        <w:tc>
          <w:tcPr>
            <w:tcW w:type="dxa" w:w="60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N-14</w:t>
            </w:r>
          </w:p>
        </w:tc>
        <w:tc>
          <w:tcPr>
            <w:tcW w:type="dxa" w:w="218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Monitor for unusual query behavior that signals exposure of NPI</w:t>
            </w:r>
          </w:p>
        </w:tc>
        <w:tc>
          <w:tcPr>
            <w:tcW w:type="dxa" w:w="291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Behavioral analyzer detects: injection campaigns, model extraction attempts, data exfiltration patterns, insider abuse; PII detector scans all requests/responses; cross-session isolation prevents leakage</w:t>
            </w:r>
          </w:p>
        </w:tc>
        <w:tc>
          <w:tcPr>
            <w:tcW w:type="dxa" w:w="26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threat_detection.py; data_security.py</w:t>
            </w:r>
          </w:p>
        </w:tc>
        <w:tc>
          <w:tcPr>
            <w:tcW w:type="dxa" w:w="973"/>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60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N-15</w:t>
            </w:r>
          </w:p>
        </w:tc>
        <w:tc>
          <w:tcPr>
            <w:tcW w:type="dxa" w:w="2188"/>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Implement controls for AI-enabled social engineering threats</w:t>
            </w:r>
          </w:p>
        </w:tc>
        <w:tc>
          <w:tcPr>
            <w:tcW w:type="dxa" w:w="2917"/>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Runtime firewall blocks injection attacks; threat detection identifies coordinated campaigns; employee security awareness training covers AI-specific social engineering; BUT: no specific anti-deepfake controls for voice/video channels</w:t>
            </w:r>
          </w:p>
        </w:tc>
        <w:tc>
          <w:tcPr>
            <w:tcW w:type="dxa" w:w="267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runtime_firewall.py; threat_detection.py; training documented in Audit doc §9</w:t>
            </w:r>
          </w:p>
        </w:tc>
        <w:tc>
          <w:tcPr>
            <w:tcW w:type="dxa" w:w="973"/>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PARTIAL</w:t>
            </w:r>
          </w:p>
        </w:tc>
      </w:tr>
      <w:tr>
        <w:tc>
          <w:tcPr>
            <w:tcW w:type="dxa" w:w="60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N-16</w:t>
            </w:r>
          </w:p>
        </w:tc>
        <w:tc>
          <w:tcPr>
            <w:tcW w:type="dxa" w:w="2188"/>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Evaluate risks of data exposure through AI tools (e.g., ChatGPT)</w:t>
            </w:r>
          </w:p>
        </w:tc>
        <w:tc>
          <w:tcPr>
            <w:tcW w:type="dxa" w:w="291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Data sovereignty is a first-class architectural principle: 3-tier classification, Presidio tokenization, gateway-enforced routing, stc-data namespace NO EGRESS. Proprietary data physically cannot reach unauthorized LLM providers.</w:t>
            </w:r>
          </w:p>
        </w:tc>
        <w:tc>
          <w:tcPr>
            <w:tcW w:type="dxa" w:w="267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data_security.py; STC_Security_Architecture.docx §5-6; STC_Enterprise_Architecture_v2.docx §9</w:t>
            </w:r>
          </w:p>
        </w:tc>
        <w:tc>
          <w:tcPr>
            <w:tcW w:type="dxa" w:w="973"/>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bl>
    <w:p>
      <w:pPr>
        <w:spacing w:after="80"/>
      </w:pPr>
    </w:p>
    <w:p>
      <w:pPr>
        <w:pStyle w:val="Heading2"/>
        <w:spacing w:before="280" w:after="160"/>
      </w:pPr>
      <w:r>
        <w:rPr>
          <w:rFonts w:ascii="Arial" w:cs="Arial" w:eastAsia="Arial" w:hAnsi="Arial"/>
          <w:b/>
          <w:bCs/>
          <w:color w:val="2E7D32"/>
          <w:sz w:val="28"/>
          <w:szCs w:val="28"/>
        </w:rPr>
        <w:t xml:space="preserve">3.3 NYDFS Third-Party Service Provider Guidance (October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2"/>
        <w:gridCol w:w="2370"/>
        <w:gridCol w:w="2844"/>
        <w:gridCol w:w="2607"/>
        <w:gridCol w:w="947"/>
      </w:tblGrid>
      <w:tr>
        <w:trPr>
          <w:tblHeader/>
        </w:trPr>
        <w:tc>
          <w:tcPr>
            <w:tcW w:type="dxa" w:w="592"/>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237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NYDFS TPSP Requirement</w:t>
            </w:r>
          </w:p>
        </w:tc>
        <w:tc>
          <w:tcPr>
            <w:tcW w:type="dxa" w:w="2844"/>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STC Coverage</w:t>
            </w:r>
          </w:p>
        </w:tc>
        <w:tc>
          <w:tcPr>
            <w:tcW w:type="dxa" w:w="2607"/>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947"/>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92"/>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N-17</w:t>
            </w:r>
          </w:p>
        </w:tc>
        <w:tc>
          <w:tcPr>
            <w:tcW w:type="dxa" w:w="237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Due diligence: assess TPSP cybersecurity programs before engagement</w:t>
            </w:r>
          </w:p>
        </w:tc>
        <w:tc>
          <w:tcPr>
            <w:tcW w:type="dxa" w:w="284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Vendor risk assessment framework covers 6 areas (security program, data handling, incident response, compliance, financial stability, concentration); model provenance verifies model integrity</w:t>
            </w:r>
          </w:p>
        </w:tc>
        <w:tc>
          <w:tcPr>
            <w:tcW w:type="dxa" w:w="260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STC_Audit_Readiness_Package.docx §7; model_provenance.py</w:t>
            </w:r>
          </w:p>
        </w:tc>
        <w:tc>
          <w:tcPr>
            <w:tcW w:type="dxa" w:w="94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592"/>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N-18</w:t>
            </w:r>
          </w:p>
        </w:tc>
        <w:tc>
          <w:tcPr>
            <w:tcW w:type="dxa" w:w="237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Contractual provisions: access controls, encryption, event notification, data location restrictions, AI usage limitations</w:t>
            </w:r>
          </w:p>
        </w:tc>
        <w:tc>
          <w:tcPr>
            <w:tcW w:type="dxa" w:w="284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Data contracts framework (6 elements); Declarative Spec defines LLM provider constraints; data sovereignty routing rules; DPA requirements for all external providers</w:t>
            </w:r>
          </w:p>
        </w:tc>
        <w:tc>
          <w:tcPr>
            <w:tcW w:type="dxa" w:w="2607"/>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STC_Data_Governance_Framework.docx §6; Declarative Spec</w:t>
            </w:r>
          </w:p>
        </w:tc>
        <w:tc>
          <w:tcPr>
            <w:tcW w:type="dxa" w:w="947"/>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COVERED</w:t>
            </w:r>
          </w:p>
        </w:tc>
      </w:tr>
      <w:tr>
        <w:tc>
          <w:tcPr>
            <w:tcW w:type="dxa" w:w="592"/>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N-19</w:t>
            </w:r>
          </w:p>
        </w:tc>
        <w:tc>
          <w:tcPr>
            <w:tcW w:type="dxa" w:w="237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Ongoing monitoring and periodic assessments of TPSP cybersecurity</w:t>
            </w:r>
          </w:p>
        </w:tc>
        <w:tc>
          <w:tcPr>
            <w:tcW w:type="dxa" w:w="2844"/>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Model provenance runs continuous integrity monitoring; KRI engine tracks vendor risk score changes (KRI-L03); quarterly vendor reassessment schedule; emerging risk watch list includes vendor risks</w:t>
            </w:r>
          </w:p>
        </w:tc>
        <w:tc>
          <w:tcPr>
            <w:tcW w:type="dxa" w:w="260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model_provenance.py; risk_register.py (KRI-L03); STC_Enterprise_Risk_Management.docx §9</w:t>
            </w:r>
          </w:p>
        </w:tc>
        <w:tc>
          <w:tcPr>
            <w:tcW w:type="dxa" w:w="947"/>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COVERED</w:t>
            </w:r>
          </w:p>
        </w:tc>
      </w:tr>
      <w:tr>
        <w:tc>
          <w:tcPr>
            <w:tcW w:type="dxa" w:w="592"/>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N-20</w:t>
            </w:r>
          </w:p>
        </w:tc>
        <w:tc>
          <w:tcPr>
            <w:tcW w:type="dxa" w:w="237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Cannot delegate Part 500 compliance responsibility to TPSP</w:t>
            </w:r>
          </w:p>
        </w:tc>
        <w:tc>
          <w:tcPr>
            <w:tcW w:type="dxa" w:w="2844"/>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STC is self-hostable (no mandatory external service); all governance runs within firm’s boundary; CISO/AI Governance Committee retain accountability; audit trail captures all TPSP interactions</w:t>
            </w:r>
          </w:p>
        </w:tc>
        <w:tc>
          <w:tcPr>
            <w:tcW w:type="dxa" w:w="2607"/>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Self-hosted architecture; STC_Enterprise_Risk_Management.docx §1.1</w:t>
            </w:r>
          </w:p>
        </w:tc>
        <w:tc>
          <w:tcPr>
            <w:tcW w:type="dxa" w:w="947"/>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COVERED</w:t>
            </w:r>
          </w:p>
        </w:tc>
      </w:tr>
    </w:tbl>
    <w:p>
      <w:pPr>
        <w:spacing w:after="80"/>
      </w:pPr>
    </w:p>
    <w:p>
      <w:pPr>
        <w:pStyle w:val="Heading2"/>
        <w:spacing w:before="280" w:after="160"/>
      </w:pPr>
      <w:r>
        <w:rPr>
          <w:rFonts w:ascii="Arial" w:cs="Arial" w:eastAsia="Arial" w:hAnsi="Arial"/>
          <w:b/>
          <w:bCs/>
          <w:color w:val="2E7D32"/>
          <w:sz w:val="28"/>
          <w:szCs w:val="28"/>
        </w:rPr>
        <w:t xml:space="preserve">3.4 NYDFS Incident Response &amp;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1"/>
        <w:gridCol w:w="2202"/>
        <w:gridCol w:w="2863"/>
        <w:gridCol w:w="2863"/>
        <w:gridCol w:w="881"/>
      </w:tblGrid>
      <w:tr>
        <w:trPr>
          <w:tblHeader/>
        </w:trPr>
        <w:tc>
          <w:tcPr>
            <w:tcW w:type="dxa" w:w="551"/>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2202"/>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NYDFS Requirement</w:t>
            </w:r>
          </w:p>
        </w:tc>
        <w:tc>
          <w:tcPr>
            <w:tcW w:type="dxa" w:w="2863"/>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STC Coverage</w:t>
            </w:r>
          </w:p>
        </w:tc>
        <w:tc>
          <w:tcPr>
            <w:tcW w:type="dxa" w:w="2863"/>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881"/>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51"/>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N-21</w:t>
            </w:r>
          </w:p>
        </w:tc>
        <w:tc>
          <w:tcPr>
            <w:tcW w:type="dxa" w:w="2202"/>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500.16: Incident response plan tested at least annually</w:t>
            </w:r>
          </w:p>
        </w:tc>
        <w:tc>
          <w:tcPr>
            <w:tcW w:type="dxa" w:w="2863"/>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6-phase IR playbook (Detection → Post-Incident) in Security doc; 4 tabletop exercises defined in ERM doc; quarterly DR testing; BUT: no automated 72-hour DFS notification workflow</w:t>
            </w:r>
          </w:p>
        </w:tc>
        <w:tc>
          <w:tcPr>
            <w:tcW w:type="dxa" w:w="2863"/>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STC_Security_Architecture.docx §2; STC_Enterprise_Risk_Management.docx §6; manual notification process needed</w:t>
            </w:r>
          </w:p>
        </w:tc>
        <w:tc>
          <w:tcPr>
            <w:tcW w:type="dxa" w:w="881"/>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 PARTIAL</w:t>
            </w:r>
          </w:p>
        </w:tc>
      </w:tr>
      <w:tr>
        <w:tc>
          <w:tcPr>
            <w:tcW w:type="dxa" w:w="551"/>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N-22</w:t>
            </w:r>
          </w:p>
        </w:tc>
        <w:tc>
          <w:tcPr>
            <w:tcW w:type="dxa" w:w="2202"/>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500.17: Annual certification of compliance submitted to DFS by April 15</w:t>
            </w:r>
          </w:p>
        </w:tc>
        <w:tc>
          <w:tcPr>
            <w:tcW w:type="dxa" w:w="2863"/>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Control testing framework produces evidence; audit report generator exists; risk register produces compliance reports; BUT: no automated certification assembly/submission workflow specific to Part 500</w:t>
            </w:r>
          </w:p>
        </w:tc>
        <w:tc>
          <w:tcPr>
            <w:tcW w:type="dxa" w:w="2863"/>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Framework provides evidence; certification workflow not automated</w:t>
            </w:r>
          </w:p>
        </w:tc>
        <w:tc>
          <w:tcPr>
            <w:tcW w:type="dxa" w:w="881"/>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 GAP</w:t>
            </w:r>
          </w:p>
        </w:tc>
      </w:tr>
    </w:tbl>
    <w:p>
      <w:r>
        <w:br w:type="page"/>
      </w:r>
    </w:p>
    <w:p>
      <w:pPr>
        <w:pStyle w:val="Heading1"/>
        <w:spacing w:before="360" w:after="200"/>
      </w:pPr>
      <w:r>
        <w:rPr>
          <w:rFonts w:ascii="Arial" w:cs="Arial" w:eastAsia="Arial" w:hAnsi="Arial"/>
          <w:b/>
          <w:bCs/>
          <w:color w:val="1B5E20"/>
          <w:sz w:val="36"/>
          <w:szCs w:val="36"/>
        </w:rPr>
        <w:t xml:space="preserve">4. Gap Analysis Summary</w:t>
      </w:r>
    </w:p>
    <w:p>
      <w:pPr>
        <w:spacing w:after="80"/>
      </w:pPr>
    </w:p>
    <w:p>
      <w:pPr>
        <w:pStyle w:val="Heading2"/>
        <w:spacing w:before="280" w:after="160"/>
      </w:pPr>
      <w:r>
        <w:rPr>
          <w:rFonts w:ascii="Arial" w:cs="Arial" w:eastAsia="Arial" w:hAnsi="Arial"/>
          <w:b/>
          <w:bCs/>
          <w:color w:val="2E7D32"/>
          <w:sz w:val="28"/>
          <w:szCs w:val="28"/>
        </w:rPr>
        <w:t xml:space="preserve">4.1 True Gaps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80"/>
        <w:gridCol w:w="720"/>
        <w:gridCol w:w="1920"/>
        <w:gridCol w:w="3360"/>
        <w:gridCol w:w="1080"/>
      </w:tblGrid>
      <w:tr>
        <w:trPr>
          <w:tblHeader/>
        </w:trPr>
        <w:tc>
          <w:tcPr>
            <w:tcW w:type="dxa" w:w="6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Gap ID</w:t>
            </w:r>
          </w:p>
        </w:tc>
        <w:tc>
          <w:tcPr>
            <w:tcW w:type="dxa" w:w="168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72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Regulator</w:t>
            </w:r>
          </w:p>
        </w:tc>
        <w:tc>
          <w:tcPr>
            <w:tcW w:type="dxa" w:w="192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3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Remediation</w:t>
            </w:r>
          </w:p>
        </w:tc>
        <w:tc>
          <w:tcPr>
            <w:tcW w:type="dxa" w:w="108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GAP-01</w:t>
            </w:r>
          </w:p>
        </w:tc>
        <w:tc>
          <w:tcPr>
            <w:tcW w:type="dxa" w:w="168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Rule 2210 full compliance workflow for AI-generated investor communications</w:t>
            </w:r>
          </w:p>
        </w:tc>
        <w:tc>
          <w:tcPr>
            <w:tcW w:type="dxa" w:w="72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FINRA</w:t>
            </w:r>
          </w:p>
        </w:tc>
        <w:tc>
          <w:tcPr>
            <w:tcW w:type="dxa" w:w="192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High — any AI output reaching investors must comply with content standards, principal pre-approval, fair balance requirements</w:t>
            </w:r>
          </w:p>
        </w:tc>
        <w:tc>
          <w:tcPr>
            <w:tcW w:type="dxa" w:w="33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Add a Rule 2210 compliance module to the Critic: check fair/balanced, required disclosures, principal queue for pre-approval of retail comms</w:t>
            </w:r>
          </w:p>
        </w:tc>
        <w:tc>
          <w:tcPr>
            <w:tcW w:type="dxa" w:w="108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Medium (2-4 weeks)</w:t>
            </w:r>
          </w:p>
        </w:tc>
      </w:tr>
      <w:tr>
        <w:tc>
          <w:tcPr>
            <w:tcW w:type="dxa" w:w="6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GAP-02</w:t>
            </w:r>
          </w:p>
        </w:tc>
        <w:tc>
          <w:tcPr>
            <w:tcW w:type="dxa" w:w="168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Reg BI suitability integration for AI-assisted advisory decisions</w:t>
            </w:r>
          </w:p>
        </w:tc>
        <w:tc>
          <w:tcPr>
            <w:tcW w:type="dxa" w:w="72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FINRA</w:t>
            </w:r>
          </w:p>
        </w:tc>
        <w:tc>
          <w:tcPr>
            <w:tcW w:type="dxa" w:w="192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High — if AI informs advisor recommendations, the firm must verify best interest alignment</w:t>
            </w:r>
          </w:p>
        </w:tc>
        <w:tc>
          <w:tcPr>
            <w:tcW w:type="dxa" w:w="33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Add Reg BI checkpoint: when Stalwart output is used in advisory context, validate against customer profile and product suitability rules from firm’s Reg BI system</w:t>
            </w:r>
          </w:p>
        </w:tc>
        <w:tc>
          <w:tcPr>
            <w:tcW w:type="dxa" w:w="108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Medium (3-5 weeks, requires firm system integration)</w:t>
            </w:r>
          </w:p>
        </w:tc>
      </w:tr>
      <w:tr>
        <w:tc>
          <w:tcPr>
            <w:tcW w:type="dxa" w:w="60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GAP-03</w:t>
            </w:r>
          </w:p>
        </w:tc>
        <w:tc>
          <w:tcPr>
            <w:tcW w:type="dxa" w:w="168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72-hour DFS cybersecurity event notification automation</w:t>
            </w:r>
          </w:p>
        </w:tc>
        <w:tc>
          <w:tcPr>
            <w:tcW w:type="dxa" w:w="72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NYDFS</w:t>
            </w:r>
          </w:p>
        </w:tc>
        <w:tc>
          <w:tcPr>
            <w:tcW w:type="dxa" w:w="192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Medium — manual process works but risks timeline breach under pressure</w:t>
            </w:r>
          </w:p>
        </w:tc>
        <w:tc>
          <w:tcPr>
            <w:tcW w:type="dxa" w:w="33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Add automated notification workflow: when SEV-1/SEV-2 incident is classified, auto-generate DFS notification template with pre-populated fields, route for CISO approval, track 72-hour deadline</w:t>
            </w:r>
          </w:p>
        </w:tc>
        <w:tc>
          <w:tcPr>
            <w:tcW w:type="dxa" w:w="108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Low (1-2 weeks)</w:t>
            </w:r>
          </w:p>
        </w:tc>
      </w:tr>
      <w:tr>
        <w:tc>
          <w:tcPr>
            <w:tcW w:type="dxa" w:w="6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GAP-04</w:t>
            </w:r>
          </w:p>
        </w:tc>
        <w:tc>
          <w:tcPr>
            <w:tcW w:type="dxa" w:w="168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Annual Part 500 compliance certification assembly</w:t>
            </w:r>
          </w:p>
        </w:tc>
        <w:tc>
          <w:tcPr>
            <w:tcW w:type="dxa" w:w="72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NYDFS</w:t>
            </w:r>
          </w:p>
        </w:tc>
        <w:tc>
          <w:tcPr>
            <w:tcW w:type="dxa" w:w="192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Low — evidence exists, certification is an annual process</w:t>
            </w:r>
          </w:p>
        </w:tc>
        <w:tc>
          <w:tcPr>
            <w:tcW w:type="dxa" w:w="33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Add certification assembly script: collect all control test results, policy review dates, risk assessment dates, training records into a structured report aligned with Part 500 sections</w:t>
            </w:r>
          </w:p>
        </w:tc>
        <w:tc>
          <w:tcPr>
            <w:tcW w:type="dxa" w:w="108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Low (1 week)</w:t>
            </w:r>
          </w:p>
        </w:tc>
      </w:tr>
    </w:tbl>
    <w:p>
      <w:pPr>
        <w:spacing w:after="80"/>
      </w:pPr>
    </w:p>
    <w:p>
      <w:pPr>
        <w:pStyle w:val="Heading2"/>
        <w:spacing w:before="280" w:after="160"/>
      </w:pPr>
      <w:r>
        <w:rPr>
          <w:rFonts w:ascii="Arial" w:cs="Arial" w:eastAsia="Arial" w:hAnsi="Arial"/>
          <w:b/>
          <w:bCs/>
          <w:color w:val="2E7D32"/>
          <w:sz w:val="28"/>
          <w:szCs w:val="28"/>
        </w:rPr>
        <w:t xml:space="preserve">4.2 Partial Coverage (10)</w:t>
      </w:r>
    </w:p>
    <w:p>
      <w:pPr>
        <w:spacing w:after="120"/>
      </w:pPr>
      <w:r>
        <w:rPr>
          <w:rFonts w:ascii="Arial" w:cs="Arial" w:eastAsia="Arial" w:hAnsi="Arial"/>
          <w:sz w:val="22"/>
          <w:szCs w:val="22"/>
        </w:rPr>
        <w:t xml:space="preserve">Partial coverage items have STC controls that address the core requirement but need configuration, integration, or procedural additions to achieve full compliance. None require architectural changes.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2160"/>
        <w:gridCol w:w="2160"/>
        <w:gridCol w:w="2880"/>
      </w:tblGrid>
      <w:tr>
        <w:trPr>
          <w:tblHeader/>
        </w:trPr>
        <w:tc>
          <w:tcPr>
            <w:tcW w:type="dxa" w:w="72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44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1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What’s Covered</w:t>
            </w:r>
          </w:p>
        </w:tc>
        <w:tc>
          <w:tcPr>
            <w:tcW w:type="dxa" w:w="21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What’s Missing</w:t>
            </w:r>
          </w:p>
        </w:tc>
        <w:tc>
          <w:tcPr>
            <w:tcW w:type="dxa" w:w="288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Remediation</w:t>
            </w:r>
          </w:p>
        </w:tc>
      </w:tr>
      <w:tr>
        <w:tc>
          <w:tcPr>
            <w:tcW w:type="dxa" w:w="72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F-16</w:t>
            </w:r>
          </w:p>
        </w:tc>
        <w:tc>
          <w:tcPr>
            <w:tcW w:type="dxa" w:w="144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Rule 2210</w:t>
            </w:r>
          </w:p>
        </w:tc>
        <w:tc>
          <w:tcPr>
            <w:tcW w:type="dxa" w:w="21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Scope validator blocks prohibited content</w:t>
            </w:r>
          </w:p>
        </w:tc>
        <w:tc>
          <w:tcPr>
            <w:tcW w:type="dxa" w:w="21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Full 2210 review workflow (disclosures, fair balance, principal approval)</w:t>
            </w:r>
          </w:p>
        </w:tc>
        <w:tc>
          <w:tcPr>
            <w:tcW w:type="dxa" w:w="288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Rule 2210 Critic module</w:t>
            </w:r>
          </w:p>
        </w:tc>
      </w:tr>
      <w:tr>
        <w:tc>
          <w:tcPr>
            <w:tcW w:type="dxa" w:w="72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F-17</w:t>
            </w:r>
          </w:p>
        </w:tc>
        <w:tc>
          <w:tcPr>
            <w:tcW w:type="dxa" w:w="144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Reg BI</w:t>
            </w:r>
          </w:p>
        </w:tc>
        <w:tc>
          <w:tcPr>
            <w:tcW w:type="dxa" w:w="21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Blocks direct investment advice</w:t>
            </w:r>
          </w:p>
        </w:tc>
        <w:tc>
          <w:tcPr>
            <w:tcW w:type="dxa" w:w="21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Suitability verification when AI assists advisory decisions</w:t>
            </w:r>
          </w:p>
        </w:tc>
        <w:tc>
          <w:tcPr>
            <w:tcW w:type="dxa" w:w="288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Reg BI integration point</w:t>
            </w:r>
          </w:p>
        </w:tc>
      </w:tr>
      <w:tr>
        <w:tc>
          <w:tcPr>
            <w:tcW w:type="dxa" w:w="72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F-22</w:t>
            </w:r>
          </w:p>
        </w:tc>
        <w:tc>
          <w:tcPr>
            <w:tcW w:type="dxa" w:w="144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Human supervisory review</w:t>
            </w:r>
          </w:p>
        </w:tc>
        <w:tc>
          <w:tcPr>
            <w:tcW w:type="dxa" w:w="21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Automated monitoring (Critic + KRI)</w:t>
            </w:r>
          </w:p>
        </w:tc>
        <w:tc>
          <w:tcPr>
            <w:tcW w:type="dxa" w:w="21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Structured sampling workflow for designated supervisor review</w:t>
            </w:r>
          </w:p>
        </w:tc>
        <w:tc>
          <w:tcPr>
            <w:tcW w:type="dxa" w:w="288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Add supervisory review queue with configurable sampling rate</w:t>
            </w:r>
          </w:p>
        </w:tc>
      </w:tr>
      <w:tr>
        <w:tc>
          <w:tcPr>
            <w:tcW w:type="dxa" w:w="72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N-10</w:t>
            </w:r>
          </w:p>
        </w:tc>
        <w:tc>
          <w:tcPr>
            <w:tcW w:type="dxa" w:w="144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MFA (Part 500.12)</w:t>
            </w:r>
          </w:p>
        </w:tc>
        <w:tc>
          <w:tcPr>
            <w:tcW w:type="dxa" w:w="21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Auth module supports JWT/IdP/MFA</w:t>
            </w:r>
          </w:p>
        </w:tc>
        <w:tc>
          <w:tcPr>
            <w:tcW w:type="dxa" w:w="21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MFA enforcement depends on deployer’s IdP configuration</w:t>
            </w:r>
          </w:p>
        </w:tc>
        <w:tc>
          <w:tcPr>
            <w:tcW w:type="dxa" w:w="288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Document MFA requirements in deployment guide</w:t>
            </w:r>
          </w:p>
        </w:tc>
      </w:tr>
      <w:tr>
        <w:tc>
          <w:tcPr>
            <w:tcW w:type="dxa" w:w="72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N-11</w:t>
            </w:r>
          </w:p>
        </w:tc>
        <w:tc>
          <w:tcPr>
            <w:tcW w:type="dxa" w:w="144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Asset Inventory (Part 500.13)</w:t>
            </w:r>
          </w:p>
        </w:tc>
        <w:tc>
          <w:tcPr>
            <w:tcW w:type="dxa" w:w="21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Data Catalog covers AI assets</w:t>
            </w:r>
          </w:p>
        </w:tc>
        <w:tc>
          <w:tcPr>
            <w:tcW w:type="dxa" w:w="21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Full IT asset inventory beyond AI components</w:t>
            </w:r>
          </w:p>
        </w:tc>
        <w:tc>
          <w:tcPr>
            <w:tcW w:type="dxa" w:w="288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Extend catalog or document integration with firm’s CMDB</w:t>
            </w:r>
          </w:p>
        </w:tc>
      </w:tr>
      <w:tr>
        <w:tc>
          <w:tcPr>
            <w:tcW w:type="dxa" w:w="72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N-15</w:t>
            </w:r>
          </w:p>
        </w:tc>
        <w:tc>
          <w:tcPr>
            <w:tcW w:type="dxa" w:w="144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Anti-social engineering</w:t>
            </w:r>
          </w:p>
        </w:tc>
        <w:tc>
          <w:tcPr>
            <w:tcW w:type="dxa" w:w="21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Text-based injection defense</w:t>
            </w:r>
          </w:p>
        </w:tc>
        <w:tc>
          <w:tcPr>
            <w:tcW w:type="dxa" w:w="21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No deepfake/voice channel defenses</w:t>
            </w:r>
          </w:p>
        </w:tc>
        <w:tc>
          <w:tcPr>
            <w:tcW w:type="dxa" w:w="288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Document voice channel as out-of-scope; add guidance for firms</w:t>
            </w:r>
          </w:p>
        </w:tc>
      </w:tr>
      <w:tr>
        <w:tc>
          <w:tcPr>
            <w:tcW w:type="dxa" w:w="72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N-21</w:t>
            </w:r>
          </w:p>
        </w:tc>
        <w:tc>
          <w:tcPr>
            <w:tcW w:type="dxa" w:w="144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72-hour notification</w:t>
            </w:r>
          </w:p>
        </w:tc>
        <w:tc>
          <w:tcPr>
            <w:tcW w:type="dxa" w:w="21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IR playbook exists</w:t>
            </w:r>
          </w:p>
        </w:tc>
        <w:tc>
          <w:tcPr>
            <w:tcW w:type="dxa" w:w="21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No automated notification workflow</w:t>
            </w:r>
          </w:p>
        </w:tc>
        <w:tc>
          <w:tcPr>
            <w:tcW w:type="dxa" w:w="288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Add DFS notification module</w:t>
            </w:r>
          </w:p>
        </w:tc>
      </w:tr>
      <w:tr>
        <w:tc>
          <w:tcPr>
            <w:tcW w:type="dxa" w:w="72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F-20 ext</w:t>
            </w:r>
          </w:p>
        </w:tc>
        <w:tc>
          <w:tcPr>
            <w:tcW w:type="dxa" w:w="144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Vendor GenAI restrictions</w:t>
            </w:r>
          </w:p>
        </w:tc>
        <w:tc>
          <w:tcPr>
            <w:tcW w:type="dxa" w:w="21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Provider DPA requirements documented</w:t>
            </w:r>
          </w:p>
        </w:tc>
        <w:tc>
          <w:tcPr>
            <w:tcW w:type="dxa" w:w="21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No automated contract clause validation</w:t>
            </w:r>
          </w:p>
        </w:tc>
        <w:tc>
          <w:tcPr>
            <w:tcW w:type="dxa" w:w="288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Add contract compliance checklist</w:t>
            </w:r>
          </w:p>
        </w:tc>
      </w:tr>
      <w:tr>
        <w:tc>
          <w:tcPr>
            <w:tcW w:type="dxa" w:w="72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F-04 ext</w:t>
            </w:r>
          </w:p>
        </w:tc>
        <w:tc>
          <w:tcPr>
            <w:tcW w:type="dxa" w:w="144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Continuous monitoring cadence</w:t>
            </w:r>
          </w:p>
        </w:tc>
        <w:tc>
          <w:tcPr>
            <w:tcW w:type="dxa" w:w="21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Real-time Critic + daily KRIs</w:t>
            </w:r>
          </w:p>
        </w:tc>
        <w:tc>
          <w:tcPr>
            <w:tcW w:type="dxa" w:w="21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No documented monitoring cadence SLA</w:t>
            </w:r>
          </w:p>
        </w:tc>
        <w:tc>
          <w:tcPr>
            <w:tcW w:type="dxa" w:w="288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Define and document monitoring SLAs in Declarative Spec</w:t>
            </w:r>
          </w:p>
        </w:tc>
      </w:tr>
      <w:tr>
        <w:tc>
          <w:tcPr>
            <w:tcW w:type="dxa" w:w="72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F-07 ext</w:t>
            </w:r>
          </w:p>
        </w:tc>
        <w:tc>
          <w:tcPr>
            <w:tcW w:type="dxa" w:w="144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Bias testing</w:t>
            </w:r>
          </w:p>
        </w:tc>
        <w:tc>
          <w:tcPr>
            <w:tcW w:type="dxa" w:w="21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Guardrails AI bias detector</w:t>
            </w:r>
          </w:p>
        </w:tc>
        <w:tc>
          <w:tcPr>
            <w:tcW w:type="dxa" w:w="21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No firm-specific bias test dataset</w:t>
            </w:r>
          </w:p>
        </w:tc>
        <w:tc>
          <w:tcPr>
            <w:tcW w:type="dxa" w:w="288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Document bias testing requirements; firms create domain-specific datasets</w:t>
            </w:r>
          </w:p>
        </w:tc>
      </w:tr>
    </w:tbl>
    <w:p>
      <w:r>
        <w:br w:type="page"/>
      </w:r>
    </w:p>
    <w:p>
      <w:pPr>
        <w:pStyle w:val="Heading1"/>
        <w:spacing w:before="360" w:after="200"/>
      </w:pPr>
      <w:r>
        <w:rPr>
          <w:rFonts w:ascii="Arial" w:cs="Arial" w:eastAsia="Arial" w:hAnsi="Arial"/>
          <w:b/>
          <w:bCs/>
          <w:color w:val="1B5E20"/>
          <w:sz w:val="36"/>
          <w:szCs w:val="36"/>
        </w:rPr>
        <w:t xml:space="preserve">5. Where STC Exceeds Regulatory Requirements</w:t>
      </w:r>
    </w:p>
    <w:p>
      <w:pPr>
        <w:spacing w:after="120"/>
      </w:pPr>
      <w:r>
        <w:rPr>
          <w:rFonts w:ascii="Arial" w:cs="Arial" w:eastAsia="Arial" w:hAnsi="Arial"/>
          <w:sz w:val="22"/>
          <w:szCs w:val="22"/>
        </w:rPr>
        <w:t xml:space="preserve">In several areas, the STC Framework provides controls that go significantly beyond what FINRA and NYDFS currently require: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920"/>
        <w:gridCol w:w="3360"/>
        <w:gridCol w:w="2640"/>
      </w:tblGrid>
      <w:tr>
        <w:trPr>
          <w:tblHeader/>
        </w:trPr>
        <w:tc>
          <w:tcPr>
            <w:tcW w:type="dxa" w:w="144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92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Regulatory Requirement</w:t>
            </w:r>
          </w:p>
        </w:tc>
        <w:tc>
          <w:tcPr>
            <w:tcW w:type="dxa" w:w="33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STC Provides</w:t>
            </w:r>
          </w:p>
        </w:tc>
        <w:tc>
          <w:tcPr>
            <w:tcW w:type="dxa" w:w="264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r>
      <w:tr>
        <w:tc>
          <w:tcPr>
            <w:tcW w:type="dxa" w:w="144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Prompt Auditability</w:t>
            </w:r>
          </w:p>
        </w:tc>
        <w:tc>
          <w:tcPr>
            <w:tcW w:type="dxa" w:w="192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Store prompt and output logs (FINRA)</w:t>
            </w:r>
          </w:p>
        </w:tc>
        <w:tc>
          <w:tcPr>
            <w:tcW w:type="dxa" w:w="33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Full prompt execution record with template version, rendered prompt, response, model, tokens, cost, Critic verdict, lineage correlation — queryable by 5 dimensions</w:t>
            </w:r>
          </w:p>
        </w:tc>
        <w:tc>
          <w:tcPr>
            <w:tcW w:type="dxa" w:w="264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Far exceeds “store logs” — provides forensic-grade reconstruction</w:t>
            </w:r>
          </w:p>
        </w:tc>
      </w:tr>
      <w:tr>
        <w:tc>
          <w:tcPr>
            <w:tcW w:type="dxa" w:w="144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Data Sovereignty</w:t>
            </w:r>
          </w:p>
        </w:tc>
        <w:tc>
          <w:tcPr>
            <w:tcW w:type="dxa" w:w="192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Protect customer data (FINRA 4512, NYDFS 500.7)</w:t>
            </w:r>
          </w:p>
        </w:tc>
        <w:tc>
          <w:tcPr>
            <w:tcW w:type="dxa" w:w="33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3-tier classification with infrastructure-enforced routing; stc-data namespace NO EGRESS; Presidio surrogate tokenization; proprietary data physically cannot reach external providers</w:t>
            </w:r>
          </w:p>
        </w:tc>
        <w:tc>
          <w:tcPr>
            <w:tcW w:type="dxa" w:w="264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Architectural enforcement, not just policy</w:t>
            </w:r>
          </w:p>
        </w:tc>
      </w:tr>
      <w:tr>
        <w:tc>
          <w:tcPr>
            <w:tcW w:type="dxa" w:w="144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AI-Specific Pen Testing</w:t>
            </w:r>
          </w:p>
        </w:tc>
        <w:tc>
          <w:tcPr>
            <w:tcW w:type="dxa" w:w="192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Test GenAI capabilities (FINRA)</w:t>
            </w:r>
          </w:p>
        </w:tc>
        <w:tc>
          <w:tcPr>
            <w:tcW w:type="dxa" w:w="33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12 MITRE ATLAS-mapped AI pen tests including encoding bypass, SSRF via LLM, multi-turn manipulation, cost exhaustion — run monthly (automated) and quarterly (manual)</w:t>
            </w:r>
          </w:p>
        </w:tc>
        <w:tc>
          <w:tcPr>
            <w:tcW w:type="dxa" w:w="264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Most firms have no AI-specific pen testing at all</w:t>
            </w:r>
          </w:p>
        </w:tc>
      </w:tr>
      <w:tr>
        <w:tc>
          <w:tcPr>
            <w:tcW w:type="dxa" w:w="144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Risk-Adjusted AI Decisions</w:t>
            </w:r>
          </w:p>
        </w:tc>
        <w:tc>
          <w:tcPr>
            <w:tcW w:type="dxa" w:w="192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Monitor rewards and reinforcement (FINRA)</w:t>
            </w:r>
          </w:p>
        </w:tc>
        <w:tc>
          <w:tcPr>
            <w:tcW w:type="dxa" w:w="33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Trainer decisions are risk-weighted with veto capability; risk factors can override accuracy-optimal choices; ERM-integrated optimization</w:t>
            </w:r>
          </w:p>
        </w:tc>
        <w:tc>
          <w:tcPr>
            <w:tcW w:type="dxa" w:w="264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Goes beyond monitoring to active risk-adjusted governance</w:t>
            </w:r>
          </w:p>
        </w:tc>
      </w:tr>
      <w:tr>
        <w:tc>
          <w:tcPr>
            <w:tcW w:type="dxa" w:w="144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Multi-Agent Governance</w:t>
            </w:r>
          </w:p>
        </w:tc>
        <w:tc>
          <w:tcPr>
            <w:tcW w:type="dxa" w:w="192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Guardrails for agent behaviors (FINRA)</w:t>
            </w:r>
          </w:p>
        </w:tc>
        <w:tc>
          <w:tcPr>
            <w:tcW w:type="dxa" w:w="336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Workflow Critic validates cross-task consistency; per-task Critic + workflow-level Critic; budget allocation with overspend protection; LangGraph deterministic execution for audit trail</w:t>
            </w:r>
          </w:p>
        </w:tc>
        <w:tc>
          <w:tcPr>
            <w:tcW w:type="dxa" w:w="264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sz w:val="20"/>
                <w:szCs w:val="20"/>
              </w:rPr>
              <w:t xml:space="preserve">Most frameworks have no multi-agent governance at all</w:t>
            </w:r>
          </w:p>
        </w:tc>
      </w:tr>
      <w:tr>
        <w:tc>
          <w:tcPr>
            <w:tcW w:type="dxa" w:w="144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Deception Technology</w:t>
            </w:r>
          </w:p>
        </w:tc>
        <w:tc>
          <w:tcPr>
            <w:tcW w:type="dxa" w:w="192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Not required by either regulator</w:t>
            </w:r>
          </w:p>
        </w:tc>
        <w:tc>
          <w:tcPr>
            <w:tcW w:type="dxa" w:w="33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Honey documents, honey tokens, canary queries detect unauthorized access paths and model tampering</w:t>
            </w:r>
          </w:p>
        </w:tc>
        <w:tc>
          <w:tcPr>
            <w:tcW w:type="dxa" w:w="264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sz w:val="20"/>
                <w:szCs w:val="20"/>
              </w:rPr>
              <w:t xml:space="preserve">Proactive defense beyond regulatory requirements</w:t>
            </w:r>
          </w:p>
        </w:tc>
      </w:tr>
    </w:tbl>
    <w:p>
      <w:pPr>
        <w:spacing w:after="80"/>
      </w:pPr>
    </w:p>
    <w:p>
      <w:pPr>
        <w:spacing w:after="80"/>
      </w:pPr>
    </w:p>
    <w:p>
      <w:pPr>
        <w:spacing w:before="400"/>
        <w:jc w:val="center"/>
      </w:pPr>
      <w:r>
        <w:rPr>
          <w:rFonts w:ascii="Arial" w:cs="Arial" w:eastAsia="Arial" w:hAnsi="Arial"/>
          <w:i/>
          <w:iCs/>
          <w:color w:val="757575"/>
          <w:sz w:val="22"/>
          <w:szCs w:val="22"/>
        </w:rPr>
        <w:t xml:space="preserve">— END OF REGULATORY COMPLIANCE PRESSURE TEST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6"/>
        <w:szCs w:val="16"/>
      </w:rPr>
      <w:t xml:space="preserve">CONFIDENTIAL — REGULATORY USE  |  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757575"/>
        <w:sz w:val="18"/>
        <w:szCs w:val="18"/>
      </w:rPr>
      <w:t xml:space="preserve">STC Framework — FINRA &amp; NYDFS Regulatory Pressure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2026-03-10T14:19:48.176Z</dcterms:created>
  <dcterms:modified xsi:type="dcterms:W3CDTF">2026-03-10T14:19:48.177Z</dcterms:modified>
</cp:coreProperties>
</file>

<file path=docProps/custom.xml><?xml version="1.0" encoding="utf-8"?>
<Properties xmlns="http://schemas.openxmlformats.org/officeDocument/2006/custom-properties" xmlns:vt="http://schemas.openxmlformats.org/officeDocument/2006/docPropsVTypes"/>
</file>