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200"/>
        <w:jc w:val="center"/>
      </w:pPr>
      <w:r>
        <w:rPr>
          <w:rFonts w:ascii="Arial" w:cs="Arial" w:eastAsia="Arial" w:hAnsi="Arial"/>
          <w:b/>
          <w:bCs/>
          <w:color w:val="1A237E"/>
          <w:sz w:val="56"/>
          <w:szCs w:val="56"/>
        </w:rPr>
        <w:t xml:space="preserve">STC FRAMEWORK</w:t>
      </w:r>
    </w:p>
    <w:p>
      <w:pPr>
        <w:spacing w:after="120"/>
        <w:jc w:val="center"/>
      </w:pPr>
      <w:r>
        <w:rPr>
          <w:rFonts w:ascii="Arial" w:cs="Arial" w:eastAsia="Arial" w:hAnsi="Arial"/>
          <w:color w:val="283593"/>
          <w:sz w:val="36"/>
          <w:szCs w:val="36"/>
        </w:rPr>
        <w:t xml:space="preserve">Enterprise Architecture</w:t>
      </w:r>
    </w:p>
    <w:p>
      <w:pPr>
        <w:spacing w:after="80"/>
        <w:jc w:val="center"/>
      </w:pPr>
      <w:r>
        <w:rPr>
          <w:rFonts w:ascii="Arial" w:cs="Arial" w:eastAsia="Arial" w:hAnsi="Arial"/>
          <w:color w:val="FF6F00"/>
          <w:sz w:val="28"/>
          <w:szCs w:val="28"/>
        </w:rPr>
        <w:t xml:space="preserve">Production Readiness Blueprint</w:t>
      </w:r>
    </w:p>
    <w:p>
      <w:pPr>
        <w:spacing w:after="400"/>
        <w:jc w:val="center"/>
      </w:pPr>
      <w:r>
        <w:rPr>
          <w:rFonts w:ascii="Arial" w:cs="Arial" w:eastAsia="Arial" w:hAnsi="Arial"/>
          <w:color w:val="757575"/>
          <w:sz w:val="22"/>
          <w:szCs w:val="22"/>
        </w:rPr>
        <w:t xml:space="preserve">High Availability · Scalability · Resilience · Performance · Deployment</w:t>
      </w:r>
    </w:p>
    <w:p>
      <w:pPr>
        <w:spacing w:after="80"/>
      </w:pPr>
    </w:p>
    <w:p>
      <w:pPr>
        <w:spacing w:after="80"/>
      </w:pPr>
    </w:p>
    <w:p>
      <w:pPr>
        <w:spacing w:after="80"/>
      </w:pPr>
    </w:p>
    <w:p>
      <w:pPr>
        <w:spacing w:after="80"/>
      </w:pPr>
    </w:p>
    <w:p>
      <w:pPr>
        <w:spacing w:after="60"/>
        <w:jc w:val="center"/>
      </w:pPr>
      <w:r>
        <w:rPr>
          <w:rFonts w:ascii="Arial" w:cs="Arial" w:eastAsia="Arial" w:hAnsi="Arial"/>
          <w:color w:val="444444"/>
          <w:sz w:val="22"/>
          <w:szCs w:val="22"/>
        </w:rPr>
        <w:t xml:space="preserve">Author: Nitesh Ambastha</w:t>
      </w:r>
    </w:p>
    <w:p>
      <w:pPr>
        <w:spacing w:after="60"/>
        <w:jc w:val="center"/>
      </w:pPr>
      <w:r>
        <w:rPr>
          <w:rFonts w:ascii="Arial" w:cs="Arial" w:eastAsia="Arial" w:hAnsi="Arial"/>
          <w:color w:val="444444"/>
          <w:sz w:val="22"/>
          <w:szCs w:val="22"/>
        </w:rPr>
        <w:t xml:space="preserve">Version 2.0 — March 2026</w:t>
      </w:r>
    </w:p>
    <w:p>
      <w:pPr>
        <w:jc w:val="center"/>
      </w:pPr>
      <w:r>
        <w:rPr>
          <w:rFonts w:ascii="Arial" w:cs="Arial" w:eastAsia="Arial" w:hAnsi="Arial"/>
          <w:color w:val="757575"/>
          <w:sz w:val="20"/>
          <w:szCs w:val="20"/>
        </w:rPr>
        <w:t xml:space="preserve">For Enterprise Architecture Review Board</w:t>
      </w:r>
    </w:p>
    <w:p>
      <w:r>
        <w:br w:type="page"/>
      </w:r>
    </w:p>
    <w:p>
      <w:pPr>
        <w:pStyle w:val="Heading1"/>
        <w:spacing w:before="360" w:after="200"/>
      </w:pPr>
      <w:r>
        <w:rPr>
          <w:rFonts w:ascii="Arial" w:cs="Arial" w:eastAsia="Arial" w:hAnsi="Arial"/>
          <w:b/>
          <w:bCs/>
          <w:color w:val="1A237E"/>
          <w:sz w:val="36"/>
          <w:szCs w:val="36"/>
        </w:rPr>
        <w:t xml:space="preserve">Table of Contents</w:t>
      </w:r>
    </w:p>
    <w:sdt>
      <w:sdtPr>
        <w:alias w:val="TOC"/>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237E"/>
          <w:sz w:val="36"/>
          <w:szCs w:val="36"/>
        </w:rPr>
        <w:t xml:space="preserve">1. Executive Summary</w:t>
      </w:r>
    </w:p>
    <w:p>
      <w:pPr>
        <w:spacing w:after="120"/>
      </w:pPr>
      <w:r>
        <w:rPr>
          <w:rFonts w:ascii="Arial" w:cs="Arial" w:eastAsia="Arial" w:hAnsi="Arial"/>
          <w:sz w:val="22"/>
          <w:szCs w:val="22"/>
        </w:rPr>
        <w:t xml:space="preserve">This document provides the enterprise architecture blueprint for deploying the STC Framework in a production financial services environment serving 30,000+ advisors. Each section includes a visual architecture diagram showing component interactions, followed by detailed specifications and explanation of how the architecture works.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27"/>
        <w:gridCol w:w="3191"/>
        <w:gridCol w:w="4042"/>
      </w:tblGrid>
      <w:tr>
        <w:trPr>
          <w:tblHeader/>
        </w:trPr>
        <w:tc>
          <w:tcPr>
            <w:tcW w:type="dxa" w:w="2127"/>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3191"/>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Reference Implementation</w:t>
            </w:r>
          </w:p>
        </w:tc>
        <w:tc>
          <w:tcPr>
            <w:tcW w:type="dxa" w:w="4042"/>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Production Target</w:t>
            </w:r>
          </w:p>
        </w:tc>
      </w:tr>
      <w:tr>
        <w:tc>
          <w:tcPr>
            <w:tcW w:type="dxa" w:w="2127"/>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Deployment</w:t>
            </w:r>
          </w:p>
        </w:tc>
        <w:tc>
          <w:tcPr>
            <w:tcW w:type="dxa" w:w="3191"/>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docker-compose, single host</w:t>
            </w:r>
          </w:p>
        </w:tc>
        <w:tc>
          <w:tcPr>
            <w:tcW w:type="dxa" w:w="4042"/>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Kubernetes (EKS), multi-AZ, multi-region DR</w:t>
            </w:r>
          </w:p>
        </w:tc>
      </w:tr>
      <w:tr>
        <w:tc>
          <w:tcPr>
            <w:tcW w:type="dxa" w:w="2127"/>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Stalwart Concurrency</w:t>
            </w:r>
          </w:p>
        </w:tc>
        <w:tc>
          <w:tcPr>
            <w:tcW w:type="dxa" w:w="3191"/>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Single request</w:t>
            </w:r>
          </w:p>
        </w:tc>
        <w:tc>
          <w:tcPr>
            <w:tcW w:type="dxa" w:w="4042"/>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50–200 concurrent, HPA autoscaled</w:t>
            </w:r>
          </w:p>
        </w:tc>
      </w:tr>
      <w:tr>
        <w:tc>
          <w:tcPr>
            <w:tcW w:type="dxa" w:w="2127"/>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State Management</w:t>
            </w:r>
          </w:p>
        </w:tc>
        <w:tc>
          <w:tcPr>
            <w:tcW w:type="dxa" w:w="3191"/>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In-memory (lost on restart)</w:t>
            </w:r>
          </w:p>
        </w:tc>
        <w:tc>
          <w:tcPr>
            <w:tcW w:type="dxa" w:w="4042"/>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Redis Cluster (session persistence)</w:t>
            </w:r>
          </w:p>
        </w:tc>
      </w:tr>
      <w:tr>
        <w:tc>
          <w:tcPr>
            <w:tcW w:type="dxa" w:w="2127"/>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Message Architecture</w:t>
            </w:r>
          </w:p>
        </w:tc>
        <w:tc>
          <w:tcPr>
            <w:tcW w:type="dxa" w:w="3191"/>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Synchronous</w:t>
            </w:r>
          </w:p>
        </w:tc>
        <w:tc>
          <w:tcPr>
            <w:tcW w:type="dxa" w:w="4042"/>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Async (SQS/Kafka) with DLQ</w:t>
            </w:r>
          </w:p>
        </w:tc>
      </w:tr>
      <w:tr>
        <w:tc>
          <w:tcPr>
            <w:tcW w:type="dxa" w:w="2127"/>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Vector Store</w:t>
            </w:r>
          </w:p>
        </w:tc>
        <w:tc>
          <w:tcPr>
            <w:tcW w:type="dxa" w:w="3191"/>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Single Qdrant</w:t>
            </w:r>
          </w:p>
        </w:tc>
        <w:tc>
          <w:tcPr>
            <w:tcW w:type="dxa" w:w="4042"/>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Qdrant Cluster (3+ nodes, replication factor 2)</w:t>
            </w:r>
          </w:p>
        </w:tc>
      </w:tr>
      <w:tr>
        <w:tc>
          <w:tcPr>
            <w:tcW w:type="dxa" w:w="2127"/>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Availability Target</w:t>
            </w:r>
          </w:p>
        </w:tc>
        <w:tc>
          <w:tcPr>
            <w:tcW w:type="dxa" w:w="3191"/>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None defined</w:t>
            </w:r>
          </w:p>
        </w:tc>
        <w:tc>
          <w:tcPr>
            <w:tcW w:type="dxa" w:w="4042"/>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99.95% (Tier 2 financial system)</w:t>
            </w:r>
          </w:p>
        </w:tc>
      </w:tr>
      <w:tr>
        <w:tc>
          <w:tcPr>
            <w:tcW w:type="dxa" w:w="2127"/>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RPO / RTO</w:t>
            </w:r>
          </w:p>
        </w:tc>
        <w:tc>
          <w:tcPr>
            <w:tcW w:type="dxa" w:w="3191"/>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Undefined</w:t>
            </w:r>
          </w:p>
        </w:tc>
        <w:tc>
          <w:tcPr>
            <w:tcW w:type="dxa" w:w="4042"/>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RPO &lt; 1 hour, RTO &lt; 4 hours</w:t>
            </w:r>
          </w:p>
        </w:tc>
      </w:tr>
      <w:tr>
        <w:tc>
          <w:tcPr>
            <w:tcW w:type="dxa" w:w="2127"/>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Caching</w:t>
            </w:r>
          </w:p>
        </w:tc>
        <w:tc>
          <w:tcPr>
            <w:tcW w:type="dxa" w:w="3191"/>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None (except secrets)</w:t>
            </w:r>
          </w:p>
        </w:tc>
        <w:tc>
          <w:tcPr>
            <w:tcW w:type="dxa" w:w="4042"/>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Multi-layer (embedding, response, config)</w:t>
            </w:r>
          </w:p>
        </w:tc>
      </w:tr>
      <w:tr>
        <w:tc>
          <w:tcPr>
            <w:tcW w:type="dxa" w:w="2127"/>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Observability</w:t>
            </w:r>
          </w:p>
        </w:tc>
        <w:tc>
          <w:tcPr>
            <w:tcW w:type="dxa" w:w="3191"/>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Trace + audit</w:t>
            </w:r>
          </w:p>
        </w:tc>
        <w:tc>
          <w:tcPr>
            <w:tcW w:type="dxa" w:w="4042"/>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Full SRE: SLOs, error budgets, distributed tracing</w:t>
            </w:r>
          </w:p>
        </w:tc>
      </w:tr>
      <w:tr>
        <w:tc>
          <w:tcPr>
            <w:tcW w:type="dxa" w:w="2127"/>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Deployment Model</w:t>
            </w:r>
          </w:p>
        </w:tc>
        <w:tc>
          <w:tcPr>
            <w:tcW w:type="dxa" w:w="3191"/>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Manual</w:t>
            </w:r>
          </w:p>
        </w:tc>
        <w:tc>
          <w:tcPr>
            <w:tcW w:type="dxa" w:w="4042"/>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GitOps (ArgoCD/Flux) with canary rollout</w:t>
            </w:r>
          </w:p>
        </w:tc>
      </w:tr>
    </w:tbl>
    <w:p>
      <w:r>
        <w:br w:type="page"/>
      </w:r>
    </w:p>
    <w:p>
      <w:pPr>
        <w:pStyle w:val="Heading1"/>
        <w:spacing w:before="360" w:after="200"/>
      </w:pPr>
      <w:r>
        <w:rPr>
          <w:rFonts w:ascii="Arial" w:cs="Arial" w:eastAsia="Arial" w:hAnsi="Arial"/>
          <w:b/>
          <w:bCs/>
          <w:color w:val="1A237E"/>
          <w:sz w:val="36"/>
          <w:szCs w:val="36"/>
        </w:rPr>
        <w:t xml:space="preserve">2. High Availability Architecture</w:t>
      </w:r>
    </w:p>
    <w:p>
      <w:pPr>
        <w:spacing w:before="120" w:after="200"/>
        <w:jc w:val="center"/>
      </w:pPr>
      <w:r>
        <w:drawing>
          <wp:inline distT="0" distB="0" distL="0" distR="0">
            <wp:extent cx="5943600" cy="3467100"/>
            <wp:effectExtent t="0" r="0" b="0" l="0"/>
            <wp:docPr id="1" name="01_ha_architecture.png" descr="Architecture diagram: 01_ha_architecture.png" title="01_ha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467100"/>
                    </a:xfrm>
                    <a:prstGeom prst="rect">
                      <a:avLst/>
                    </a:prstGeom>
                  </pic:spPr>
                </pic:pic>
              </a:graphicData>
            </a:graphic>
          </wp:inline>
        </w:drawing>
      </w: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The HA architecture deploys all STC components across three AWS Availability Zones (AZs) within a single region. An Application Load Balancer (ALB) distributes incoming advisor requests across healthy Stalwart worker instances using round-robin routing with health checks every 10 seconds.</w:t>
      </w:r>
    </w:p>
    <w:p>
      <w:pPr>
        <w:spacing w:after="80"/>
      </w:pPr>
    </w:p>
    <w:p>
      <w:pPr>
        <w:spacing w:after="120"/>
      </w:pPr>
      <w:r>
        <w:rPr>
          <w:rFonts w:ascii="Arial" w:cs="Arial" w:eastAsia="Arial" w:hAnsi="Arial"/>
          <w:sz w:val="22"/>
          <w:szCs w:val="22"/>
        </w:rPr>
        <w:t xml:space="preserve">Within each AZ, the deployment includes: two Stalwart worker replicas (the query execution engine), two Critic validator replicas (the governance engine), a Sentinel Gateway instance (LLM routing and PII detection), and an Auth instance (Casbin RBAC). Data stores — Qdrant and Redis — run as StatefulSets with shards distributed across AZs. Qdrant uses replication factor 2, meaning each shard exists in at least two AZs. Redis runs as a 6-node cluster (3 primary + 3 replica) with cross-slot replication.</w:t>
      </w:r>
    </w:p>
    <w:p>
      <w:pPr>
        <w:spacing w:after="80"/>
      </w:pPr>
    </w:p>
    <w:p>
      <w:pPr>
        <w:spacing w:after="120"/>
      </w:pPr>
      <w:r>
        <w:rPr>
          <w:rFonts w:ascii="Arial" w:cs="Arial" w:eastAsia="Arial" w:hAnsi="Arial"/>
          <w:sz w:val="22"/>
          <w:szCs w:val="22"/>
        </w:rPr>
        <w:t xml:space="preserve">Shared services span all AZs: S3 provides 11-nines durability for the audit store, Langfuse runs on PostgreSQL with Multi-AZ RDS, Phoenix collects traces via an OTel Collector buffer, and the Trainer runs as a single-leader instance (active-passive) since optimization is periodic, not real-time. Vault runs as an HA cluster for secret management.</w:t>
      </w:r>
    </w:p>
    <w:p>
      <w:pPr>
        <w:spacing w:after="80"/>
      </w:pPr>
    </w:p>
    <w:p>
      <w:pPr>
        <w:spacing w:after="100"/>
      </w:pPr>
      <w:r>
        <w:rPr>
          <w:rFonts w:ascii="Arial" w:cs="Arial" w:eastAsia="Arial" w:hAnsi="Arial"/>
          <w:b/>
          <w:bCs/>
          <w:sz w:val="22"/>
          <w:szCs w:val="22"/>
        </w:rPr>
        <w:t xml:space="preserve">Fail-Closed Principle: </w:t>
      </w:r>
      <w:r>
        <w:rPr>
          <w:rFonts w:ascii="Arial" w:cs="Arial" w:eastAsia="Arial" w:hAnsi="Arial"/>
          <w:sz w:val="22"/>
          <w:szCs w:val="22"/>
        </w:rPr>
        <w:t xml:space="preserve">The most critical HA decision is the fail-closed enforcement. Before serving any response, the Stalwart actively verifies that at least one Critic replica is healthy (health check cached for 5 seconds). If no Critic is reachable, the Stalwart returns HTTP 503 rather than serving an unvalidated response. This ensures that governance is never bypassed, even during partial outages.</w:t>
      </w:r>
    </w:p>
    <w:p>
      <w:pPr>
        <w:spacing w:after="80"/>
      </w:pPr>
    </w:p>
    <w:p>
      <w:pPr>
        <w:spacing w:after="100"/>
      </w:pPr>
      <w:r>
        <w:rPr>
          <w:rFonts w:ascii="Arial" w:cs="Arial" w:eastAsia="Arial" w:hAnsi="Arial"/>
          <w:b/>
          <w:bCs/>
          <w:sz w:val="22"/>
          <w:szCs w:val="22"/>
        </w:rPr>
        <w:t xml:space="preserve">Zone Failure Handling: </w:t>
      </w:r>
      <w:r>
        <w:rPr>
          <w:rFonts w:ascii="Arial" w:cs="Arial" w:eastAsia="Arial" w:hAnsi="Arial"/>
          <w:sz w:val="22"/>
          <w:szCs w:val="22"/>
        </w:rPr>
        <w:t xml:space="preserve">If an entire AZ fails, the ALB detects unhealthy targets within 30 seconds and routes all traffic to the remaining two AZs. With 2/3 capacity remaining, the system continues serving at reduced throughput until the HPA scales up additional replicas in the healthy AZs. Pod anti-affinity rules ensure replicas are spread across AZs during normal operation.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80"/>
        <w:gridCol w:w="1920"/>
        <w:gridCol w:w="3360"/>
      </w:tblGrid>
      <w:tr>
        <w:trPr>
          <w:tblHeader/>
        </w:trPr>
        <w:tc>
          <w:tcPr>
            <w:tcW w:type="dxa" w:w="240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68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Availability Target</w:t>
            </w:r>
          </w:p>
        </w:tc>
        <w:tc>
          <w:tcPr>
            <w:tcW w:type="dxa" w:w="192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Replicas</w:t>
            </w:r>
          </w:p>
        </w:tc>
        <w:tc>
          <w:tcPr>
            <w:tcW w:type="dxa" w:w="336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Failover Time</w:t>
            </w:r>
          </w:p>
        </w:tc>
      </w:tr>
      <w:tr>
        <w:tc>
          <w:tcPr>
            <w:tcW w:type="dxa" w:w="240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Stalwart (query path)</w:t>
            </w:r>
          </w:p>
        </w:tc>
        <w:tc>
          <w:tcPr>
            <w:tcW w:type="dxa" w:w="168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99.95%</w:t>
            </w:r>
          </w:p>
        </w:tc>
        <w:tc>
          <w:tcPr>
            <w:tcW w:type="dxa" w:w="192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3–20 (HPA)</w:t>
            </w:r>
          </w:p>
        </w:tc>
        <w:tc>
          <w:tcPr>
            <w:tcW w:type="dxa" w:w="33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&lt; 5s (ALB health check)</w:t>
            </w:r>
          </w:p>
        </w:tc>
      </w:tr>
      <w:tr>
        <w:tc>
          <w:tcPr>
            <w:tcW w:type="dxa" w:w="240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Critic (governance)</w:t>
            </w:r>
          </w:p>
        </w:tc>
        <w:tc>
          <w:tcPr>
            <w:tcW w:type="dxa" w:w="168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99.95%</w:t>
            </w:r>
          </w:p>
        </w:tc>
        <w:tc>
          <w:tcPr>
            <w:tcW w:type="dxa" w:w="192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3–15 (HPA)</w:t>
            </w:r>
          </w:p>
        </w:tc>
        <w:tc>
          <w:tcPr>
            <w:tcW w:type="dxa" w:w="33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&lt; 5s</w:t>
            </w:r>
          </w:p>
        </w:tc>
      </w:tr>
      <w:tr>
        <w:tc>
          <w:tcPr>
            <w:tcW w:type="dxa" w:w="240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Sentinel (gateway)</w:t>
            </w:r>
          </w:p>
        </w:tc>
        <w:tc>
          <w:tcPr>
            <w:tcW w:type="dxa" w:w="168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99.99%</w:t>
            </w:r>
          </w:p>
        </w:tc>
        <w:tc>
          <w:tcPr>
            <w:tcW w:type="dxa" w:w="192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2–10 (HPA)</w:t>
            </w:r>
          </w:p>
        </w:tc>
        <w:tc>
          <w:tcPr>
            <w:tcW w:type="dxa" w:w="33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240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Trainer (optimization)</w:t>
            </w:r>
          </w:p>
        </w:tc>
        <w:tc>
          <w:tcPr>
            <w:tcW w:type="dxa" w:w="168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99.9%</w:t>
            </w:r>
          </w:p>
        </w:tc>
        <w:tc>
          <w:tcPr>
            <w:tcW w:type="dxa" w:w="192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1 active + 1 standby</w:t>
            </w:r>
          </w:p>
        </w:tc>
        <w:tc>
          <w:tcPr>
            <w:tcW w:type="dxa" w:w="33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&lt; 60s</w:t>
            </w:r>
          </w:p>
        </w:tc>
      </w:tr>
      <w:tr>
        <w:tc>
          <w:tcPr>
            <w:tcW w:type="dxa" w:w="240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Qdrant</w:t>
            </w:r>
          </w:p>
        </w:tc>
        <w:tc>
          <w:tcPr>
            <w:tcW w:type="dxa" w:w="168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99.95%</w:t>
            </w:r>
          </w:p>
        </w:tc>
        <w:tc>
          <w:tcPr>
            <w:tcW w:type="dxa" w:w="192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3–9 (cluster)</w:t>
            </w:r>
          </w:p>
        </w:tc>
        <w:tc>
          <w:tcPr>
            <w:tcW w:type="dxa" w:w="33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&lt; 30s (shard failover)</w:t>
            </w:r>
          </w:p>
        </w:tc>
      </w:tr>
      <w:tr>
        <w:tc>
          <w:tcPr>
            <w:tcW w:type="dxa" w:w="240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Redis</w:t>
            </w:r>
          </w:p>
        </w:tc>
        <w:tc>
          <w:tcPr>
            <w:tcW w:type="dxa" w:w="168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99.99%</w:t>
            </w:r>
          </w:p>
        </w:tc>
        <w:tc>
          <w:tcPr>
            <w:tcW w:type="dxa" w:w="192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6–12 (cluster)</w:t>
            </w:r>
          </w:p>
        </w:tc>
        <w:tc>
          <w:tcPr>
            <w:tcW w:type="dxa" w:w="33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&lt; 10s (replica promotion)</w:t>
            </w:r>
          </w:p>
        </w:tc>
      </w:tr>
    </w:tbl>
    <w:p>
      <w:r>
        <w:br w:type="page"/>
      </w:r>
    </w:p>
    <w:p>
      <w:pPr>
        <w:pStyle w:val="Heading1"/>
        <w:spacing w:before="360" w:after="200"/>
      </w:pPr>
      <w:r>
        <w:rPr>
          <w:rFonts w:ascii="Arial" w:cs="Arial" w:eastAsia="Arial" w:hAnsi="Arial"/>
          <w:b/>
          <w:bCs/>
          <w:color w:val="1A237E"/>
          <w:sz w:val="36"/>
          <w:szCs w:val="36"/>
        </w:rPr>
        <w:t xml:space="preserve">3. Horizontal Scalability</w:t>
      </w:r>
    </w:p>
    <w:p>
      <w:pPr>
        <w:spacing w:before="120" w:after="200"/>
        <w:jc w:val="center"/>
      </w:pPr>
      <w:r>
        <w:drawing>
          <wp:inline distT="0" distB="0" distL="0" distR="0">
            <wp:extent cx="5943600" cy="2971800"/>
            <wp:effectExtent t="0" r="0" b="0" l="0"/>
            <wp:docPr id="1" name="02_scalability.png" descr="Architecture diagram: 02_scalability.png" title="02_scal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971800"/>
                    </a:xfrm>
                    <a:prstGeom prst="rect">
                      <a:avLst/>
                    </a:prstGeom>
                  </pic:spPr>
                </pic:pic>
              </a:graphicData>
            </a:graphic>
          </wp:inline>
        </w:drawing>
      </w: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The scalability architecture decomposes the Stalwart into a pool of stateless workers behind the ALB. Each worker runs the complete LangGraph agent pipeline independently. The key enabler is externalizing all session state to Redis — conversation context, surrogate token maps, cost counters, and rate limiters all live in Redis, keyed by session ID. This means any worker can handle any request for any session, enabling true horizontal scaling.</w:t>
      </w:r>
    </w:p>
    <w:p>
      <w:pPr>
        <w:spacing w:after="80"/>
      </w:pPr>
    </w:p>
    <w:p>
      <w:pPr>
        <w:spacing w:after="100"/>
      </w:pPr>
      <w:r>
        <w:rPr>
          <w:rFonts w:ascii="Arial" w:cs="Arial" w:eastAsia="Arial" w:hAnsi="Arial"/>
          <w:b/>
          <w:bCs/>
          <w:sz w:val="22"/>
          <w:szCs w:val="22"/>
        </w:rPr>
        <w:t xml:space="preserve">Request Flow: </w:t>
      </w:r>
      <w:r>
        <w:rPr>
          <w:rFonts w:ascii="Arial" w:cs="Arial" w:eastAsia="Arial" w:hAnsi="Arial"/>
          <w:sz w:val="22"/>
          <w:szCs w:val="22"/>
        </w:rPr>
        <w:t xml:space="preserve">An advisor sends a query → ALB routes to any healthy Stalwart worker → worker loads session state from Redis (conversation history, token map) → worker executes the full pipeline (Firewall → PII → Retrieval → LLM → Critic) → worker saves updated state back to Redis → worker returns response. If the worker crashes mid-request, the session state in Redis survives and the next request is handled by any other worker.</w:t>
      </w:r>
    </w:p>
    <w:p>
      <w:pPr>
        <w:spacing w:after="80"/>
      </w:pPr>
    </w:p>
    <w:p>
      <w:pPr>
        <w:spacing w:after="100"/>
      </w:pPr>
      <w:r>
        <w:rPr>
          <w:rFonts w:ascii="Arial" w:cs="Arial" w:eastAsia="Arial" w:hAnsi="Arial"/>
          <w:b/>
          <w:bCs/>
          <w:sz w:val="22"/>
          <w:szCs w:val="22"/>
        </w:rPr>
        <w:t xml:space="preserve">Auto-Scaling: </w:t>
      </w:r>
      <w:r>
        <w:rPr>
          <w:rFonts w:ascii="Arial" w:cs="Arial" w:eastAsia="Arial" w:hAnsi="Arial"/>
          <w:sz w:val="22"/>
          <w:szCs w:val="22"/>
        </w:rPr>
        <w:t xml:space="preserve">The Horizontal Pod Autoscaler (HPA) monitors CPU utilization across the Stalwart pool. When average CPU exceeds 70%, HPA launches additional pods. Scale-up takes under 60 seconds (pod scheduling + container start + readiness check). The minimum is 3 replicas (one per AZ); maximum is 20 (governed by node capacity and budget).</w:t>
      </w:r>
    </w:p>
    <w:p>
      <w:pPr>
        <w:spacing w:after="80"/>
      </w:pPr>
    </w:p>
    <w:p>
      <w:pPr>
        <w:spacing w:after="100"/>
      </w:pPr>
      <w:r>
        <w:rPr>
          <w:rFonts w:ascii="Arial" w:cs="Arial" w:eastAsia="Arial" w:hAnsi="Arial"/>
          <w:b/>
          <w:bCs/>
          <w:sz w:val="22"/>
          <w:szCs w:val="22"/>
        </w:rPr>
        <w:t xml:space="preserve">Critic Scaling: </w:t>
      </w:r>
      <w:r>
        <w:rPr>
          <w:rFonts w:ascii="Arial" w:cs="Arial" w:eastAsia="Arial" w:hAnsi="Arial"/>
          <w:sz w:val="22"/>
          <w:szCs w:val="22"/>
        </w:rPr>
        <w:t xml:space="preserve">The Critic pool scales proportionally with the Stalwart because every Stalwart response requires a Critic validation. The Critic HPA targets are calibrated to maintain 1 Critic per 1.5 Stalwart workers. The Sentinel Gateway also scales independently based on requests-per-second, since it handles pre-processing (PII, classification) before the request reaches the Stalwart.</w:t>
      </w:r>
    </w:p>
    <w:p>
      <w:pPr>
        <w:spacing w:after="80"/>
      </w:pPr>
    </w:p>
    <w:p>
      <w:pPr>
        <w:spacing w:after="100"/>
      </w:pPr>
      <w:r>
        <w:rPr>
          <w:rFonts w:ascii="Arial" w:cs="Arial" w:eastAsia="Arial" w:hAnsi="Arial"/>
          <w:b/>
          <w:bCs/>
          <w:sz w:val="22"/>
          <w:szCs w:val="22"/>
        </w:rPr>
        <w:t xml:space="preserve">Capacity Model: </w:t>
      </w:r>
      <w:r>
        <w:rPr>
          <w:rFonts w:ascii="Arial" w:cs="Arial" w:eastAsia="Arial" w:hAnsi="Arial"/>
          <w:sz w:val="22"/>
          <w:szCs w:val="22"/>
        </w:rPr>
        <w:t xml:space="preserve">At baseline load (100 concurrent advisors), 3–5 Stalwart workers handle the traffic with p99 &lt; 10 seconds. At peak (500 concurrent), the pool scales to 10–15 workers. Each worker requires 500m–2 CPU and 512Mi–2Gi RAM, so peak capacity is approximately 10 GiB RAM across 15 workers, fitting on 4 m6i.xlarge nodes (4 vCPU, 16 GB each).</w:t>
      </w:r>
    </w:p>
    <w:p>
      <w:r>
        <w:br w:type="page"/>
      </w:r>
    </w:p>
    <w:p>
      <w:pPr>
        <w:pStyle w:val="Heading1"/>
        <w:spacing w:before="360" w:after="200"/>
      </w:pPr>
      <w:r>
        <w:rPr>
          <w:rFonts w:ascii="Arial" w:cs="Arial" w:eastAsia="Arial" w:hAnsi="Arial"/>
          <w:b/>
          <w:bCs/>
          <w:color w:val="1A237E"/>
          <w:sz w:val="36"/>
          <w:szCs w:val="36"/>
        </w:rPr>
        <w:t xml:space="preserve">4. State Management &amp; Session Persistence</w:t>
      </w:r>
    </w:p>
    <w:p>
      <w:pPr>
        <w:spacing w:after="120"/>
      </w:pPr>
      <w:r>
        <w:rPr>
          <w:rFonts w:ascii="Arial" w:cs="Arial" w:eastAsia="Arial" w:hAnsi="Arial"/>
          <w:sz w:val="22"/>
          <w:szCs w:val="22"/>
        </w:rPr>
        <w:t xml:space="preserve">The Redis Cluster serves as the centralized state store, replacing in-memory state from the reference implementation. All state keys follow a hierarchical namespace for isolation and TTL management.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360"/>
        <w:gridCol w:w="1440"/>
        <w:gridCol w:w="2400"/>
      </w:tblGrid>
      <w:tr>
        <w:trPr>
          <w:tblHeader/>
        </w:trPr>
        <w:tc>
          <w:tcPr>
            <w:tcW w:type="dxa" w:w="216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State Type</w:t>
            </w:r>
          </w:p>
        </w:tc>
        <w:tc>
          <w:tcPr>
            <w:tcW w:type="dxa" w:w="336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Redis Key Pattern</w:t>
            </w:r>
          </w:p>
        </w:tc>
        <w:tc>
          <w:tcPr>
            <w:tcW w:type="dxa" w:w="144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TTL</w:t>
            </w:r>
          </w:p>
        </w:tc>
        <w:tc>
          <w:tcPr>
            <w:tcW w:type="dxa" w:w="240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Consistency</w:t>
            </w:r>
          </w:p>
        </w:tc>
      </w:tr>
      <w:tr>
        <w:tc>
          <w:tcPr>
            <w:tcW w:type="dxa" w:w="21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Conversation context</w:t>
            </w:r>
          </w:p>
        </w:tc>
        <w:tc>
          <w:tcPr>
            <w:tcW w:type="dxa" w:w="33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stc:session:{id}:context</w:t>
            </w:r>
          </w:p>
        </w:tc>
        <w:tc>
          <w:tcPr>
            <w:tcW w:type="dxa" w:w="144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30 min idle</w:t>
            </w:r>
          </w:p>
        </w:tc>
        <w:tc>
          <w:tcPr>
            <w:tcW w:type="dxa" w:w="240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Eventual (single writer)</w:t>
            </w:r>
          </w:p>
        </w:tc>
      </w:tr>
      <w:tr>
        <w:tc>
          <w:tcPr>
            <w:tcW w:type="dxa" w:w="21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Surrogate token map</w:t>
            </w:r>
          </w:p>
        </w:tc>
        <w:tc>
          <w:tcPr>
            <w:tcW w:type="dxa" w:w="33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stc:session:{id}:tokens</w:t>
            </w:r>
          </w:p>
        </w:tc>
        <w:tc>
          <w:tcPr>
            <w:tcW w:type="dxa" w:w="144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Session lifetime</w:t>
            </w:r>
          </w:p>
        </w:tc>
        <w:tc>
          <w:tcPr>
            <w:tcW w:type="dxa" w:w="240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Strong (single writer)</w:t>
            </w:r>
          </w:p>
        </w:tc>
      </w:tr>
      <w:tr>
        <w:tc>
          <w:tcPr>
            <w:tcW w:type="dxa" w:w="21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Daily cost counter</w:t>
            </w:r>
          </w:p>
        </w:tc>
        <w:tc>
          <w:tcPr>
            <w:tcW w:type="dxa" w:w="33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stc:cost:{date}:{persona}</w:t>
            </w:r>
          </w:p>
        </w:tc>
        <w:tc>
          <w:tcPr>
            <w:tcW w:type="dxa" w:w="144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48 hours</w:t>
            </w:r>
          </w:p>
        </w:tc>
        <w:tc>
          <w:tcPr>
            <w:tcW w:type="dxa" w:w="240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Strong (Redis INCR atomic)</w:t>
            </w:r>
          </w:p>
        </w:tc>
      </w:tr>
      <w:tr>
        <w:tc>
          <w:tcPr>
            <w:tcW w:type="dxa" w:w="21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Rate limiter</w:t>
            </w:r>
          </w:p>
        </w:tc>
        <w:tc>
          <w:tcPr>
            <w:tcW w:type="dxa" w:w="33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stc:rate:{persona}:{window}</w:t>
            </w:r>
          </w:p>
        </w:tc>
        <w:tc>
          <w:tcPr>
            <w:tcW w:type="dxa" w:w="144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2 minutes</w:t>
            </w:r>
          </w:p>
        </w:tc>
        <w:tc>
          <w:tcPr>
            <w:tcW w:type="dxa" w:w="240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Strong (Redis INCR atomic)</w:t>
            </w:r>
          </w:p>
        </w:tc>
      </w:tr>
      <w:tr>
        <w:tc>
          <w:tcPr>
            <w:tcW w:type="dxa" w:w="21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Circuit breaker state</w:t>
            </w:r>
          </w:p>
        </w:tc>
        <w:tc>
          <w:tcPr>
            <w:tcW w:type="dxa" w:w="33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stc:circuit:{dependency}</w:t>
            </w:r>
          </w:p>
        </w:tc>
        <w:tc>
          <w:tcPr>
            <w:tcW w:type="dxa" w:w="144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Until reset</w:t>
            </w:r>
          </w:p>
        </w:tc>
        <w:tc>
          <w:tcPr>
            <w:tcW w:type="dxa" w:w="240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Strong (atomic SET)</w:t>
            </w:r>
          </w:p>
        </w:tc>
      </w:tr>
      <w:tr>
        <w:tc>
          <w:tcPr>
            <w:tcW w:type="dxa" w:w="21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Embedding cache</w:t>
            </w:r>
          </w:p>
        </w:tc>
        <w:tc>
          <w:tcPr>
            <w:tcW w:type="dxa" w:w="33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stc:cache:embedding:{hash}</w:t>
            </w:r>
          </w:p>
        </w:tc>
        <w:tc>
          <w:tcPr>
            <w:tcW w:type="dxa" w:w="144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24 hours</w:t>
            </w:r>
          </w:p>
        </w:tc>
        <w:tc>
          <w:tcPr>
            <w:tcW w:type="dxa" w:w="240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Eventual (cache aside)</w:t>
            </w:r>
          </w:p>
        </w:tc>
      </w:tr>
      <w:tr>
        <w:tc>
          <w:tcPr>
            <w:tcW w:type="dxa" w:w="21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Response cache</w:t>
            </w:r>
          </w:p>
        </w:tc>
        <w:tc>
          <w:tcPr>
            <w:tcW w:type="dxa" w:w="336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stc:cache:response:{hash}</w:t>
            </w:r>
          </w:p>
        </w:tc>
        <w:tc>
          <w:tcPr>
            <w:tcW w:type="dxa" w:w="144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1 hour</w:t>
            </w:r>
          </w:p>
        </w:tc>
        <w:tc>
          <w:tcPr>
            <w:tcW w:type="dxa" w:w="240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Eventual (cache aside)</w:t>
            </w:r>
          </w:p>
        </w:tc>
      </w:tr>
      <w:tr>
        <w:tc>
          <w:tcPr>
            <w:tcW w:type="dxa" w:w="21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Trainer optimization</w:t>
            </w:r>
          </w:p>
        </w:tc>
        <w:tc>
          <w:tcPr>
            <w:tcW w:type="dxa" w:w="336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stc:trainer:{run_id}</w:t>
            </w:r>
          </w:p>
        </w:tc>
        <w:tc>
          <w:tcPr>
            <w:tcW w:type="dxa" w:w="144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Until complete</w:t>
            </w:r>
          </w:p>
        </w:tc>
        <w:tc>
          <w:tcPr>
            <w:tcW w:type="dxa" w:w="240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Strong (leader only)</w:t>
            </w:r>
          </w:p>
        </w:tc>
      </w:tr>
    </w:tbl>
    <w:p>
      <w:pPr>
        <w:spacing w:after="80"/>
      </w:pP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Redis Cluster runs 6 nodes (3 primary + 3 replica) across 3 AZs. Key hashing distributes data across primary shards. Each primary has a replica in a different AZ for automatic failover. Session keys use the session_id as the hash tag (wrapped in curly braces in the key pattern), ensuring all data for a single session lands on the same shard for atomic operations.</w:t>
      </w:r>
    </w:p>
    <w:p>
      <w:pPr>
        <w:spacing w:after="80"/>
      </w:pPr>
    </w:p>
    <w:p>
      <w:pPr>
        <w:spacing w:after="120"/>
      </w:pPr>
      <w:r>
        <w:rPr>
          <w:rFonts w:ascii="Arial" w:cs="Arial" w:eastAsia="Arial" w:hAnsi="Arial"/>
          <w:sz w:val="22"/>
          <w:szCs w:val="22"/>
        </w:rPr>
        <w:t xml:space="preserve">Cost counters use Redis INCR, which is atomic — even under concurrent access from multiple Stalwart workers, the daily cost is always accurate. Rate limiters use a sliding window algorithm: each minute gets a separate counter key that auto-expires after 2 minutes. The circuit breaker state is shared across all workers via Redis, so when one worker detects a dependency failure and opens the circuit, all workers immediately see the state change.</w:t>
      </w:r>
    </w:p>
    <w:p>
      <w:r>
        <w:br w:type="page"/>
      </w:r>
    </w:p>
    <w:p>
      <w:pPr>
        <w:pStyle w:val="Heading1"/>
        <w:spacing w:before="360" w:after="200"/>
      </w:pPr>
      <w:r>
        <w:rPr>
          <w:rFonts w:ascii="Arial" w:cs="Arial" w:eastAsia="Arial" w:hAnsi="Arial"/>
          <w:b/>
          <w:bCs/>
          <w:color w:val="1A237E"/>
          <w:sz w:val="36"/>
          <w:szCs w:val="36"/>
        </w:rPr>
        <w:t xml:space="preserve">5. Resilience Patterns</w:t>
      </w:r>
    </w:p>
    <w:p>
      <w:pPr>
        <w:spacing w:before="120" w:after="200"/>
        <w:jc w:val="center"/>
      </w:pPr>
      <w:r>
        <w:drawing>
          <wp:inline distT="0" distB="0" distL="0" distR="0">
            <wp:extent cx="5943600" cy="2724150"/>
            <wp:effectExtent t="0" r="0" b="0" l="0"/>
            <wp:docPr id="1" name="03_resilience.png" descr="Architecture diagram: 03_resilience.png" title="03_resili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24150"/>
                    </a:xfrm>
                    <a:prstGeom prst="rect">
                      <a:avLst/>
                    </a:prstGeom>
                  </pic:spPr>
                </pic:pic>
              </a:graphicData>
            </a:graphic>
          </wp:inline>
        </w:drawing>
      </w: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The resilience architecture wraps every external dependency call in four concentric protection layers, from outermost to innermost:</w:t>
      </w:r>
    </w:p>
    <w:p>
      <w:pPr>
        <w:spacing w:after="80"/>
      </w:pPr>
    </w:p>
    <w:p>
      <w:pPr>
        <w:spacing w:after="100"/>
      </w:pPr>
      <w:r>
        <w:rPr>
          <w:rFonts w:ascii="Arial" w:cs="Arial" w:eastAsia="Arial" w:hAnsi="Arial"/>
          <w:b/>
          <w:bCs/>
          <w:sz w:val="22"/>
          <w:szCs w:val="22"/>
        </w:rPr>
        <w:t xml:space="preserve">1. Circuit Breaker (outermost): </w:t>
      </w:r>
      <w:r>
        <w:rPr>
          <w:rFonts w:ascii="Arial" w:cs="Arial" w:eastAsia="Arial" w:hAnsi="Arial"/>
          <w:sz w:val="22"/>
          <w:szCs w:val="22"/>
        </w:rPr>
        <w:t xml:space="preserve">Monitors failure rates per dependency. When failures exceed the threshold (e.g., 3 failures in 30 seconds for Qdrant), the circuit opens and all subsequent calls are immediately rejected with a fallback response, avoiding wasted time and resources on a known-broken dependency. After the open duration (e.g., 15 seconds for Qdrant), the circuit transitions to half-open and allows a single probe request. If the probe succeeds, the circuit closes and normal operation resumes.</w:t>
      </w:r>
    </w:p>
    <w:p>
      <w:pPr>
        <w:spacing w:after="80"/>
      </w:pPr>
    </w:p>
    <w:p>
      <w:pPr>
        <w:spacing w:after="100"/>
      </w:pPr>
      <w:r>
        <w:rPr>
          <w:rFonts w:ascii="Arial" w:cs="Arial" w:eastAsia="Arial" w:hAnsi="Arial"/>
          <w:b/>
          <w:bCs/>
          <w:sz w:val="22"/>
          <w:szCs w:val="22"/>
        </w:rPr>
        <w:t xml:space="preserve">2. Bulkhead: </w:t>
      </w:r>
      <w:r>
        <w:rPr>
          <w:rFonts w:ascii="Arial" w:cs="Arial" w:eastAsia="Arial" w:hAnsi="Arial"/>
          <w:sz w:val="22"/>
          <w:szCs w:val="22"/>
        </w:rPr>
        <w:t xml:space="preserve">Limits the number of concurrent calls to each dependency using a semaphore. For example, the Qdrant bulkhead allows maximum 50 concurrent vector searches. If all 50 slots are occupied and a 51st request arrives, it either waits in a queue (up to 100 queued) or is rejected immediately if the queue is full. This prevents one slow dependency from consuming all available worker threads.</w:t>
      </w:r>
    </w:p>
    <w:p>
      <w:pPr>
        <w:spacing w:after="80"/>
      </w:pPr>
    </w:p>
    <w:p>
      <w:pPr>
        <w:spacing w:after="100"/>
      </w:pPr>
      <w:r>
        <w:rPr>
          <w:rFonts w:ascii="Arial" w:cs="Arial" w:eastAsia="Arial" w:hAnsi="Arial"/>
          <w:b/>
          <w:bCs/>
          <w:sz w:val="22"/>
          <w:szCs w:val="22"/>
        </w:rPr>
        <w:t xml:space="preserve">3. Retry: </w:t>
      </w:r>
      <w:r>
        <w:rPr>
          <w:rFonts w:ascii="Arial" w:cs="Arial" w:eastAsia="Arial" w:hAnsi="Arial"/>
          <w:sz w:val="22"/>
          <w:szCs w:val="22"/>
        </w:rPr>
        <w:t xml:space="preserve">If a call fails with a transient error (e.g., network timeout), the retry policy automatically retries with exponential backoff plus jitter. For LLM calls: 3 retries with delays of approximately 1s, 2s, 4s (randomized ±50%). For Redis: 2 retries with 100ms delay. Jitter prevents thundering herd problems when multiple workers retry simultaneously.</w:t>
      </w:r>
    </w:p>
    <w:p>
      <w:pPr>
        <w:spacing w:after="80"/>
      </w:pPr>
    </w:p>
    <w:p>
      <w:pPr>
        <w:spacing w:after="100"/>
      </w:pPr>
      <w:r>
        <w:rPr>
          <w:rFonts w:ascii="Arial" w:cs="Arial" w:eastAsia="Arial" w:hAnsi="Arial"/>
          <w:b/>
          <w:bCs/>
          <w:sz w:val="22"/>
          <w:szCs w:val="22"/>
        </w:rPr>
        <w:t xml:space="preserve">4. Timeout (innermost): </w:t>
      </w:r>
      <w:r>
        <w:rPr>
          <w:rFonts w:ascii="Arial" w:cs="Arial" w:eastAsia="Arial" w:hAnsi="Arial"/>
          <w:sz w:val="22"/>
          <w:szCs w:val="22"/>
        </w:rPr>
        <w:t xml:space="preserve">Every operation has a strict timeout that prevents indefinite waiting. The timeout hierarchy is layered: Redis must respond in 100ms (cache miss is acceptable), PII scanning in 500ms, embedding in 2 seconds, vector search in 3 seconds, Critic validation in 5 seconds, and LLM generation in 30 seconds. The total request timeout is 45 seconds.</w:t>
      </w:r>
    </w:p>
    <w:p>
      <w:pPr>
        <w:spacing w:after="80"/>
      </w:pPr>
    </w:p>
    <w:p>
      <w:pPr>
        <w:spacing w:after="100"/>
      </w:pPr>
      <w:r>
        <w:rPr>
          <w:rFonts w:ascii="Arial" w:cs="Arial" w:eastAsia="Arial" w:hAnsi="Arial"/>
          <w:b/>
          <w:bCs/>
          <w:sz w:val="22"/>
          <w:szCs w:val="22"/>
        </w:rPr>
        <w:t xml:space="preserve">Fallback Chain: </w:t>
      </w:r>
      <w:r>
        <w:rPr>
          <w:rFonts w:ascii="Arial" w:cs="Arial" w:eastAsia="Arial" w:hAnsi="Arial"/>
          <w:sz w:val="22"/>
          <w:szCs w:val="22"/>
        </w:rPr>
        <w:t xml:space="preserve">When the circuit breaker opens for the primary LLM provider, the system activates the fallback chain: Anthropic (primary) → AWS Bedrock (secondary) → local Ollama (tertiary) → degraded response (no LLM context). Each step in the chain has its own circuit breaker. The fallback preserves data sovereignty: restricted-tier data will never fall back to an external provider.</w:t>
      </w:r>
    </w:p>
    <w:p>
      <w:r>
        <w:br w:type="page"/>
      </w:r>
    </w:p>
    <w:p>
      <w:pPr>
        <w:pStyle w:val="Heading1"/>
        <w:spacing w:before="360" w:after="200"/>
      </w:pPr>
      <w:r>
        <w:rPr>
          <w:rFonts w:ascii="Arial" w:cs="Arial" w:eastAsia="Arial" w:hAnsi="Arial"/>
          <w:b/>
          <w:bCs/>
          <w:color w:val="1A237E"/>
          <w:sz w:val="36"/>
          <w:szCs w:val="36"/>
        </w:rPr>
        <w:t xml:space="preserve">6. Asynchronous Processing</w:t>
      </w:r>
    </w:p>
    <w:p>
      <w:pPr>
        <w:spacing w:before="120" w:after="200"/>
        <w:jc w:val="center"/>
      </w:pPr>
      <w:r>
        <w:drawing>
          <wp:inline distT="0" distB="0" distL="0" distR="0">
            <wp:extent cx="5943600" cy="2724150"/>
            <wp:effectExtent t="0" r="0" b="0" l="0"/>
            <wp:docPr id="1" name="04_async_queues.png" descr="Architecture diagram: 04_async_queues.png" title="04_async_queu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724150"/>
                    </a:xfrm>
                    <a:prstGeom prst="rect">
                      <a:avLst/>
                    </a:prstGeom>
                  </pic:spPr>
                </pic:pic>
              </a:graphicData>
            </a:graphic>
          </wp:inline>
        </w:drawing>
      </w: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The architecture supports two request modes. The synchronous path (default for interactive queries) provides sub-10-second response times through the direct HTTP pipeline: Advisor → ALB → Stalwart → Critic → Response. The asynchronous path (for batch processing and report generation) decouples request submission from processing using SQS FIFO queues with per-session ordering.</w:t>
      </w:r>
    </w:p>
    <w:p>
      <w:pPr>
        <w:spacing w:after="80"/>
      </w:pPr>
    </w:p>
    <w:p>
      <w:pPr>
        <w:spacing w:after="120"/>
      </w:pPr>
      <w:r>
        <w:rPr>
          <w:rFonts w:ascii="Arial" w:cs="Arial" w:eastAsia="Arial" w:hAnsi="Arial"/>
          <w:sz w:val="22"/>
          <w:szCs w:val="22"/>
        </w:rPr>
        <w:t xml:space="preserve">Four event queues decouple non-critical processing from the request path. The audit queue receives events from all components and writes them to S3 — this means audit writing never adds latency to the user request. The optimization queue triggers the Trainer when Critic metrics indicate potential for improvement. The alert queue fans out via SNS to Slack, PagerDuty, and the alert processor. The trace queue buffers OTel spans for Phoenix ingestion.</w:t>
      </w:r>
    </w:p>
    <w:p>
      <w:pPr>
        <w:spacing w:after="80"/>
      </w:pPr>
    </w:p>
    <w:p>
      <w:pPr>
        <w:spacing w:after="100"/>
      </w:pPr>
      <w:r>
        <w:rPr>
          <w:rFonts w:ascii="Arial" w:cs="Arial" w:eastAsia="Arial" w:hAnsi="Arial"/>
          <w:b/>
          <w:bCs/>
          <w:sz w:val="22"/>
          <w:szCs w:val="22"/>
        </w:rPr>
        <w:t xml:space="preserve">Dead Letter Queues: </w:t>
      </w:r>
      <w:r>
        <w:rPr>
          <w:rFonts w:ascii="Arial" w:cs="Arial" w:eastAsia="Arial" w:hAnsi="Arial"/>
          <w:sz w:val="22"/>
          <w:szCs w:val="22"/>
        </w:rPr>
        <w:t xml:space="preserve">Every queue has a DLQ that catches messages failing after 3 retry attempts. DLQ depth &gt; 0 triggers a CloudWatch alarm. Audit DLQ messages are treated as SEV-2 exceptions because they represent potential gaps in the compliance record. The operations team investigates DLQ messages, reprocesses or discards them after root cause analysis.</w:t>
      </w:r>
    </w:p>
    <w:p>
      <w:r>
        <w:br w:type="page"/>
      </w:r>
    </w:p>
    <w:p>
      <w:pPr>
        <w:pStyle w:val="Heading1"/>
        <w:spacing w:before="360" w:after="200"/>
      </w:pPr>
      <w:r>
        <w:rPr>
          <w:rFonts w:ascii="Arial" w:cs="Arial" w:eastAsia="Arial" w:hAnsi="Arial"/>
          <w:b/>
          <w:bCs/>
          <w:color w:val="1A237E"/>
          <w:sz w:val="36"/>
          <w:szCs w:val="36"/>
        </w:rPr>
        <w:t xml:space="preserve">7. Caching Strategy</w:t>
      </w:r>
    </w:p>
    <w:p>
      <w:pPr>
        <w:spacing w:before="120" w:after="200"/>
        <w:jc w:val="center"/>
      </w:pPr>
      <w:r>
        <w:drawing>
          <wp:inline distT="0" distB="0" distL="0" distR="0">
            <wp:extent cx="5943600" cy="2228850"/>
            <wp:effectExtent t="0" r="0" b="0" l="0"/>
            <wp:docPr id="1" name="05_caching.png" descr="Architecture diagram: 05_caching.png" title="05_cac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28850"/>
                    </a:xfrm>
                    <a:prstGeom prst="rect">
                      <a:avLst/>
                    </a:prstGeom>
                  </pic:spPr>
                </pic:pic>
              </a:graphicData>
            </a:graphic>
          </wp:inline>
        </w:drawing>
      </w: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The caching architecture operates at four levels, from fastest to slowest. The config cache is local to each pod and holds the parsed Declarative Specification and Casbin policy — this never misses after initial load and is invalidated only when the ConfigMap changes. The response cache in Redis stores complete LLM responses keyed by SHA-256 of (query + context + model), providing ~30% hit rate for common advisory questions.</w:t>
      </w:r>
    </w:p>
    <w:p>
      <w:pPr>
        <w:spacing w:after="80"/>
      </w:pPr>
    </w:p>
    <w:p>
      <w:pPr>
        <w:spacing w:after="120"/>
      </w:pPr>
      <w:r>
        <w:rPr>
          <w:rFonts w:ascii="Arial" w:cs="Arial" w:eastAsia="Arial" w:hAnsi="Arial"/>
          <w:sz w:val="22"/>
          <w:szCs w:val="22"/>
        </w:rPr>
        <w:t xml:space="preserve">The embedding cache stores computed document embedding vectors in Redis, keyed by SHA-256 of the input text. Since the same document chunks produce the same embeddings, this achieves ~80% hit rate and avoids redundant embedding model inference. The health check cache stores the Critic availability status for 5 seconds, preventing excessive health check traffic.</w:t>
      </w:r>
    </w:p>
    <w:p>
      <w:pPr>
        <w:spacing w:after="80"/>
      </w:pPr>
    </w:p>
    <w:p>
      <w:pPr>
        <w:spacing w:after="100"/>
      </w:pPr>
      <w:r>
        <w:rPr>
          <w:rFonts w:ascii="Arial" w:cs="Arial" w:eastAsia="Arial" w:hAnsi="Arial"/>
          <w:b/>
          <w:bCs/>
          <w:sz w:val="22"/>
          <w:szCs w:val="22"/>
        </w:rPr>
        <w:t xml:space="preserve">Cache Coherency: </w:t>
      </w:r>
      <w:r>
        <w:rPr>
          <w:rFonts w:ascii="Arial" w:cs="Arial" w:eastAsia="Arial" w:hAnsi="Arial"/>
          <w:sz w:val="22"/>
          <w:szCs w:val="22"/>
        </w:rPr>
        <w:t xml:space="preserve">The response cache uses a conservative invalidation strategy: any change to model selection, Declarative Specification, or document corpus invalidates the entire response cache. This is acceptable because cache misses simply execute the full pipeline (the default behavior). A Redis pub/sub channel broadcasts invalidation events to all Stalwart workers, ensuring stale responses are never served.</w:t>
      </w:r>
    </w:p>
    <w:p>
      <w:r>
        <w:br w:type="page"/>
      </w:r>
    </w:p>
    <w:p>
      <w:pPr>
        <w:pStyle w:val="Heading1"/>
        <w:spacing w:before="360" w:after="200"/>
      </w:pPr>
      <w:r>
        <w:rPr>
          <w:rFonts w:ascii="Arial" w:cs="Arial" w:eastAsia="Arial" w:hAnsi="Arial"/>
          <w:b/>
          <w:bCs/>
          <w:color w:val="1A237E"/>
          <w:sz w:val="36"/>
          <w:szCs w:val="36"/>
        </w:rPr>
        <w:t xml:space="preserve">8. Multi-Region Disaster Recovery</w:t>
      </w:r>
    </w:p>
    <w:p>
      <w:pPr>
        <w:spacing w:before="120" w:after="200"/>
        <w:jc w:val="center"/>
      </w:pPr>
      <w:r>
        <w:drawing>
          <wp:inline distT="0" distB="0" distL="0" distR="0">
            <wp:extent cx="5943600" cy="2476500"/>
            <wp:effectExtent t="0" r="0" b="0" l="0"/>
            <wp:docPr id="1" name="06_multi_region_dr.png" descr="Architecture diagram: 06_multi_region_dr.png" title="06_multi_region_d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76500"/>
                    </a:xfrm>
                    <a:prstGeom prst="rect">
                      <a:avLst/>
                    </a:prstGeom>
                  </pic:spPr>
                </pic:pic>
              </a:graphicData>
            </a:graphic>
          </wp:inline>
        </w:drawing>
      </w: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The DR architecture maintains a warm standby in us-west-2 that receives continuously replicated data from the primary in us-east-1. Route 53 health checks ping the primary region every 10 seconds; three consecutive failures trigger automatic DNS failover, routing all traffic to the DR endpoint within approximately 60 seconds of DNS propagation.</w:t>
      </w:r>
    </w:p>
    <w:p>
      <w:pPr>
        <w:spacing w:after="80"/>
      </w:pPr>
    </w:p>
    <w:p>
      <w:pPr>
        <w:spacing w:after="120"/>
      </w:pPr>
      <w:r>
        <w:rPr>
          <w:rFonts w:ascii="Arial" w:cs="Arial" w:eastAsia="Arial" w:hAnsi="Arial"/>
          <w:sz w:val="22"/>
          <w:szCs w:val="22"/>
        </w:rPr>
        <w:t xml:space="preserve">Data replication is asynchronous across all storage layers. Qdrant uses collection-level async replication with a target lag of under 1 hour (the RPO). Redis Global Datastore provides cross-region replication with sub-second lag for session state. S3 cross-region replication handles the audit store. RDS cross-region read replica handles the Langfuse database.</w:t>
      </w:r>
    </w:p>
    <w:p>
      <w:pPr>
        <w:spacing w:after="80"/>
      </w:pPr>
    </w:p>
    <w:p>
      <w:pPr>
        <w:spacing w:after="100"/>
      </w:pPr>
      <w:r>
        <w:rPr>
          <w:rFonts w:ascii="Arial" w:cs="Arial" w:eastAsia="Arial" w:hAnsi="Arial"/>
          <w:b/>
          <w:bCs/>
          <w:sz w:val="22"/>
          <w:szCs w:val="22"/>
        </w:rPr>
        <w:t xml:space="preserve">DR Scale-Up: </w:t>
      </w:r>
      <w:r>
        <w:rPr>
          <w:rFonts w:ascii="Arial" w:cs="Arial" w:eastAsia="Arial" w:hAnsi="Arial"/>
          <w:sz w:val="22"/>
          <w:szCs w:val="22"/>
        </w:rPr>
        <w:t xml:space="preserve">The DR cluster runs in a scaled-down warm standby mode (2 Stalwart replicas, 2 Critic replicas) to reduce cost. Upon activation, the HPA immediately begins scaling to match the primary’s capacity. Full scale-up takes approximately 5 minutes. During this window, requests are served at reduced throughput.</w:t>
      </w:r>
    </w:p>
    <w:p>
      <w:pPr>
        <w:spacing w:after="80"/>
      </w:pPr>
    </w:p>
    <w:p>
      <w:pPr>
        <w:spacing w:after="100"/>
      </w:pPr>
      <w:r>
        <w:rPr>
          <w:rFonts w:ascii="Arial" w:cs="Arial" w:eastAsia="Arial" w:hAnsi="Arial"/>
          <w:b/>
          <w:bCs/>
          <w:sz w:val="22"/>
          <w:szCs w:val="22"/>
        </w:rPr>
        <w:t xml:space="preserve">DR Testing: </w:t>
      </w:r>
      <w:r>
        <w:rPr>
          <w:rFonts w:ascii="Arial" w:cs="Arial" w:eastAsia="Arial" w:hAnsi="Arial"/>
          <w:sz w:val="22"/>
          <w:szCs w:val="22"/>
        </w:rPr>
        <w:t xml:space="preserve">DR failover is tested quarterly. Each test activates the DR region, runs the full control test suite, processes sample queries, verifies audit trail continuity, and measures actual RTO. Results are documented as audit evidence. The target RTO is under 4 hours; quarterly tests consistently achieve 2–3 hours.</w:t>
      </w:r>
    </w:p>
    <w:p>
      <w:r>
        <w:br w:type="page"/>
      </w:r>
    </w:p>
    <w:p>
      <w:pPr>
        <w:pStyle w:val="Heading1"/>
        <w:spacing w:before="360" w:after="200"/>
      </w:pPr>
      <w:r>
        <w:rPr>
          <w:rFonts w:ascii="Arial" w:cs="Arial" w:eastAsia="Arial" w:hAnsi="Arial"/>
          <w:b/>
          <w:bCs/>
          <w:color w:val="1A237E"/>
          <w:sz w:val="36"/>
          <w:szCs w:val="36"/>
        </w:rPr>
        <w:t xml:space="preserve">9. Kubernetes Deployment Architecture</w:t>
      </w:r>
    </w:p>
    <w:p>
      <w:pPr>
        <w:spacing w:before="120" w:after="200"/>
        <w:jc w:val="center"/>
      </w:pPr>
      <w:r>
        <w:drawing>
          <wp:inline distT="0" distB="0" distL="0" distR="0">
            <wp:extent cx="5943600" cy="2971800"/>
            <wp:effectExtent t="0" r="0" b="0" l="0"/>
            <wp:docPr id="1" name="07_kubernetes.png" descr="Architecture diagram: 07_kubernetes.png" title="07_kuberne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71800"/>
                    </a:xfrm>
                    <a:prstGeom prst="rect">
                      <a:avLst/>
                    </a:prstGeom>
                  </pic:spPr>
                </pic:pic>
              </a:graphicData>
            </a:graphic>
          </wp:inline>
        </w:drawing>
      </w: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The Kubernetes deployment organizes components into five namespaces with strict NetworkPolicy isolation. The stc-gateway namespace is the only one exposed to the ALB; it contains the Sentinel Gateway, Auth, and Runtime Firewall. Network policy allows ingress only from the ALB and egress only to stc-system (for request forwarding) and external LLM APIs.</w:t>
      </w:r>
    </w:p>
    <w:p>
      <w:pPr>
        <w:spacing w:after="80"/>
      </w:pPr>
    </w:p>
    <w:p>
      <w:pPr>
        <w:spacing w:after="120"/>
      </w:pPr>
      <w:r>
        <w:rPr>
          <w:rFonts w:ascii="Arial" w:cs="Arial" w:eastAsia="Arial" w:hAnsi="Arial"/>
          <w:sz w:val="22"/>
          <w:szCs w:val="22"/>
        </w:rPr>
        <w:t xml:space="preserve">The stc-system namespace contains the core AI pipeline: Stalwart, Critic, and Trainer. It accepts ingress only from stc-gateway, ensuring no external traffic can bypass the Sentinel layer. The stc-data namespace holds Qdrant and Redis as StatefulSets. Critically, stc-data has NO egress — this is the architectural enforcement of the data boundary. Data in Qdrant and Redis can never be exfiltrated through any network path because the namespace network policy blocks all outbound traffic.</w:t>
      </w:r>
    </w:p>
    <w:p>
      <w:pPr>
        <w:spacing w:after="80"/>
      </w:pPr>
    </w:p>
    <w:p>
      <w:pPr>
        <w:spacing w:after="120"/>
      </w:pPr>
      <w:r>
        <w:rPr>
          <w:rFonts w:ascii="Arial" w:cs="Arial" w:eastAsia="Arial" w:hAnsi="Arial"/>
          <w:sz w:val="22"/>
          <w:szCs w:val="22"/>
        </w:rPr>
        <w:t xml:space="preserve">The stc-observability namespace runs Phoenix, Langfuse, and OTel Collectors, accepting trace/metric ingestion from all other namespaces. The stc-ops namespace is restricted to VPN-only ingress and contains the operator dashboard, Vault agent sidecar, and scheduled CronJobs (retention enforcement, control testing, configuration drift detection).</w:t>
      </w:r>
    </w:p>
    <w:p>
      <w:pPr>
        <w:spacing w:after="80"/>
      </w:pPr>
    </w:p>
    <w:p>
      <w:pPr>
        <w:spacing w:after="100"/>
      </w:pPr>
      <w:r>
        <w:rPr>
          <w:rFonts w:ascii="Arial" w:cs="Arial" w:eastAsia="Arial" w:hAnsi="Arial"/>
          <w:b/>
          <w:bCs/>
          <w:sz w:val="22"/>
          <w:szCs w:val="22"/>
        </w:rPr>
        <w:t xml:space="preserve">GitOps Pipeline: </w:t>
      </w:r>
      <w:r>
        <w:rPr>
          <w:rFonts w:ascii="Arial" w:cs="Arial" w:eastAsia="Arial" w:hAnsi="Arial"/>
          <w:sz w:val="22"/>
          <w:szCs w:val="22"/>
        </w:rPr>
        <w:t xml:space="preserve">All deployments flow through a GitOps pipeline: code merges to main trigger CI (unit tests, SAST, container build, Trivy vulnerability scan, push to ECR). ArgoCD monitors the git repository for manifest changes and syncs to the staging cluster first. Automated smoke tests run against staging, and on success, ArgoCD promotes to production. Model changes use Argo Rollouts for canary deployment: 10% traffic for 15 minutes, then 50% for 15 minutes, then 100% — with automatic rollback if error rate exceeds 5% or latency increases by more than 50%.</w:t>
      </w:r>
    </w:p>
    <w:p>
      <w:r>
        <w:br w:type="page"/>
      </w:r>
    </w:p>
    <w:p>
      <w:pPr>
        <w:pStyle w:val="Heading1"/>
        <w:spacing w:before="360" w:after="200"/>
      </w:pPr>
      <w:r>
        <w:rPr>
          <w:rFonts w:ascii="Arial" w:cs="Arial" w:eastAsia="Arial" w:hAnsi="Arial"/>
          <w:b/>
          <w:bCs/>
          <w:color w:val="1A237E"/>
          <w:sz w:val="36"/>
          <w:szCs w:val="36"/>
        </w:rPr>
        <w:t xml:space="preserve">10. SRE Observability</w:t>
      </w:r>
    </w:p>
    <w:p>
      <w:pPr>
        <w:spacing w:before="120" w:after="200"/>
        <w:jc w:val="center"/>
      </w:pPr>
      <w:r>
        <w:drawing>
          <wp:inline distT="0" distB="0" distL="0" distR="0">
            <wp:extent cx="5943600" cy="2228850"/>
            <wp:effectExtent t="0" r="0" b="0" l="0"/>
            <wp:docPr id="1" name="08_observability.png" descr="Architecture diagram: 08_observability.png" title="08_observ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228850"/>
                    </a:xfrm>
                    <a:prstGeom prst="rect">
                      <a:avLst/>
                    </a:prstGeom>
                  </pic:spPr>
                </pic:pic>
              </a:graphicData>
            </a:graphic>
          </wp:inline>
        </w:drawing>
      </w:r>
    </w:p>
    <w:p>
      <w:pPr>
        <w:spacing w:before="200" w:after="120"/>
      </w:pPr>
      <w:r>
        <w:rPr>
          <w:rFonts w:ascii="Arial" w:cs="Arial" w:eastAsia="Arial" w:hAnsi="Arial"/>
          <w:b/>
          <w:bCs/>
          <w:color w:val="1A237E"/>
          <w:sz w:val="24"/>
          <w:szCs w:val="24"/>
        </w:rPr>
        <w:t xml:space="preserve">How It Works</w:t>
      </w:r>
    </w:p>
    <w:p>
      <w:pPr>
        <w:spacing w:after="120"/>
      </w:pPr>
      <w:r>
        <w:rPr>
          <w:rFonts w:ascii="Arial" w:cs="Arial" w:eastAsia="Arial" w:hAnsi="Arial"/>
          <w:sz w:val="22"/>
          <w:szCs w:val="22"/>
        </w:rPr>
        <w:t xml:space="preserve">The observability architecture implements the three SRE pillars — metrics, traces, and logs — plus an SLO engine that provides error budget tracking. Prometheus scrapes metrics from all pods (exposed via /metrics endpoints), including STC-specific counters and histograms. Grafana dashboards visualize these metrics in real-time. Thanos provides long-term metric retention (90 days) with cross-cluster aggregation.</w:t>
      </w:r>
    </w:p>
    <w:p>
      <w:pPr>
        <w:spacing w:after="80"/>
      </w:pPr>
    </w:p>
    <w:p>
      <w:pPr>
        <w:spacing w:after="120"/>
      </w:pPr>
      <w:r>
        <w:rPr>
          <w:rFonts w:ascii="Arial" w:cs="Arial" w:eastAsia="Arial" w:hAnsi="Arial"/>
          <w:sz w:val="22"/>
          <w:szCs w:val="22"/>
        </w:rPr>
        <w:t xml:space="preserve">Distributed traces flow through OpenTelemetry: every request gets a trace ID that propagates across all components (Stalwart → Sentinel → Qdrant → LLM → Critic). Each component adds spans with timing, status, and metadata. Arize Phoenix provides the trace UI with AI-specific visualizations (retrieval quality, prompt/response pairs, hallucination markers). Trace retention is 30 days.</w:t>
      </w:r>
    </w:p>
    <w:p>
      <w:pPr>
        <w:spacing w:after="80"/>
      </w:pPr>
    </w:p>
    <w:p>
      <w:pPr>
        <w:spacing w:after="120"/>
      </w:pPr>
      <w:r>
        <w:rPr>
          <w:rFonts w:ascii="Arial" w:cs="Arial" w:eastAsia="Arial" w:hAnsi="Arial"/>
          <w:sz w:val="22"/>
          <w:szCs w:val="22"/>
        </w:rPr>
        <w:t xml:space="preserve">Structured JSON logs from all pods are collected by Fluent Bit daemonsets and shipped to CloudWatch Logs (or OpenSearch for complex queries). Every log entry includes the trace ID for correlation with traces and metrics. Log retention is 90 days.</w:t>
      </w:r>
    </w:p>
    <w:p>
      <w:pPr>
        <w:spacing w:after="80"/>
      </w:pPr>
    </w:p>
    <w:p>
      <w:pPr>
        <w:spacing w:after="100"/>
      </w:pPr>
      <w:r>
        <w:rPr>
          <w:rFonts w:ascii="Arial" w:cs="Arial" w:eastAsia="Arial" w:hAnsi="Arial"/>
          <w:b/>
          <w:bCs/>
          <w:sz w:val="22"/>
          <w:szCs w:val="22"/>
        </w:rPr>
        <w:t xml:space="preserve">SLO Engine: </w:t>
      </w:r>
      <w:r>
        <w:rPr>
          <w:rFonts w:ascii="Arial" w:cs="Arial" w:eastAsia="Arial" w:hAnsi="Arial"/>
          <w:sz w:val="22"/>
          <w:szCs w:val="22"/>
        </w:rPr>
        <w:t xml:space="preserve">Sloth (or Pyrra) computes SLO compliance from Prometheus metrics in a rolling 30-day window. Seven SLOs are defined: availability (99.95%), latency p50/p95/p99, error rate (&lt;1%), hallucination rate (&lt;2%), and throughput (&gt;100 rps). The error budget represents the allowed amount of SLO violation. When the error budget burn rate exceeds the threshold, alerts fire and the error budget policy activates: non-essential changes are frozen, engineering prioritizes reliability work, and the Global CIO is notified.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489"/>
        <w:gridCol w:w="2340"/>
        <w:gridCol w:w="3616"/>
      </w:tblGrid>
      <w:tr>
        <w:trPr>
          <w:tblHeader/>
        </w:trPr>
        <w:tc>
          <w:tcPr>
            <w:tcW w:type="dxa" w:w="1915"/>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SLI</w:t>
            </w:r>
          </w:p>
        </w:tc>
        <w:tc>
          <w:tcPr>
            <w:tcW w:type="dxa" w:w="1489"/>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SLO Target</w:t>
            </w:r>
          </w:p>
        </w:tc>
        <w:tc>
          <w:tcPr>
            <w:tcW w:type="dxa" w:w="2340"/>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Error Budget (30 days)</w:t>
            </w:r>
          </w:p>
        </w:tc>
        <w:tc>
          <w:tcPr>
            <w:tcW w:type="dxa" w:w="3616"/>
            <w:tcBorders>
              <w:top w:val="single" w:color="9FA8DA" w:sz="1"/>
              <w:left w:val="single" w:color="9FA8DA" w:sz="1"/>
              <w:bottom w:val="single" w:color="9FA8DA" w:sz="1"/>
              <w:right w:val="single" w:color="9FA8DA" w:sz="1"/>
            </w:tcBorders>
            <w:shd w:fill="1A237E" w:val="clear"/>
            <w:tcMar>
              <w:top w:type="dxa" w:w="80"/>
              <w:left w:type="dxa" w:w="120"/>
              <w:bottom w:type="dxa" w:w="80"/>
              <w:right w:type="dxa" w:w="120"/>
            </w:tcMar>
          </w:tcPr>
          <w:p>
            <w:r>
              <w:rPr>
                <w:rFonts w:ascii="Arial" w:cs="Arial" w:eastAsia="Arial" w:hAnsi="Arial"/>
                <w:b/>
                <w:bCs/>
                <w:color w:val="FFFFFF"/>
                <w:sz w:val="20"/>
                <w:szCs w:val="20"/>
              </w:rPr>
              <w:t xml:space="preserve">Alert Threshold</w:t>
            </w:r>
          </w:p>
        </w:tc>
      </w:tr>
      <w:tr>
        <w:tc>
          <w:tcPr>
            <w:tcW w:type="dxa" w:w="1915"/>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Availability</w:t>
            </w:r>
          </w:p>
        </w:tc>
        <w:tc>
          <w:tcPr>
            <w:tcW w:type="dxa" w:w="1489"/>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99.95%</w:t>
            </w:r>
          </w:p>
        </w:tc>
        <w:tc>
          <w:tcPr>
            <w:tcW w:type="dxa" w:w="234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21.9 min downtime</w:t>
            </w:r>
          </w:p>
        </w:tc>
        <w:tc>
          <w:tcPr>
            <w:tcW w:type="dxa" w:w="3616"/>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Burn rate &gt; 14.4x for 1h</w:t>
            </w:r>
          </w:p>
        </w:tc>
      </w:tr>
      <w:tr>
        <w:tc>
          <w:tcPr>
            <w:tcW w:type="dxa" w:w="1915"/>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Latency p99</w:t>
            </w:r>
          </w:p>
        </w:tc>
        <w:tc>
          <w:tcPr>
            <w:tcW w:type="dxa" w:w="1489"/>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&lt; 10 seconds</w:t>
            </w:r>
          </w:p>
        </w:tc>
        <w:tc>
          <w:tcPr>
            <w:tcW w:type="dxa" w:w="234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5% of requests may exceed</w:t>
            </w:r>
          </w:p>
        </w:tc>
        <w:tc>
          <w:tcPr>
            <w:tcW w:type="dxa" w:w="3616"/>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p99 &gt; 10s for 5 min</w:t>
            </w:r>
          </w:p>
        </w:tc>
      </w:tr>
      <w:tr>
        <w:tc>
          <w:tcPr>
            <w:tcW w:type="dxa" w:w="1915"/>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Error rate</w:t>
            </w:r>
          </w:p>
        </w:tc>
        <w:tc>
          <w:tcPr>
            <w:tcW w:type="dxa" w:w="1489"/>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&lt; 1%</w:t>
            </w:r>
          </w:p>
        </w:tc>
        <w:tc>
          <w:tcPr>
            <w:tcW w:type="dxa" w:w="234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~4.3 hours of 100% errors</w:t>
            </w:r>
          </w:p>
        </w:tc>
        <w:tc>
          <w:tcPr>
            <w:tcW w:type="dxa" w:w="3616"/>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5xx rate &gt; 1% for 2 min</w:t>
            </w:r>
          </w:p>
        </w:tc>
      </w:tr>
      <w:tr>
        <w:tc>
          <w:tcPr>
            <w:tcW w:type="dxa" w:w="1915"/>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Hallucination rate</w:t>
            </w:r>
          </w:p>
        </w:tc>
        <w:tc>
          <w:tcPr>
            <w:tcW w:type="dxa" w:w="1489"/>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&lt; 2%</w:t>
            </w:r>
          </w:p>
        </w:tc>
        <w:tc>
          <w:tcPr>
            <w:tcW w:type="dxa" w:w="2340"/>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N/A (governance)</w:t>
            </w:r>
          </w:p>
        </w:tc>
        <w:tc>
          <w:tcPr>
            <w:tcW w:type="dxa" w:w="3616"/>
            <w:tcBorders>
              <w:top w:val="single" w:color="9FA8DA" w:sz="1"/>
              <w:left w:val="single" w:color="9FA8DA" w:sz="1"/>
              <w:bottom w:val="single" w:color="9FA8DA" w:sz="1"/>
              <w:right w:val="single" w:color="9FA8DA" w:sz="1"/>
            </w:tcBorders>
            <w:tcMar>
              <w:top w:type="dxa" w:w="80"/>
              <w:left w:type="dxa" w:w="120"/>
              <w:bottom w:type="dxa" w:w="80"/>
              <w:right w:type="dxa" w:w="120"/>
            </w:tcMar>
          </w:tcPr>
          <w:p>
            <w:r>
              <w:rPr>
                <w:rFonts w:ascii="Arial" w:cs="Arial" w:eastAsia="Arial" w:hAnsi="Arial"/>
                <w:sz w:val="20"/>
                <w:szCs w:val="20"/>
              </w:rPr>
              <w:t xml:space="preserve">&gt; 2% for 15 min</w:t>
            </w:r>
          </w:p>
        </w:tc>
      </w:tr>
      <w:tr>
        <w:tc>
          <w:tcPr>
            <w:tcW w:type="dxa" w:w="1915"/>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Throughput</w:t>
            </w:r>
          </w:p>
        </w:tc>
        <w:tc>
          <w:tcPr>
            <w:tcW w:type="dxa" w:w="1489"/>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&gt; 100 rps</w:t>
            </w:r>
          </w:p>
        </w:tc>
        <w:tc>
          <w:tcPr>
            <w:tcW w:type="dxa" w:w="2340"/>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N/A (capacity)</w:t>
            </w:r>
          </w:p>
        </w:tc>
        <w:tc>
          <w:tcPr>
            <w:tcW w:type="dxa" w:w="3616"/>
            <w:tcBorders>
              <w:top w:val="single" w:color="9FA8DA" w:sz="1"/>
              <w:left w:val="single" w:color="9FA8DA" w:sz="1"/>
              <w:bottom w:val="single" w:color="9FA8DA" w:sz="1"/>
              <w:right w:val="single" w:color="9FA8DA" w:sz="1"/>
            </w:tcBorders>
            <w:shd w:fill="E8EAF6" w:val="clear"/>
            <w:tcMar>
              <w:top w:type="dxa" w:w="80"/>
              <w:left w:type="dxa" w:w="120"/>
              <w:bottom w:type="dxa" w:w="80"/>
              <w:right w:type="dxa" w:w="120"/>
            </w:tcMar>
          </w:tcPr>
          <w:p>
            <w:r>
              <w:rPr>
                <w:rFonts w:ascii="Arial" w:cs="Arial" w:eastAsia="Arial" w:hAnsi="Arial"/>
                <w:sz w:val="20"/>
                <w:szCs w:val="20"/>
              </w:rPr>
              <w:t xml:space="preserve">&lt; 80 rps sustained</w:t>
            </w:r>
          </w:p>
        </w:tc>
      </w:tr>
    </w:tbl>
    <w:p>
      <w:pPr>
        <w:spacing w:after="80"/>
      </w:pPr>
    </w:p>
    <w:p>
      <w:pPr>
        <w:spacing w:after="80"/>
      </w:pPr>
    </w:p>
    <w:p>
      <w:pPr>
        <w:spacing w:before="400"/>
        <w:jc w:val="center"/>
      </w:pPr>
      <w:r>
        <w:rPr>
          <w:rFonts w:ascii="Arial" w:cs="Arial" w:eastAsia="Arial" w:hAnsi="Arial"/>
          <w:i/>
          <w:iCs/>
          <w:color w:val="757575"/>
          <w:sz w:val="22"/>
          <w:szCs w:val="22"/>
        </w:rPr>
        <w:t xml:space="preserve">— END OF ENTERPRISE ARCHITECTURE DOCUMENT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57575"/>
        <w:sz w:val="16"/>
        <w:szCs w:val="16"/>
      </w:rPr>
      <w:t xml:space="preserve">Page </w:t>
    </w:r>
    <w:r>
      <w:rPr>
        <w:rFonts w:ascii="Arial" w:cs="Arial" w:eastAsia="Arial" w:hAnsi="Arial"/>
        <w:color w:val="757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757575"/>
        <w:sz w:val="18"/>
        <w:szCs w:val="18"/>
      </w:rPr>
      <w:t xml:space="preserve">STC Framework — Enterprise Architecture Blueprint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237E"/>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8359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c7592d69d33cf32bc48db43bc632a13f7aa1169.png"/><Relationship Id="rId9" Type="http://schemas.openxmlformats.org/officeDocument/2006/relationships/image" Target="media/614ccb6529fbebb19b9360289f4bc08b70cc1648.png"/><Relationship Id="rId10" Type="http://schemas.openxmlformats.org/officeDocument/2006/relationships/image" Target="media/6e25f08ccc3f47bd8809dd643b97a4bb7de37ea4.png"/><Relationship Id="rId11" Type="http://schemas.openxmlformats.org/officeDocument/2006/relationships/image" Target="media/fe39432841bced25e3bb6135fa47d399697b9578.png"/><Relationship Id="rId12" Type="http://schemas.openxmlformats.org/officeDocument/2006/relationships/image" Target="media/d73c1ba1300eb4c1c0e5cede31dabb45ef78bc8a.png"/><Relationship Id="rId13" Type="http://schemas.openxmlformats.org/officeDocument/2006/relationships/image" Target="media/49c4b866fd5754dd26967bae4d4af6189b15d229.png"/><Relationship Id="rId14" Type="http://schemas.openxmlformats.org/officeDocument/2006/relationships/image" Target="media/6d48f550de3be10da6e59a1dca34b53227147076.png"/><Relationship Id="rId15" Type="http://schemas.openxmlformats.org/officeDocument/2006/relationships/image" Target="media/f1fcdeb7de67bcc3b24a90306605bc24ada8ecc0.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2026-03-10T02:31:06.773Z</dcterms:created>
  <dcterms:modified xsi:type="dcterms:W3CDTF">2026-03-10T02:31:06.774Z</dcterms:modified>
</cp:coreProperties>
</file>

<file path=docProps/custom.xml><?xml version="1.0" encoding="utf-8"?>
<Properties xmlns="http://schemas.openxmlformats.org/officeDocument/2006/custom-properties" xmlns:vt="http://schemas.openxmlformats.org/officeDocument/2006/docPropsVTypes"/>
</file>