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881D" w14:textId="77777777" w:rsidR="003915FB" w:rsidRDefault="00000000">
      <w:pPr>
        <w:pStyle w:val="Title"/>
        <w:spacing w:before="280" w:after="160"/>
      </w:pPr>
      <w:r>
        <w:t>Business Case — Risk, Fraud and Regulatory Intelligence Copilot</w:t>
      </w:r>
    </w:p>
    <w:p w14:paraId="07EF881E" w14:textId="77777777" w:rsidR="003915FB" w:rsidRDefault="00000000">
      <w:pPr>
        <w:spacing w:after="200"/>
      </w:pPr>
      <w:r>
        <w:t xml:space="preserve">Snowflake CoCo CLI Hackathon 2026 — GCC Edition. This is a self-reference document, separate from </w:t>
      </w:r>
      <w:r>
        <w:rPr>
          <w:rFonts w:ascii="Consolas" w:eastAsia="Consolas" w:hAnsi="Consolas" w:cs="Consolas"/>
          <w:shd w:val="clear" w:color="auto" w:fill="F0F0F0"/>
        </w:rPr>
        <w:t>RISK_FRAUD_COPILOT_DESIGN.md</w:t>
      </w:r>
      <w:r>
        <w:t xml:space="preserve"> (the design doc written *before* build). Where the design doc says what was planned, this document says why it matters as a business problem, and — the part worth re-reading — how the actual build diverged from that plan and why, so the reasoning isn't lost by the time of the demo.</w:t>
      </w:r>
    </w:p>
    <w:p w14:paraId="07EF881F" w14:textId="77777777" w:rsidR="003915FB" w:rsidRDefault="00000000">
      <w:pPr>
        <w:pStyle w:val="Heading1"/>
        <w:spacing w:before="280" w:after="160"/>
      </w:pPr>
      <w:r>
        <w:t>1. Executive summary</w:t>
      </w:r>
    </w:p>
    <w:p w14:paraId="07EF8820" w14:textId="77777777" w:rsidR="003915FB" w:rsidRDefault="00000000">
      <w:pPr>
        <w:spacing w:after="200"/>
      </w:pPr>
      <w:r>
        <w:t>Banking and NBFC compliance teams spend a large share of their time manually cross-referencing transactions, fraud alerts, and AML case files against regulatory thresholds — a slow, inconsistent, and hard-to-audit process. This project delivers a working natural-language copilot, built end-to-end on Snowflake (data + Cortex Analyst + Cortex Agent + a governance wrapper), that answers compliance questions in plain English and returns cited, audit-ready answers instead of a plausible-sounding chat response.</w:t>
      </w:r>
    </w:p>
    <w:p w14:paraId="07EF8821" w14:textId="77777777" w:rsidR="003915FB" w:rsidRDefault="00000000">
      <w:pPr>
        <w:spacing w:after="200"/>
      </w:pPr>
      <w:r>
        <w:t>Everything described below as "live" is deployed and tested in a real Snowflake trial account, not a mockup.</w:t>
      </w:r>
    </w:p>
    <w:p w14:paraId="07EF8822" w14:textId="77777777" w:rsidR="003915FB" w:rsidRDefault="00000000">
      <w:pPr>
        <w:pStyle w:val="Heading1"/>
        <w:spacing w:before="280" w:after="160"/>
      </w:pPr>
      <w:r>
        <w:t>2. The business problem</w:t>
      </w:r>
    </w:p>
    <w:p w14:paraId="07EF8823" w14:textId="77777777" w:rsidR="003915FB" w:rsidRDefault="00000000">
      <w:pPr>
        <w:pStyle w:val="ListParagraph"/>
        <w:numPr>
          <w:ilvl w:val="0"/>
          <w:numId w:val="2"/>
        </w:numPr>
        <w:spacing w:after="120"/>
      </w:pPr>
      <w:r>
        <w:t>Fraud and AML analysts today query multiple systems (core banking, fraud engine, case management) by hand to answer questions like "which accounts had the most fraud alerts this week" or "which transactions look like structuring."</w:t>
      </w:r>
    </w:p>
    <w:p w14:paraId="07EF8824" w14:textId="77777777" w:rsidR="003915FB" w:rsidRDefault="00000000">
      <w:pPr>
        <w:pStyle w:val="ListParagraph"/>
        <w:numPr>
          <w:ilvl w:val="0"/>
          <w:numId w:val="2"/>
        </w:numPr>
        <w:spacing w:after="120"/>
      </w:pPr>
      <w:r>
        <w:t>Every finding that becomes a Suspicious Activity Report (SAR) or Currency Transaction Report (CTR) needs a defensible paper trail: what was asked, what data was touched, and which regulation justifies flagging it. Ad hoc spreadsheet work doesn't produce that trail automatically.</w:t>
      </w:r>
    </w:p>
    <w:p w14:paraId="07EF8825" w14:textId="77777777" w:rsidR="003915FB" w:rsidRDefault="00000000">
      <w:pPr>
        <w:pStyle w:val="ListParagraph"/>
        <w:numPr>
          <w:ilvl w:val="0"/>
          <w:numId w:val="2"/>
        </w:numPr>
        <w:spacing w:after="120"/>
      </w:pPr>
      <w:r>
        <w:t>A generic chatbot answer ("this looks suspicious") is not a regulatory output — it can't be produced as evidence of due diligence to a regulator or auditor.</w:t>
      </w:r>
    </w:p>
    <w:p w14:paraId="07EF8826" w14:textId="77777777" w:rsidR="003915FB" w:rsidRDefault="00000000">
      <w:pPr>
        <w:pStyle w:val="ListParagraph"/>
        <w:numPr>
          <w:ilvl w:val="0"/>
          <w:numId w:val="2"/>
        </w:numPr>
        <w:spacing w:after="120"/>
      </w:pPr>
      <w:r>
        <w:t>This is a real, recurring cost center in banking/NBFC compliance operations, not a hypothetical — it's the reason this problem statement is one of the five fixed options in the hackathon.</w:t>
      </w:r>
    </w:p>
    <w:p w14:paraId="07EF8827" w14:textId="77777777" w:rsidR="003915FB" w:rsidRDefault="00000000">
      <w:pPr>
        <w:pStyle w:val="Heading1"/>
        <w:spacing w:before="280" w:after="160"/>
      </w:pPr>
      <w:r>
        <w:t>3. Why now</w:t>
      </w:r>
    </w:p>
    <w:p w14:paraId="07EF8828" w14:textId="77777777" w:rsidR="003915FB" w:rsidRDefault="00000000">
      <w:pPr>
        <w:pStyle w:val="ListParagraph"/>
        <w:numPr>
          <w:ilvl w:val="0"/>
          <w:numId w:val="2"/>
        </w:numPr>
        <w:spacing w:after="120"/>
      </w:pPr>
      <w:r>
        <w:t>Snowflake's Cortex Analyst (text-to-SQL over a governed semantic layer) and Cortex Agents make it newly practical to expose this kind of natural-language interface directly over governed data, without exporting it to a separate analytics stack.</w:t>
      </w:r>
    </w:p>
    <w:p w14:paraId="07EF8829" w14:textId="77777777" w:rsidR="003915FB" w:rsidRDefault="00000000">
      <w:pPr>
        <w:pStyle w:val="ListParagraph"/>
        <w:numPr>
          <w:ilvl w:val="0"/>
          <w:numId w:val="2"/>
        </w:numPr>
        <w:spacing w:after="120"/>
      </w:pPr>
      <w:r>
        <w:t>The hackathon supplied a hard deadline and a fixed problem-statement menu, which is what turned this from "someday" into a built, tested system in under three weeks.</w:t>
      </w:r>
    </w:p>
    <w:p w14:paraId="07EF882A" w14:textId="77777777" w:rsidR="003915FB" w:rsidRDefault="00000000">
      <w:pPr>
        <w:pStyle w:val="ListParagraph"/>
        <w:numPr>
          <w:ilvl w:val="0"/>
          <w:numId w:val="2"/>
        </w:numPr>
        <w:spacing w:after="120"/>
      </w:pPr>
      <w:r>
        <w:t>CoCo (Snowflake's built-in agent tooling in Snowsight) removed most of the hand-authoring work of building a semantic model — it reads live table metadata and generates the semantic view and verified queries itself, which materially lowered the build cost of this kind of project.</w:t>
      </w:r>
    </w:p>
    <w:p w14:paraId="07EF882B" w14:textId="77777777" w:rsidR="003915FB" w:rsidRDefault="00000000">
      <w:pPr>
        <w:pStyle w:val="Heading1"/>
        <w:spacing w:before="280" w:after="160"/>
      </w:pPr>
      <w:r>
        <w:t>4. Proposed solution</w:t>
      </w:r>
    </w:p>
    <w:p w14:paraId="07EF882C" w14:textId="77777777" w:rsidR="003915FB" w:rsidRDefault="00000000">
      <w:pPr>
        <w:spacing w:after="200"/>
      </w:pPr>
      <w:r>
        <w:t>A single Snowflake trial account hosting:</w:t>
      </w:r>
    </w:p>
    <w:p w14:paraId="07EF882D" w14:textId="77777777" w:rsidR="003915FB" w:rsidRDefault="00000000">
      <w:pPr>
        <w:pStyle w:val="ListParagraph"/>
        <w:numPr>
          <w:ilvl w:val="0"/>
          <w:numId w:val="3"/>
        </w:numPr>
        <w:spacing w:after="120"/>
      </w:pPr>
      <w:r>
        <w:lastRenderedPageBreak/>
        <w:t>A normalized synthetic banking dataset (customers, accounts, counterparties, transactions, fraud alerts, AML cases, regulatory rules — modeled on a real compliance data model, no real customer data anywhere).</w:t>
      </w:r>
    </w:p>
    <w:p w14:paraId="07EF882E" w14:textId="77777777" w:rsidR="003915FB" w:rsidRDefault="00000000">
      <w:pPr>
        <w:pStyle w:val="ListParagraph"/>
        <w:numPr>
          <w:ilvl w:val="0"/>
          <w:numId w:val="3"/>
        </w:numPr>
        <w:spacing w:after="120"/>
      </w:pPr>
      <w:r>
        <w:t>A Cortex Analyst semantic view over that data, so questions can be asked in plain English rather than SQL.</w:t>
      </w:r>
    </w:p>
    <w:p w14:paraId="07EF882F" w14:textId="77777777" w:rsidR="003915FB" w:rsidRDefault="00000000">
      <w:pPr>
        <w:pStyle w:val="ListParagraph"/>
        <w:numPr>
          <w:ilvl w:val="0"/>
          <w:numId w:val="3"/>
        </w:numPr>
        <w:spacing w:after="120"/>
      </w:pPr>
      <w:r>
        <w:t>A Cortex Agent that wraps the semantic view as a callable tool.</w:t>
      </w:r>
    </w:p>
    <w:p w14:paraId="07EF8830" w14:textId="77777777" w:rsidR="003915FB" w:rsidRDefault="00000000">
      <w:pPr>
        <w:pStyle w:val="ListParagraph"/>
        <w:numPr>
          <w:ilvl w:val="0"/>
          <w:numId w:val="3"/>
        </w:numPr>
        <w:spacing w:after="120"/>
      </w:pPr>
      <w:r>
        <w:t>A Streamlit governance wrapper in front of the agent that writes every question, the SQL it generated, the answer, the regulatory rule(s) it cites, the specific record IDs touched, and a risk classification into an audit log — before the answer is ever shown to the user.</w:t>
      </w:r>
    </w:p>
    <w:p w14:paraId="07EF8831" w14:textId="77777777" w:rsidR="003915FB" w:rsidRDefault="00000000">
      <w:pPr>
        <w:spacing w:after="200"/>
      </w:pPr>
      <w:r>
        <w:t xml:space="preserve">That last point is the actual differentiator being pitched: the audit log turns a chat answer into something a compliance team could </w:t>
      </w:r>
      <w:proofErr w:type="gramStart"/>
      <w:r>
        <w:t>actually put</w:t>
      </w:r>
      <w:proofErr w:type="gramEnd"/>
      <w:r>
        <w:t xml:space="preserve"> in front of a regulator.</w:t>
      </w:r>
    </w:p>
    <w:p w14:paraId="07EF8832" w14:textId="77777777" w:rsidR="003915FB" w:rsidRDefault="00000000">
      <w:pPr>
        <w:pStyle w:val="Heading1"/>
        <w:spacing w:before="280" w:after="160"/>
      </w:pPr>
      <w:r>
        <w:t>5. Business value</w:t>
      </w:r>
    </w:p>
    <w:p w14:paraId="07EF8833" w14:textId="77777777" w:rsidR="003915FB" w:rsidRDefault="00000000">
      <w:pPr>
        <w:pStyle w:val="ListParagraph"/>
        <w:numPr>
          <w:ilvl w:val="0"/>
          <w:numId w:val="2"/>
        </w:numPr>
        <w:spacing w:after="120"/>
      </w:pPr>
      <w:r>
        <w:rPr>
          <w:b/>
          <w:bCs/>
        </w:rPr>
        <w:t>Time savings</w:t>
      </w:r>
      <w:r>
        <w:t>: a question that today takes an analyst several manual queries across systems is answered in one natural-language prompt.</w:t>
      </w:r>
    </w:p>
    <w:p w14:paraId="07EF8834" w14:textId="77777777" w:rsidR="003915FB" w:rsidRDefault="00000000">
      <w:pPr>
        <w:pStyle w:val="ListParagraph"/>
        <w:numPr>
          <w:ilvl w:val="0"/>
          <w:numId w:val="2"/>
        </w:numPr>
        <w:spacing w:after="120"/>
      </w:pPr>
      <w:r>
        <w:rPr>
          <w:b/>
          <w:bCs/>
        </w:rPr>
        <w:t>Consistency</w:t>
      </w:r>
      <w:r>
        <w:t>: the same question asked twice returns the same SQL logic, not analyst-dependent judgment calls.</w:t>
      </w:r>
    </w:p>
    <w:p w14:paraId="07EF8835" w14:textId="77777777" w:rsidR="003915FB" w:rsidRDefault="00000000">
      <w:pPr>
        <w:pStyle w:val="ListParagraph"/>
        <w:numPr>
          <w:ilvl w:val="0"/>
          <w:numId w:val="2"/>
        </w:numPr>
        <w:spacing w:after="120"/>
      </w:pPr>
      <w:r>
        <w:rPr>
          <w:b/>
          <w:bCs/>
        </w:rPr>
        <w:t>Audit readiness by construction</w:t>
      </w:r>
      <w:r>
        <w:t>: the audit log is written as a side effect of asking the question, not as a separate compliance task bolted on afterward — so adoption doesn't depend on analysts remembering to log their work.</w:t>
      </w:r>
    </w:p>
    <w:p w14:paraId="07EF8836" w14:textId="77777777" w:rsidR="003915FB" w:rsidRDefault="00000000">
      <w:pPr>
        <w:pStyle w:val="ListParagraph"/>
        <w:numPr>
          <w:ilvl w:val="0"/>
          <w:numId w:val="2"/>
        </w:numPr>
        <w:spacing w:after="120"/>
      </w:pPr>
      <w:r>
        <w:rPr>
          <w:b/>
          <w:bCs/>
        </w:rPr>
        <w:t xml:space="preserve">Low cost of </w:t>
      </w:r>
      <w:proofErr w:type="gramStart"/>
      <w:r>
        <w:rPr>
          <w:b/>
          <w:bCs/>
        </w:rPr>
        <w:t>entry</w:t>
      </w:r>
      <w:r>
        <w:t>:</w:t>
      </w:r>
      <w:proofErr w:type="gramEnd"/>
      <w:r>
        <w:t xml:space="preserve"> built entirely on a no-card Snowflake trial ($400 credit, 30 days) with commodity components (Cortex Analyst, Streamlit-in-Snowflake, one small warehouse) — no separate ML infrastructure or vendor tooling.</w:t>
      </w:r>
    </w:p>
    <w:p w14:paraId="07EF8837" w14:textId="77777777" w:rsidR="003915FB" w:rsidRDefault="00000000">
      <w:pPr>
        <w:pStyle w:val="ListParagraph"/>
        <w:numPr>
          <w:ilvl w:val="0"/>
          <w:numId w:val="2"/>
        </w:numPr>
        <w:spacing w:after="120"/>
      </w:pPr>
      <w:r>
        <w:rPr>
          <w:b/>
          <w:bCs/>
        </w:rPr>
        <w:t>Extensible</w:t>
      </w:r>
      <w:r>
        <w:t>: the same pattern (semantic view + agent + audit wrapper) generalizes to the explicitly deferred scope below, without a redesign.</w:t>
      </w:r>
    </w:p>
    <w:p w14:paraId="07EF8838" w14:textId="77777777" w:rsidR="003915FB" w:rsidRDefault="00000000">
      <w:pPr>
        <w:pStyle w:val="Heading1"/>
        <w:spacing w:before="280" w:after="160"/>
      </w:pPr>
      <w:r>
        <w:t xml:space="preserve">6. From design to delivery — what </w:t>
      </w:r>
      <w:proofErr w:type="gramStart"/>
      <w:r>
        <w:t>actually happened</w:t>
      </w:r>
      <w:proofErr w:type="gramEnd"/>
    </w:p>
    <w:p w14:paraId="07EF8839" w14:textId="77777777" w:rsidR="003915FB" w:rsidRDefault="00000000">
      <w:pPr>
        <w:spacing w:after="200"/>
      </w:pPr>
      <w:r>
        <w:t xml:space="preserve">This is the part worth keeping for future reference: three points where the as-built system diverged from </w:t>
      </w:r>
      <w:r>
        <w:rPr>
          <w:rFonts w:ascii="Consolas" w:eastAsia="Consolas" w:hAnsi="Consolas" w:cs="Consolas"/>
          <w:shd w:val="clear" w:color="auto" w:fill="F0F0F0"/>
        </w:rPr>
        <w:t>RISK_FRAUD_COPILOT_DESIGN.md</w:t>
      </w:r>
      <w:r>
        <w:t>, and why.</w:t>
      </w:r>
    </w:p>
    <w:p w14:paraId="07EF883A" w14:textId="77777777" w:rsidR="003915FB" w:rsidRDefault="00000000">
      <w:pPr>
        <w:pStyle w:val="Heading2"/>
        <w:spacing w:before="280" w:after="160"/>
      </w:pPr>
      <w:r>
        <w:t xml:space="preserve">6.1 Schema: </w:t>
      </w:r>
      <w:r>
        <w:rPr>
          <w:rFonts w:ascii="Consolas" w:eastAsia="Consolas" w:hAnsi="Consolas" w:cs="Consolas"/>
          <w:shd w:val="clear" w:color="auto" w:fill="F0F0F0"/>
        </w:rPr>
        <w:t>PUBLIC</w:t>
      </w:r>
      <w:r>
        <w:t xml:space="preserve"> instead of </w:t>
      </w:r>
      <w:r>
        <w:rPr>
          <w:rFonts w:ascii="Consolas" w:eastAsia="Consolas" w:hAnsi="Consolas" w:cs="Consolas"/>
          <w:shd w:val="clear" w:color="auto" w:fill="F0F0F0"/>
        </w:rPr>
        <w:t>RAW</w:t>
      </w:r>
    </w:p>
    <w:p w14:paraId="07EF883B" w14:textId="77777777" w:rsidR="003915FB" w:rsidRDefault="00000000">
      <w:pPr>
        <w:spacing w:after="200"/>
      </w:pPr>
      <w:r>
        <w:t xml:space="preserve">The design called for loading data into a dedicated </w:t>
      </w:r>
      <w:r>
        <w:rPr>
          <w:rFonts w:ascii="Consolas" w:eastAsia="Consolas" w:hAnsi="Consolas" w:cs="Consolas"/>
          <w:shd w:val="clear" w:color="auto" w:fill="F0F0F0"/>
        </w:rPr>
        <w:t>RAW</w:t>
      </w:r>
      <w:r>
        <w:t xml:space="preserve"> schema. Snowsight's "Upload local files" wizard — the fastest path to get 15,000+ rows of synthetic data into Snowflake without a working local shell — didn't offer inline schema creation, only existing schemas. Rather than stopping to provision a schema through another path, all 7 tables plus </w:t>
      </w:r>
      <w:r>
        <w:rPr>
          <w:rFonts w:ascii="Consolas" w:eastAsia="Consolas" w:hAnsi="Consolas" w:cs="Consolas"/>
          <w:shd w:val="clear" w:color="auto" w:fill="F0F0F0"/>
        </w:rPr>
        <w:t>AUDIT_LOG</w:t>
      </w:r>
      <w:r>
        <w:t xml:space="preserve"> were loaded into the pre-existing </w:t>
      </w:r>
      <w:r>
        <w:rPr>
          <w:rFonts w:ascii="Consolas" w:eastAsia="Consolas" w:hAnsi="Consolas" w:cs="Consolas"/>
          <w:shd w:val="clear" w:color="auto" w:fill="F0F0F0"/>
        </w:rPr>
        <w:t>PUBLIC</w:t>
      </w:r>
      <w:r>
        <w:t xml:space="preserve"> schema, and every downstream file (</w:t>
      </w:r>
      <w:r>
        <w:rPr>
          <w:rFonts w:ascii="Consolas" w:eastAsia="Consolas" w:hAnsi="Consolas" w:cs="Consolas"/>
          <w:shd w:val="clear" w:color="auto" w:fill="F0F0F0"/>
        </w:rPr>
        <w:t>sql/02_semantic_model.yaml</w:t>
      </w:r>
      <w:r>
        <w:t xml:space="preserve">, </w:t>
      </w:r>
      <w:r>
        <w:rPr>
          <w:rFonts w:ascii="Consolas" w:eastAsia="Consolas" w:hAnsi="Consolas" w:cs="Consolas"/>
          <w:shd w:val="clear" w:color="auto" w:fill="F0F0F0"/>
        </w:rPr>
        <w:t>sql/03_cortex_agent_setup.md</w:t>
      </w:r>
      <w:r>
        <w:t xml:space="preserve">, </w:t>
      </w:r>
      <w:r>
        <w:rPr>
          <w:rFonts w:ascii="Consolas" w:eastAsia="Consolas" w:hAnsi="Consolas" w:cs="Consolas"/>
          <w:shd w:val="clear" w:color="auto" w:fill="F0F0F0"/>
        </w:rPr>
        <w:t>app/audit_wrapper_app.py</w:t>
      </w:r>
      <w:r>
        <w:t xml:space="preserve">) was updated to reference </w:t>
      </w:r>
      <w:r>
        <w:rPr>
          <w:rFonts w:ascii="Consolas" w:eastAsia="Consolas" w:hAnsi="Consolas" w:cs="Consolas"/>
          <w:shd w:val="clear" w:color="auto" w:fill="F0F0F0"/>
        </w:rPr>
        <w:t>PUBLIC</w:t>
      </w:r>
      <w:r>
        <w:t>. Lesson: for a time-boxed build, match the tool's fastest path and update references, rather than holding the plan constant and fighting the tool.</w:t>
      </w:r>
    </w:p>
    <w:p w14:paraId="07EF883C" w14:textId="77777777" w:rsidR="003915FB" w:rsidRDefault="00000000">
      <w:pPr>
        <w:pStyle w:val="Heading2"/>
        <w:spacing w:before="280" w:after="160"/>
      </w:pPr>
      <w:r>
        <w:t>6.2 Semantic view: CoCo-generated, not hand-authored</w:t>
      </w:r>
    </w:p>
    <w:p w14:paraId="07EF883D" w14:textId="77777777" w:rsidR="003915FB" w:rsidRDefault="00000000">
      <w:pPr>
        <w:spacing w:after="200"/>
      </w:pPr>
      <w:r>
        <w:rPr>
          <w:rFonts w:ascii="Consolas" w:eastAsia="Consolas" w:hAnsi="Consolas" w:cs="Consolas"/>
          <w:shd w:val="clear" w:color="auto" w:fill="F0F0F0"/>
        </w:rPr>
        <w:t>sql/02_semantic_model.yaml</w:t>
      </w:r>
      <w:r>
        <w:t xml:space="preserve"> was hand-written up front as a fallback — 7 tables, 5 relationships, 3 verified queries. In practice, the live semantic view (</w:t>
      </w:r>
      <w:r>
        <w:rPr>
          <w:rFonts w:ascii="Consolas" w:eastAsia="Consolas" w:hAnsi="Consolas" w:cs="Consolas"/>
          <w:shd w:val="clear" w:color="auto" w:fill="F0F0F0"/>
        </w:rPr>
        <w:t>RISK_COPILOT_</w:t>
      </w:r>
      <w:proofErr w:type="gramStart"/>
      <w:r>
        <w:rPr>
          <w:rFonts w:ascii="Consolas" w:eastAsia="Consolas" w:hAnsi="Consolas" w:cs="Consolas"/>
          <w:shd w:val="clear" w:color="auto" w:fill="F0F0F0"/>
        </w:rPr>
        <w:t>DEMO.PUBLIC.RISK</w:t>
      </w:r>
      <w:proofErr w:type="gramEnd"/>
      <w:r>
        <w:rPr>
          <w:rFonts w:ascii="Consolas" w:eastAsia="Consolas" w:hAnsi="Consolas" w:cs="Consolas"/>
          <w:shd w:val="clear" w:color="auto" w:fill="F0F0F0"/>
        </w:rPr>
        <w:t>_FRAUD_COPILOT</w:t>
      </w:r>
      <w:r>
        <w:t xml:space="preserve">) was built by CoCo's own </w:t>
      </w:r>
      <w:r>
        <w:rPr>
          <w:rFonts w:ascii="Consolas" w:eastAsia="Consolas" w:hAnsi="Consolas" w:cs="Consolas"/>
          <w:shd w:val="clear" w:color="auto" w:fill="F0F0F0"/>
        </w:rPr>
        <w:t>agent-studio</w:t>
      </w:r>
      <w:r>
        <w:t xml:space="preserve"> skill directly inside Snowsight: CoCo read the actual table metadata and generated its own richer YAML, complete with business synonyms (e.g. "structuring pattern" → </w:t>
      </w:r>
      <w:r>
        <w:rPr>
          <w:rFonts w:ascii="Consolas" w:eastAsia="Consolas" w:hAnsi="Consolas" w:cs="Consolas"/>
          <w:shd w:val="clear" w:color="auto" w:fill="F0F0F0"/>
        </w:rPr>
        <w:t>alert_type = 'Structuring'</w:t>
      </w:r>
      <w:r>
        <w:t xml:space="preserve">, "sanctioned counterparty" → </w:t>
      </w:r>
      <w:r>
        <w:rPr>
          <w:rFonts w:ascii="Consolas" w:eastAsia="Consolas" w:hAnsi="Consolas" w:cs="Consolas"/>
          <w:shd w:val="clear" w:color="auto" w:fill="F0F0F0"/>
        </w:rPr>
        <w:t>sanctions_list_flag = true</w:t>
      </w:r>
      <w:r>
        <w:t>) that weren't in the hand-written version. It validated with 0 errors on first deploy. The hand-authored file is kept only as a documented reference/fallback. Lesson: where a CoCo-native generation path exists, it's worth trying before hand-authoring — it produced a better artifact than the manually-drafted one, not just a faster one.</w:t>
      </w:r>
    </w:p>
    <w:p w14:paraId="07EF883E" w14:textId="77777777" w:rsidR="003915FB" w:rsidRDefault="00000000">
      <w:pPr>
        <w:pStyle w:val="Heading2"/>
        <w:spacing w:before="280" w:after="160"/>
      </w:pPr>
      <w:r>
        <w:lastRenderedPageBreak/>
        <w:t xml:space="preserve">6.3 Streamlit runtime: container runtime doesn't have </w:t>
      </w:r>
      <w:r>
        <w:rPr>
          <w:rFonts w:ascii="Consolas" w:eastAsia="Consolas" w:hAnsi="Consolas" w:cs="Consolas"/>
          <w:shd w:val="clear" w:color="auto" w:fill="F0F0F0"/>
        </w:rPr>
        <w:t>_snowflake</w:t>
      </w:r>
    </w:p>
    <w:p w14:paraId="07EF883F" w14:textId="77777777" w:rsidR="003915FB" w:rsidRDefault="00000000">
      <w:pPr>
        <w:spacing w:after="200"/>
      </w:pPr>
      <w:r>
        <w:t xml:space="preserve">The first deployment attempt created the Streamlit app the "modern" way, through a Workspaces project, which defaults to running on a </w:t>
      </w:r>
      <w:r>
        <w:rPr>
          <w:b/>
          <w:bCs/>
        </w:rPr>
        <w:t>Snowpark Container Services</w:t>
      </w:r>
      <w:r>
        <w:t xml:space="preserve"> compute pool (</w:t>
      </w:r>
      <w:r>
        <w:rPr>
          <w:rFonts w:ascii="Consolas" w:eastAsia="Consolas" w:hAnsi="Consolas" w:cs="Consolas"/>
          <w:shd w:val="clear" w:color="auto" w:fill="F0F0F0"/>
        </w:rPr>
        <w:t>SYSTEM_COMPUTE_POOL_CPU</w:t>
      </w:r>
      <w:r>
        <w:t xml:space="preserve">) rather than a warehouse. That runtime failed immediately with </w:t>
      </w:r>
      <w:r>
        <w:rPr>
          <w:rFonts w:ascii="Consolas" w:eastAsia="Consolas" w:hAnsi="Consolas" w:cs="Consolas"/>
          <w:shd w:val="clear" w:color="auto" w:fill="F0F0F0"/>
        </w:rPr>
        <w:t>ModuleNotFoundError: No module named '_snowflake'</w:t>
      </w:r>
      <w:r>
        <w:t xml:space="preserve"> — the internal module the app uses to call the Cortex Analyst REST endpoint (</w:t>
      </w:r>
      <w:r>
        <w:rPr>
          <w:rFonts w:ascii="Consolas" w:eastAsia="Consolas" w:hAnsi="Consolas" w:cs="Consolas"/>
          <w:shd w:val="clear" w:color="auto" w:fill="F0F0F0"/>
        </w:rPr>
        <w:t>_</w:t>
      </w:r>
      <w:proofErr w:type="gramStart"/>
      <w:r>
        <w:rPr>
          <w:rFonts w:ascii="Consolas" w:eastAsia="Consolas" w:hAnsi="Consolas" w:cs="Consolas"/>
          <w:shd w:val="clear" w:color="auto" w:fill="F0F0F0"/>
        </w:rPr>
        <w:t>snowflake.send</w:t>
      </w:r>
      <w:proofErr w:type="gramEnd"/>
      <w:r>
        <w:rPr>
          <w:rFonts w:ascii="Consolas" w:eastAsia="Consolas" w:hAnsi="Consolas" w:cs="Consolas"/>
          <w:shd w:val="clear" w:color="auto" w:fill="F0F0F0"/>
        </w:rPr>
        <w:t>_snow_api_request</w:t>
      </w:r>
      <w:r>
        <w:t xml:space="preserve">) is only available in the classic </w:t>
      </w:r>
      <w:r>
        <w:rPr>
          <w:b/>
          <w:bCs/>
        </w:rPr>
        <w:t>warehouse-based</w:t>
      </w:r>
      <w:r>
        <w:t xml:space="preserve"> Streamlit-in-Snowflake runtime, not the container runtime. The fix was to recreate the app via </w:t>
      </w:r>
      <w:r>
        <w:rPr>
          <w:b/>
          <w:bCs/>
        </w:rPr>
        <w:t>Streamlit Apps → "Create on warehouse (legacy)"</w:t>
      </w:r>
      <w:r>
        <w:t xml:space="preserve"> instead of the Workspaces default, pointed at </w:t>
      </w:r>
      <w:r>
        <w:rPr>
          <w:rFonts w:ascii="Consolas" w:eastAsia="Consolas" w:hAnsi="Consolas" w:cs="Consolas"/>
          <w:shd w:val="clear" w:color="auto" w:fill="F0F0F0"/>
        </w:rPr>
        <w:t>RISK_COPILOT_DEMO.PUBLIC</w:t>
      </w:r>
      <w:r>
        <w:t xml:space="preserve"> / </w:t>
      </w:r>
      <w:r>
        <w:rPr>
          <w:rFonts w:ascii="Consolas" w:eastAsia="Consolas" w:hAnsi="Consolas" w:cs="Consolas"/>
          <w:shd w:val="clear" w:color="auto" w:fill="F0F0F0"/>
        </w:rPr>
        <w:t>COMPUTE_WH</w:t>
      </w:r>
      <w:r>
        <w:t xml:space="preserve">. Once recreated there, the app ran immediately. Lesson: for anything calling Snowflake's internal </w:t>
      </w:r>
      <w:r>
        <w:rPr>
          <w:rFonts w:ascii="Consolas" w:eastAsia="Consolas" w:hAnsi="Consolas" w:cs="Consolas"/>
          <w:shd w:val="clear" w:color="auto" w:fill="F0F0F0"/>
        </w:rPr>
        <w:t>_snowflake</w:t>
      </w:r>
      <w:r>
        <w:t xml:space="preserve"> REST bridge, use the warehouse runtime — the newer container-based default doesn't expose it (at least not on this trial account/region).</w:t>
      </w:r>
    </w:p>
    <w:p w14:paraId="07EF8840" w14:textId="77777777" w:rsidR="003915FB" w:rsidRDefault="00000000">
      <w:pPr>
        <w:pStyle w:val="Heading1"/>
        <w:spacing w:before="280" w:after="160"/>
      </w:pPr>
      <w:r>
        <w:t>7. What's live right now (as tested)</w:t>
      </w:r>
    </w:p>
    <w:p w14:paraId="07EF8841" w14:textId="77777777" w:rsidR="003915FB" w:rsidRDefault="00000000">
      <w:pPr>
        <w:pStyle w:val="ListParagraph"/>
        <w:numPr>
          <w:ilvl w:val="0"/>
          <w:numId w:val="2"/>
        </w:numPr>
        <w:spacing w:after="120"/>
      </w:pPr>
      <w:r>
        <w:rPr>
          <w:b/>
          <w:bCs/>
        </w:rPr>
        <w:t>Data</w:t>
      </w:r>
      <w:r>
        <w:t xml:space="preserve">: </w:t>
      </w:r>
      <w:r>
        <w:rPr>
          <w:rFonts w:ascii="Consolas" w:eastAsia="Consolas" w:hAnsi="Consolas" w:cs="Consolas"/>
          <w:shd w:val="clear" w:color="auto" w:fill="F0F0F0"/>
        </w:rPr>
        <w:t>RISK_COPILOT_DEMO.PUBLIC</w:t>
      </w:r>
      <w:r>
        <w:t xml:space="preserve"> — 500 customers, 623 accounts, 350 counterparties, 15,000 transactions, 2,213 fraud alerts, 350 AML cases, 4 regulatory rules, plus an empty </w:t>
      </w:r>
      <w:r>
        <w:rPr>
          <w:rFonts w:ascii="Consolas" w:eastAsia="Consolas" w:hAnsi="Consolas" w:cs="Consolas"/>
          <w:shd w:val="clear" w:color="auto" w:fill="F0F0F0"/>
        </w:rPr>
        <w:t>AUDIT_LOG</w:t>
      </w:r>
      <w:r>
        <w:t xml:space="preserve"> that fills up as the app is used.</w:t>
      </w:r>
    </w:p>
    <w:p w14:paraId="07EF8842" w14:textId="77777777" w:rsidR="003915FB" w:rsidRDefault="00000000">
      <w:pPr>
        <w:pStyle w:val="ListParagraph"/>
        <w:numPr>
          <w:ilvl w:val="0"/>
          <w:numId w:val="2"/>
        </w:numPr>
        <w:spacing w:after="120"/>
      </w:pPr>
      <w:r>
        <w:rPr>
          <w:b/>
          <w:bCs/>
        </w:rPr>
        <w:t>Semantic view</w:t>
      </w:r>
      <w:r>
        <w:t xml:space="preserve">: </w:t>
      </w:r>
      <w:r>
        <w:rPr>
          <w:rFonts w:ascii="Consolas" w:eastAsia="Consolas" w:hAnsi="Consolas" w:cs="Consolas"/>
          <w:shd w:val="clear" w:color="auto" w:fill="F0F0F0"/>
        </w:rPr>
        <w:t>RISK_COPILOT_</w:t>
      </w:r>
      <w:proofErr w:type="gramStart"/>
      <w:r>
        <w:rPr>
          <w:rFonts w:ascii="Consolas" w:eastAsia="Consolas" w:hAnsi="Consolas" w:cs="Consolas"/>
          <w:shd w:val="clear" w:color="auto" w:fill="F0F0F0"/>
        </w:rPr>
        <w:t>DEMO.PUBLIC.RISK</w:t>
      </w:r>
      <w:proofErr w:type="gramEnd"/>
      <w:r>
        <w:rPr>
          <w:rFonts w:ascii="Consolas" w:eastAsia="Consolas" w:hAnsi="Consolas" w:cs="Consolas"/>
          <w:shd w:val="clear" w:color="auto" w:fill="F0F0F0"/>
        </w:rPr>
        <w:t>_FRAUD_COPILOT</w:t>
      </w:r>
      <w:r>
        <w:t>.</w:t>
      </w:r>
    </w:p>
    <w:p w14:paraId="07EF8843" w14:textId="77777777" w:rsidR="003915FB" w:rsidRDefault="00000000">
      <w:pPr>
        <w:pStyle w:val="ListParagraph"/>
        <w:numPr>
          <w:ilvl w:val="0"/>
          <w:numId w:val="2"/>
        </w:numPr>
        <w:spacing w:after="120"/>
      </w:pPr>
      <w:r>
        <w:rPr>
          <w:b/>
          <w:bCs/>
        </w:rPr>
        <w:t>Cortex Agent</w:t>
      </w:r>
      <w:r>
        <w:t xml:space="preserve">: </w:t>
      </w:r>
      <w:r>
        <w:rPr>
          <w:rFonts w:ascii="Consolas" w:eastAsia="Consolas" w:hAnsi="Consolas" w:cs="Consolas"/>
          <w:shd w:val="clear" w:color="auto" w:fill="F0F0F0"/>
        </w:rPr>
        <w:t>RISK_COPILOT_</w:t>
      </w:r>
      <w:proofErr w:type="gramStart"/>
      <w:r>
        <w:rPr>
          <w:rFonts w:ascii="Consolas" w:eastAsia="Consolas" w:hAnsi="Consolas" w:cs="Consolas"/>
          <w:shd w:val="clear" w:color="auto" w:fill="F0F0F0"/>
        </w:rPr>
        <w:t>DEMO.PUBLIC.RISK</w:t>
      </w:r>
      <w:proofErr w:type="gramEnd"/>
      <w:r>
        <w:rPr>
          <w:rFonts w:ascii="Consolas" w:eastAsia="Consolas" w:hAnsi="Consolas" w:cs="Consolas"/>
          <w:shd w:val="clear" w:color="auto" w:fill="F0F0F0"/>
        </w:rPr>
        <w:t>_FRAUD_COPILOT_AGENT</w:t>
      </w:r>
      <w:r>
        <w:t xml:space="preserve"> (</w:t>
      </w:r>
      <w:r>
        <w:rPr>
          <w:rFonts w:ascii="Consolas" w:eastAsia="Consolas" w:hAnsi="Consolas" w:cs="Consolas"/>
          <w:shd w:val="clear" w:color="auto" w:fill="F0F0F0"/>
        </w:rPr>
        <w:t>risk_fraud_analyst</w:t>
      </w:r>
      <w:r>
        <w:t xml:space="preserve"> tool, warehouse </w:t>
      </w:r>
      <w:r>
        <w:rPr>
          <w:rFonts w:ascii="Consolas" w:eastAsia="Consolas" w:hAnsi="Consolas" w:cs="Consolas"/>
          <w:shd w:val="clear" w:color="auto" w:fill="F0F0F0"/>
        </w:rPr>
        <w:t>COMPUTE_WH</w:t>
      </w:r>
      <w:r>
        <w:t>) — live-tested: "What is the average fraud risk score by alert type?" correctly returned Sanctions-Hit 92.55, Structuring 82.35, Unusual-Amount 67.32, Velocity 62.76.</w:t>
      </w:r>
    </w:p>
    <w:p w14:paraId="07EF8844" w14:textId="77777777" w:rsidR="003915FB" w:rsidRDefault="00000000">
      <w:pPr>
        <w:pStyle w:val="ListParagraph"/>
        <w:numPr>
          <w:ilvl w:val="0"/>
          <w:numId w:val="2"/>
        </w:numPr>
        <w:spacing w:after="120"/>
      </w:pPr>
      <w:r>
        <w:rPr>
          <w:b/>
          <w:bCs/>
        </w:rPr>
        <w:t>Streamlit app</w:t>
      </w:r>
      <w:r>
        <w:t xml:space="preserve">: </w:t>
      </w:r>
      <w:r>
        <w:rPr>
          <w:rFonts w:ascii="Consolas" w:eastAsia="Consolas" w:hAnsi="Consolas" w:cs="Consolas"/>
          <w:shd w:val="clear" w:color="auto" w:fill="F0F0F0"/>
        </w:rPr>
        <w:t>RISK_FRAUD_COPILOT_APP</w:t>
      </w:r>
      <w:r>
        <w:t xml:space="preserve"> (warehouse runtime, </w:t>
      </w:r>
      <w:r>
        <w:rPr>
          <w:rFonts w:ascii="Consolas" w:eastAsia="Consolas" w:hAnsi="Consolas" w:cs="Consolas"/>
          <w:shd w:val="clear" w:color="auto" w:fill="F0F0F0"/>
        </w:rPr>
        <w:t>COMPUTE_WH</w:t>
      </w:r>
      <w:r>
        <w:t xml:space="preserve">) — live-tested end-to-end: asked "Which accounts triggered the most fraud alerts in the last 7 days?", got 118 matching records, risk classification </w:t>
      </w:r>
      <w:r>
        <w:rPr>
          <w:b/>
          <w:bCs/>
        </w:rPr>
        <w:t>Medium</w:t>
      </w:r>
      <w:r>
        <w:t xml:space="preserve">, cited rule </w:t>
      </w:r>
      <w:r>
        <w:rPr>
          <w:b/>
          <w:bCs/>
        </w:rPr>
        <w:t>AML-CTR-01</w:t>
      </w:r>
      <w:r>
        <w:t xml:space="preserve">, generated SQL and result table displayed, and a new row appeared in </w:t>
      </w:r>
      <w:r>
        <w:rPr>
          <w:rFonts w:ascii="Consolas" w:eastAsia="Consolas" w:hAnsi="Consolas" w:cs="Consolas"/>
          <w:shd w:val="clear" w:color="auto" w:fill="F0F0F0"/>
        </w:rPr>
        <w:t>AUDIT_LOG</w:t>
      </w:r>
      <w:r>
        <w:t xml:space="preserve"> *before* the answer was shown.</w:t>
      </w:r>
    </w:p>
    <w:p w14:paraId="07EF8845" w14:textId="77777777" w:rsidR="003915FB" w:rsidRDefault="00000000">
      <w:pPr>
        <w:pStyle w:val="Heading1"/>
        <w:spacing w:before="280" w:after="160"/>
      </w:pPr>
      <w:r>
        <w:t>8. Scope — what was deliberately left out, and why</w:t>
      </w:r>
    </w:p>
    <w:p w14:paraId="07EF8846" w14:textId="77777777" w:rsidR="003915FB" w:rsidRDefault="00000000">
      <w:pPr>
        <w:spacing w:after="200"/>
      </w:pPr>
      <w:r>
        <w:t xml:space="preserve">Named explicitly (per </w:t>
      </w:r>
      <w:r>
        <w:rPr>
          <w:rFonts w:ascii="Consolas" w:eastAsia="Consolas" w:hAnsi="Consolas" w:cs="Consolas"/>
          <w:shd w:val="clear" w:color="auto" w:fill="F0F0F0"/>
        </w:rPr>
        <w:t>RISK_FRAUD_COPILOT_DESIGN.md</w:t>
      </w:r>
      <w:r>
        <w:t xml:space="preserve"> §5 and </w:t>
      </w:r>
      <w:r>
        <w:rPr>
          <w:rFonts w:ascii="Consolas" w:eastAsia="Consolas" w:hAnsi="Consolas" w:cs="Consolas"/>
          <w:shd w:val="clear" w:color="auto" w:fill="F0F0F0"/>
        </w:rPr>
        <w:t>DEMO_SCRIPT.md</w:t>
      </w:r>
      <w:r>
        <w:t xml:space="preserve"> §6) so these read as decisions, not gaps discovered by a judge:</w:t>
      </w:r>
    </w:p>
    <w:p w14:paraId="07EF8847" w14:textId="77777777" w:rsidR="003915FB" w:rsidRDefault="00000000">
      <w:pPr>
        <w:pStyle w:val="ListParagraph"/>
        <w:numPr>
          <w:ilvl w:val="0"/>
          <w:numId w:val="2"/>
        </w:numPr>
        <w:spacing w:after="120"/>
      </w:pPr>
      <w:r>
        <w:rPr>
          <w:b/>
          <w:bCs/>
        </w:rPr>
        <w:t xml:space="preserve">Liquidity and credit </w:t>
      </w:r>
      <w:proofErr w:type="gramStart"/>
      <w:r>
        <w:rPr>
          <w:b/>
          <w:bCs/>
        </w:rPr>
        <w:t>risk</w:t>
      </w:r>
      <w:r>
        <w:t>:</w:t>
      </w:r>
      <w:proofErr w:type="gramEnd"/>
      <w:r>
        <w:t xml:space="preserve"> not built. A real "Risk, Fraud and Regulatory" platform would eventually cover this, but it's a materially different data model (balance sheets, exposures, collateral) and was cut to keep the 3-week build focused. Named as </w:t>
      </w:r>
      <w:r>
        <w:rPr>
          <w:b/>
          <w:bCs/>
        </w:rPr>
        <w:t>Phase 2</w:t>
      </w:r>
      <w:r>
        <w:t>.</w:t>
      </w:r>
    </w:p>
    <w:p w14:paraId="07EF8848" w14:textId="77777777" w:rsidR="003915FB" w:rsidRDefault="00000000">
      <w:pPr>
        <w:pStyle w:val="ListParagraph"/>
        <w:numPr>
          <w:ilvl w:val="0"/>
          <w:numId w:val="2"/>
        </w:numPr>
        <w:spacing w:after="120"/>
      </w:pPr>
      <w:r>
        <w:rPr>
          <w:b/>
          <w:bCs/>
        </w:rPr>
        <w:t>Basel-III capital/liquidity ratios</w:t>
      </w:r>
      <w:r>
        <w:t>: out of scope entirely for this submission; only AML/CTR/SAR-style regulatory framing is covered.</w:t>
      </w:r>
    </w:p>
    <w:p w14:paraId="07EF8849" w14:textId="77777777" w:rsidR="003915FB" w:rsidRDefault="00000000">
      <w:pPr>
        <w:pStyle w:val="ListParagraph"/>
        <w:numPr>
          <w:ilvl w:val="0"/>
          <w:numId w:val="2"/>
        </w:numPr>
        <w:spacing w:after="120"/>
      </w:pPr>
      <w:r>
        <w:rPr>
          <w:b/>
          <w:bCs/>
        </w:rPr>
        <w:t>100% synthetic data</w:t>
      </w:r>
      <w:r>
        <w:t>: no real bank or NBFC data anywhere in the system — by design, both for hackathon rules and to avoid any data-sensitivity question.</w:t>
      </w:r>
    </w:p>
    <w:p w14:paraId="07EF884A" w14:textId="77777777" w:rsidR="003915FB" w:rsidRDefault="00000000">
      <w:pPr>
        <w:pStyle w:val="ListParagraph"/>
        <w:numPr>
          <w:ilvl w:val="0"/>
          <w:numId w:val="2"/>
        </w:numPr>
        <w:spacing w:after="120"/>
      </w:pPr>
      <w:r>
        <w:rPr>
          <w:b/>
          <w:bCs/>
        </w:rPr>
        <w:t>"Real-time"</w:t>
      </w:r>
      <w:r>
        <w:t>: the system answers near-real-time queries over batch-loaded data, not a streaming ingestion pipeline. A production version would need CDC/streaming ingestion from core banking systems.</w:t>
      </w:r>
    </w:p>
    <w:p w14:paraId="07EF884B" w14:textId="77777777" w:rsidR="003915FB" w:rsidRDefault="00000000">
      <w:pPr>
        <w:pStyle w:val="ListParagraph"/>
        <w:numPr>
          <w:ilvl w:val="0"/>
          <w:numId w:val="2"/>
        </w:numPr>
        <w:spacing w:after="120"/>
      </w:pPr>
      <w:r>
        <w:rPr>
          <w:b/>
          <w:bCs/>
        </w:rPr>
        <w:t>Authentication</w:t>
      </w:r>
      <w:r>
        <w:t xml:space="preserve">: </w:t>
      </w:r>
      <w:r>
        <w:rPr>
          <w:rFonts w:ascii="Consolas" w:eastAsia="Consolas" w:hAnsi="Consolas" w:cs="Consolas"/>
          <w:shd w:val="clear" w:color="auto" w:fill="F0F0F0"/>
        </w:rPr>
        <w:t>PSEUDO_USER = "hackathon-demo-user"</w:t>
      </w:r>
      <w:r>
        <w:t xml:space="preserve"> is a placeholder in the audit log, not a real login/identity system.</w:t>
      </w:r>
    </w:p>
    <w:p w14:paraId="07EF884C" w14:textId="77777777" w:rsidR="003915FB" w:rsidRDefault="00000000">
      <w:pPr>
        <w:pStyle w:val="Heading1"/>
        <w:spacing w:before="280" w:after="160"/>
      </w:pPr>
      <w:r>
        <w:t>9. Cost / investment</w:t>
      </w:r>
    </w:p>
    <w:p w14:paraId="07EF884D" w14:textId="77777777" w:rsidR="003915FB" w:rsidRDefault="00000000">
      <w:pPr>
        <w:pStyle w:val="ListParagraph"/>
        <w:numPr>
          <w:ilvl w:val="0"/>
          <w:numId w:val="2"/>
        </w:numPr>
        <w:spacing w:after="120"/>
      </w:pPr>
      <w:r>
        <w:t>Snowflake trial account, $400 credit, 30-day window, no card on file (deliberately avoided a paid-tier signup to keep the hackathon build low-risk).</w:t>
      </w:r>
    </w:p>
    <w:p w14:paraId="07EF884E" w14:textId="77777777" w:rsidR="003915FB" w:rsidRDefault="00000000">
      <w:pPr>
        <w:pStyle w:val="ListParagraph"/>
        <w:numPr>
          <w:ilvl w:val="0"/>
          <w:numId w:val="2"/>
        </w:numPr>
        <w:spacing w:after="120"/>
      </w:pPr>
      <w:r>
        <w:t xml:space="preserve">Warehouse used throughout: </w:t>
      </w:r>
      <w:r>
        <w:rPr>
          <w:rFonts w:ascii="Consolas" w:eastAsia="Consolas" w:hAnsi="Consolas" w:cs="Consolas"/>
          <w:shd w:val="clear" w:color="auto" w:fill="F0F0F0"/>
        </w:rPr>
        <w:t>COMPUTE_WH</w:t>
      </w:r>
      <w:r>
        <w:t xml:space="preserve"> (pre-existing, X-Small-class trial warehouse) — no dedicated compute was provisioned beyond what the trial includes.</w:t>
      </w:r>
    </w:p>
    <w:p w14:paraId="07EF884F" w14:textId="77777777" w:rsidR="003915FB" w:rsidRDefault="00000000">
      <w:pPr>
        <w:pStyle w:val="ListParagraph"/>
        <w:numPr>
          <w:ilvl w:val="0"/>
          <w:numId w:val="2"/>
        </w:numPr>
        <w:spacing w:after="120"/>
      </w:pPr>
      <w:r>
        <w:lastRenderedPageBreak/>
        <w:t>Elapsed build time: roughly 3 weeks part-time, from design doc to a fully tested, end-to-end deployed system.</w:t>
      </w:r>
    </w:p>
    <w:p w14:paraId="07EF8850" w14:textId="77777777" w:rsidR="003915FB" w:rsidRDefault="00000000">
      <w:pPr>
        <w:pStyle w:val="Heading1"/>
        <w:spacing w:before="280" w:after="160"/>
      </w:pPr>
      <w:r>
        <w:t>10.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3915FB" w14:paraId="07EF8853" w14:textId="77777777">
        <w:tblPrEx>
          <w:tblCellMar>
            <w:top w:w="0" w:type="dxa"/>
            <w:bottom w:w="0" w:type="dxa"/>
          </w:tblCellMar>
        </w:tblPrEx>
        <w:tc>
          <w:tcPr>
            <w:tcW w:w="3276" w:type="dxa"/>
            <w:shd w:val="clear" w:color="auto" w:fill="D9E2F3"/>
            <w:tcMar>
              <w:top w:w="100" w:type="dxa"/>
              <w:left w:w="120" w:type="dxa"/>
              <w:bottom w:w="100" w:type="dxa"/>
              <w:right w:w="120" w:type="dxa"/>
            </w:tcMar>
          </w:tcPr>
          <w:p w14:paraId="07EF8851" w14:textId="77777777" w:rsidR="003915FB" w:rsidRDefault="00000000">
            <w:r>
              <w:rPr>
                <w:b/>
                <w:bCs/>
              </w:rPr>
              <w:t>Risk</w:t>
            </w:r>
          </w:p>
        </w:tc>
        <w:tc>
          <w:tcPr>
            <w:tcW w:w="6084" w:type="dxa"/>
            <w:shd w:val="clear" w:color="auto" w:fill="D9E2F3"/>
            <w:tcMar>
              <w:top w:w="100" w:type="dxa"/>
              <w:left w:w="120" w:type="dxa"/>
              <w:bottom w:w="100" w:type="dxa"/>
              <w:right w:w="120" w:type="dxa"/>
            </w:tcMar>
          </w:tcPr>
          <w:p w14:paraId="07EF8852" w14:textId="77777777" w:rsidR="003915FB" w:rsidRDefault="00000000">
            <w:r>
              <w:rPr>
                <w:b/>
                <w:bCs/>
              </w:rPr>
              <w:t>Mitigation</w:t>
            </w:r>
          </w:p>
        </w:tc>
      </w:tr>
      <w:tr w:rsidR="003915FB" w14:paraId="07EF8856" w14:textId="77777777">
        <w:tblPrEx>
          <w:tblCellMar>
            <w:top w:w="0" w:type="dxa"/>
            <w:bottom w:w="0" w:type="dxa"/>
          </w:tblCellMar>
        </w:tblPrEx>
        <w:tc>
          <w:tcPr>
            <w:tcW w:w="3276" w:type="dxa"/>
            <w:tcMar>
              <w:top w:w="100" w:type="dxa"/>
              <w:left w:w="120" w:type="dxa"/>
              <w:bottom w:w="100" w:type="dxa"/>
              <w:right w:w="120" w:type="dxa"/>
            </w:tcMar>
          </w:tcPr>
          <w:p w14:paraId="07EF8854" w14:textId="77777777" w:rsidR="003915FB" w:rsidRDefault="00000000">
            <w:r>
              <w:t>Live Cortex Agent/Streamlit misbehaves during judging</w:t>
            </w:r>
          </w:p>
        </w:tc>
        <w:tc>
          <w:tcPr>
            <w:tcW w:w="6084" w:type="dxa"/>
            <w:tcMar>
              <w:top w:w="100" w:type="dxa"/>
              <w:left w:w="120" w:type="dxa"/>
              <w:bottom w:w="100" w:type="dxa"/>
              <w:right w:w="120" w:type="dxa"/>
            </w:tcMar>
          </w:tcPr>
          <w:p w14:paraId="07EF8855" w14:textId="77777777" w:rsidR="003915FB" w:rsidRDefault="00000000">
            <w:r>
              <w:rPr>
                <w:rFonts w:ascii="Consolas" w:eastAsia="Consolas" w:hAnsi="Consolas" w:cs="Consolas"/>
                <w:shd w:val="clear" w:color="auto" w:fill="F0F0F0"/>
              </w:rPr>
              <w:t>DEMO_SCRIPT.md</w:t>
            </w:r>
            <w:r>
              <w:t xml:space="preserve"> keeps a pre-verified fallback question/answer pair and recommends a screen recording as backup.</w:t>
            </w:r>
          </w:p>
        </w:tc>
      </w:tr>
      <w:tr w:rsidR="003915FB" w14:paraId="07EF8859" w14:textId="77777777">
        <w:tblPrEx>
          <w:tblCellMar>
            <w:top w:w="0" w:type="dxa"/>
            <w:bottom w:w="0" w:type="dxa"/>
          </w:tblCellMar>
        </w:tblPrEx>
        <w:tc>
          <w:tcPr>
            <w:tcW w:w="3276" w:type="dxa"/>
            <w:tcMar>
              <w:top w:w="100" w:type="dxa"/>
              <w:left w:w="120" w:type="dxa"/>
              <w:bottom w:w="100" w:type="dxa"/>
              <w:right w:w="120" w:type="dxa"/>
            </w:tcMar>
          </w:tcPr>
          <w:p w14:paraId="07EF8857" w14:textId="77777777" w:rsidR="003915FB" w:rsidRDefault="00000000">
            <w:r>
              <w:t xml:space="preserve">Judges question why schema is </w:t>
            </w:r>
            <w:r>
              <w:rPr>
                <w:rFonts w:ascii="Consolas" w:eastAsia="Consolas" w:hAnsi="Consolas" w:cs="Consolas"/>
                <w:shd w:val="clear" w:color="auto" w:fill="F0F0F0"/>
              </w:rPr>
              <w:t>PUBLIC</w:t>
            </w:r>
            <w:r>
              <w:t xml:space="preserve"> not </w:t>
            </w:r>
            <w:r>
              <w:rPr>
                <w:rFonts w:ascii="Consolas" w:eastAsia="Consolas" w:hAnsi="Consolas" w:cs="Consolas"/>
                <w:shd w:val="clear" w:color="auto" w:fill="F0F0F0"/>
              </w:rPr>
              <w:t>RAW</w:t>
            </w:r>
          </w:p>
        </w:tc>
        <w:tc>
          <w:tcPr>
            <w:tcW w:w="6084" w:type="dxa"/>
            <w:tcMar>
              <w:top w:w="100" w:type="dxa"/>
              <w:left w:w="120" w:type="dxa"/>
              <w:bottom w:w="100" w:type="dxa"/>
              <w:right w:w="120" w:type="dxa"/>
            </w:tcMar>
          </w:tcPr>
          <w:p w14:paraId="07EF8858" w14:textId="77777777" w:rsidR="003915FB" w:rsidRDefault="00000000">
            <w:r>
              <w:t>Documented openly in README/this doc as a tooling constraint, not hidden.</w:t>
            </w:r>
          </w:p>
        </w:tc>
      </w:tr>
      <w:tr w:rsidR="003915FB" w14:paraId="07EF885C" w14:textId="77777777">
        <w:tblPrEx>
          <w:tblCellMar>
            <w:top w:w="0" w:type="dxa"/>
            <w:bottom w:w="0" w:type="dxa"/>
          </w:tblCellMar>
        </w:tblPrEx>
        <w:tc>
          <w:tcPr>
            <w:tcW w:w="3276" w:type="dxa"/>
            <w:tcMar>
              <w:top w:w="100" w:type="dxa"/>
              <w:left w:w="120" w:type="dxa"/>
              <w:bottom w:w="100" w:type="dxa"/>
              <w:right w:w="120" w:type="dxa"/>
            </w:tcMar>
          </w:tcPr>
          <w:p w14:paraId="07EF885A" w14:textId="77777777" w:rsidR="003915FB" w:rsidRDefault="00000000">
            <w:r>
              <w:t>Judges ask about production-readiness gaps (auth, streaming, liquidity/credit)</w:t>
            </w:r>
          </w:p>
        </w:tc>
        <w:tc>
          <w:tcPr>
            <w:tcW w:w="6084" w:type="dxa"/>
            <w:tcMar>
              <w:top w:w="100" w:type="dxa"/>
              <w:left w:w="120" w:type="dxa"/>
              <w:bottom w:w="100" w:type="dxa"/>
              <w:right w:w="120" w:type="dxa"/>
            </w:tcMar>
          </w:tcPr>
          <w:p w14:paraId="07EF885B" w14:textId="77777777" w:rsidR="003915FB" w:rsidRDefault="00000000">
            <w:r>
              <w:t>Named proactively in the demo script as "Phase 2," framed as scoping discipline.</w:t>
            </w:r>
          </w:p>
        </w:tc>
      </w:tr>
      <w:tr w:rsidR="003915FB" w14:paraId="07EF885F" w14:textId="77777777">
        <w:tblPrEx>
          <w:tblCellMar>
            <w:top w:w="0" w:type="dxa"/>
            <w:bottom w:w="0" w:type="dxa"/>
          </w:tblCellMar>
        </w:tblPrEx>
        <w:tc>
          <w:tcPr>
            <w:tcW w:w="3276" w:type="dxa"/>
            <w:tcMar>
              <w:top w:w="100" w:type="dxa"/>
              <w:left w:w="120" w:type="dxa"/>
              <w:bottom w:w="100" w:type="dxa"/>
              <w:right w:w="120" w:type="dxa"/>
            </w:tcMar>
          </w:tcPr>
          <w:p w14:paraId="07EF885D" w14:textId="77777777" w:rsidR="003915FB" w:rsidRDefault="00000000">
            <w:r>
              <w:t>Trial account credit/time runs out before finale (Oct 27–30)</w:t>
            </w:r>
          </w:p>
        </w:tc>
        <w:tc>
          <w:tcPr>
            <w:tcW w:w="6084" w:type="dxa"/>
            <w:tcMar>
              <w:top w:w="100" w:type="dxa"/>
              <w:left w:w="120" w:type="dxa"/>
              <w:bottom w:w="100" w:type="dxa"/>
              <w:right w:w="120" w:type="dxa"/>
            </w:tcMar>
          </w:tcPr>
          <w:p w14:paraId="07EF885E" w14:textId="77777777" w:rsidR="003915FB" w:rsidRDefault="00000000">
            <w:r>
              <w:t>$400 credit and 30-day window were sized against the hackathon's own timeline before starting; revisit before the finale if the trial has expired.</w:t>
            </w:r>
          </w:p>
        </w:tc>
      </w:tr>
    </w:tbl>
    <w:p w14:paraId="07EF8860" w14:textId="77777777" w:rsidR="003915FB" w:rsidRDefault="003915FB">
      <w:pPr>
        <w:spacing w:after="160"/>
      </w:pPr>
    </w:p>
    <w:p w14:paraId="07EF8861" w14:textId="77777777" w:rsidR="003915FB" w:rsidRDefault="00000000">
      <w:pPr>
        <w:pStyle w:val="Heading1"/>
        <w:spacing w:before="280" w:after="160"/>
      </w:pPr>
      <w:r>
        <w:t>11. What "success" looks like for this submission</w:t>
      </w:r>
    </w:p>
    <w:p w14:paraId="07EF8862" w14:textId="77777777" w:rsidR="003915FB" w:rsidRDefault="00000000">
      <w:pPr>
        <w:spacing w:after="200"/>
      </w:pPr>
      <w:r>
        <w:t xml:space="preserve">Not "the agent gave a smart answer" — the bar this project is built against is: *given a plain-English compliance question, can the system produce a specific, cited, data-grounded answer, and can it prove after the fact who asked what and why it was </w:t>
      </w:r>
      <w:proofErr w:type="gramStart"/>
      <w:r>
        <w:t>flagged?*</w:t>
      </w:r>
      <w:proofErr w:type="gramEnd"/>
      <w:r>
        <w:t xml:space="preserve"> Every live test in §7 was checked against that bar, not just against "did it return rows."</w:t>
      </w:r>
    </w:p>
    <w:p w14:paraId="07EF8863" w14:textId="77777777" w:rsidR="003915FB" w:rsidRDefault="00000000">
      <w:pPr>
        <w:pStyle w:val="Heading1"/>
        <w:spacing w:before="280" w:after="160"/>
      </w:pPr>
      <w:r>
        <w:t>12. Possible next steps (post-hackathon, if continued)</w:t>
      </w:r>
    </w:p>
    <w:p w14:paraId="07EF8864" w14:textId="77777777" w:rsidR="003915FB" w:rsidRDefault="00000000">
      <w:pPr>
        <w:pStyle w:val="ListParagraph"/>
        <w:numPr>
          <w:ilvl w:val="0"/>
          <w:numId w:val="4"/>
        </w:numPr>
        <w:spacing w:after="120"/>
      </w:pPr>
      <w:r>
        <w:t>Build the Phase 2 liquidity/credit-risk data model and semantic view, reusing the same agent + audit-wrapper pattern.</w:t>
      </w:r>
    </w:p>
    <w:p w14:paraId="07EF8865" w14:textId="77777777" w:rsidR="003915FB" w:rsidRDefault="00000000">
      <w:pPr>
        <w:pStyle w:val="ListParagraph"/>
        <w:numPr>
          <w:ilvl w:val="0"/>
          <w:numId w:val="4"/>
        </w:numPr>
        <w:spacing w:after="120"/>
      </w:pPr>
      <w:r>
        <w:t xml:space="preserve">Replace </w:t>
      </w:r>
      <w:r>
        <w:rPr>
          <w:rFonts w:ascii="Consolas" w:eastAsia="Consolas" w:hAnsi="Consolas" w:cs="Consolas"/>
          <w:shd w:val="clear" w:color="auto" w:fill="F0F0F0"/>
        </w:rPr>
        <w:t>PSEUDO_USER</w:t>
      </w:r>
      <w:r>
        <w:t xml:space="preserve"> with real Snowflake-native auth (</w:t>
      </w:r>
      <w:r>
        <w:rPr>
          <w:rFonts w:ascii="Consolas" w:eastAsia="Consolas" w:hAnsi="Consolas" w:cs="Consolas"/>
          <w:shd w:val="clear" w:color="auto" w:fill="F0F0F0"/>
        </w:rPr>
        <w:t>CURRENT_</w:t>
      </w:r>
      <w:proofErr w:type="gramStart"/>
      <w:r>
        <w:rPr>
          <w:rFonts w:ascii="Consolas" w:eastAsia="Consolas" w:hAnsi="Consolas" w:cs="Consolas"/>
          <w:shd w:val="clear" w:color="auto" w:fill="F0F0F0"/>
        </w:rPr>
        <w:t>USER(</w:t>
      </w:r>
      <w:proofErr w:type="gramEnd"/>
      <w:r>
        <w:rPr>
          <w:rFonts w:ascii="Consolas" w:eastAsia="Consolas" w:hAnsi="Consolas" w:cs="Consolas"/>
          <w:shd w:val="clear" w:color="auto" w:fill="F0F0F0"/>
        </w:rPr>
        <w:t>)</w:t>
      </w:r>
      <w:r>
        <w:t>) so the audit log reflects actual identities.</w:t>
      </w:r>
    </w:p>
    <w:p w14:paraId="07EF8866" w14:textId="77777777" w:rsidR="003915FB" w:rsidRDefault="00000000">
      <w:pPr>
        <w:pStyle w:val="ListParagraph"/>
        <w:numPr>
          <w:ilvl w:val="0"/>
          <w:numId w:val="4"/>
        </w:numPr>
        <w:spacing w:after="120"/>
      </w:pPr>
      <w:r>
        <w:t>Move from batch-loaded CSVs to a streaming/CDC ingestion pattern for the transactions table, to make "near-real-time" closer to literal.</w:t>
      </w:r>
    </w:p>
    <w:p w14:paraId="07EF8867" w14:textId="77777777" w:rsidR="003915FB" w:rsidRDefault="00000000">
      <w:pPr>
        <w:pStyle w:val="ListParagraph"/>
        <w:numPr>
          <w:ilvl w:val="0"/>
          <w:numId w:val="4"/>
        </w:numPr>
        <w:spacing w:after="120"/>
      </w:pPr>
      <w:r>
        <w:t xml:space="preserve">Revisit whether the container-runtime Streamlit limitation (§6.3) is region/version-specific or a general constraint, since it affects any future Streamlit-in-Snowflake app that needs </w:t>
      </w:r>
      <w:r>
        <w:rPr>
          <w:rFonts w:ascii="Consolas" w:eastAsia="Consolas" w:hAnsi="Consolas" w:cs="Consolas"/>
          <w:shd w:val="clear" w:color="auto" w:fill="F0F0F0"/>
        </w:rPr>
        <w:t>_snowflake</w:t>
      </w:r>
      <w:r>
        <w:t xml:space="preserve"> REST calls.</w:t>
      </w:r>
    </w:p>
    <w:sectPr w:rsidR="003915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01FF"/>
    <w:multiLevelType w:val="hybridMultilevel"/>
    <w:tmpl w:val="61BCFE70"/>
    <w:lvl w:ilvl="0" w:tplc="CA9C68B8">
      <w:start w:val="1"/>
      <w:numFmt w:val="bullet"/>
      <w:lvlText w:val="●"/>
      <w:lvlJc w:val="left"/>
      <w:pPr>
        <w:ind w:left="720" w:hanging="360"/>
      </w:pPr>
    </w:lvl>
    <w:lvl w:ilvl="1" w:tplc="F272C5F0">
      <w:start w:val="1"/>
      <w:numFmt w:val="bullet"/>
      <w:lvlText w:val="○"/>
      <w:lvlJc w:val="left"/>
      <w:pPr>
        <w:ind w:left="1440" w:hanging="360"/>
      </w:pPr>
    </w:lvl>
    <w:lvl w:ilvl="2" w:tplc="FCFE41DA">
      <w:start w:val="1"/>
      <w:numFmt w:val="bullet"/>
      <w:lvlText w:val="■"/>
      <w:lvlJc w:val="left"/>
      <w:pPr>
        <w:ind w:left="2160" w:hanging="360"/>
      </w:pPr>
    </w:lvl>
    <w:lvl w:ilvl="3" w:tplc="B91CF86C">
      <w:start w:val="1"/>
      <w:numFmt w:val="bullet"/>
      <w:lvlText w:val="●"/>
      <w:lvlJc w:val="left"/>
      <w:pPr>
        <w:ind w:left="2880" w:hanging="360"/>
      </w:pPr>
    </w:lvl>
    <w:lvl w:ilvl="4" w:tplc="DEBA4A54">
      <w:start w:val="1"/>
      <w:numFmt w:val="bullet"/>
      <w:lvlText w:val="○"/>
      <w:lvlJc w:val="left"/>
      <w:pPr>
        <w:ind w:left="3600" w:hanging="360"/>
      </w:pPr>
    </w:lvl>
    <w:lvl w:ilvl="5" w:tplc="F3605DEE">
      <w:start w:val="1"/>
      <w:numFmt w:val="bullet"/>
      <w:lvlText w:val="■"/>
      <w:lvlJc w:val="left"/>
      <w:pPr>
        <w:ind w:left="4320" w:hanging="360"/>
      </w:pPr>
    </w:lvl>
    <w:lvl w:ilvl="6" w:tplc="F9B2D94E">
      <w:start w:val="1"/>
      <w:numFmt w:val="bullet"/>
      <w:lvlText w:val="●"/>
      <w:lvlJc w:val="left"/>
      <w:pPr>
        <w:ind w:left="5040" w:hanging="360"/>
      </w:pPr>
    </w:lvl>
    <w:lvl w:ilvl="7" w:tplc="3B26AE24">
      <w:start w:val="1"/>
      <w:numFmt w:val="bullet"/>
      <w:lvlText w:val="●"/>
      <w:lvlJc w:val="left"/>
      <w:pPr>
        <w:ind w:left="5760" w:hanging="360"/>
      </w:pPr>
    </w:lvl>
    <w:lvl w:ilvl="8" w:tplc="0EF63D5C">
      <w:start w:val="1"/>
      <w:numFmt w:val="bullet"/>
      <w:lvlText w:val="●"/>
      <w:lvlJc w:val="left"/>
      <w:pPr>
        <w:ind w:left="6480" w:hanging="360"/>
      </w:pPr>
    </w:lvl>
  </w:abstractNum>
  <w:abstractNum w:abstractNumId="1" w15:restartNumberingAfterBreak="0">
    <w:nsid w:val="13793ADD"/>
    <w:multiLevelType w:val="hybridMultilevel"/>
    <w:tmpl w:val="C0400A50"/>
    <w:lvl w:ilvl="0" w:tplc="F620B24A">
      <w:start w:val="1"/>
      <w:numFmt w:val="bullet"/>
      <w:lvlText w:val="•"/>
      <w:lvlJc w:val="left"/>
      <w:pPr>
        <w:ind w:left="504" w:hanging="288"/>
      </w:pPr>
    </w:lvl>
    <w:lvl w:ilvl="1" w:tplc="3C82C88E">
      <w:numFmt w:val="decimal"/>
      <w:lvlText w:val=""/>
      <w:lvlJc w:val="left"/>
    </w:lvl>
    <w:lvl w:ilvl="2" w:tplc="7556C762">
      <w:numFmt w:val="decimal"/>
      <w:lvlText w:val=""/>
      <w:lvlJc w:val="left"/>
    </w:lvl>
    <w:lvl w:ilvl="3" w:tplc="A9B4134A">
      <w:numFmt w:val="decimal"/>
      <w:lvlText w:val=""/>
      <w:lvlJc w:val="left"/>
    </w:lvl>
    <w:lvl w:ilvl="4" w:tplc="70F86D2A">
      <w:numFmt w:val="decimal"/>
      <w:lvlText w:val=""/>
      <w:lvlJc w:val="left"/>
    </w:lvl>
    <w:lvl w:ilvl="5" w:tplc="85E8BC7A">
      <w:numFmt w:val="decimal"/>
      <w:lvlText w:val=""/>
      <w:lvlJc w:val="left"/>
    </w:lvl>
    <w:lvl w:ilvl="6" w:tplc="0548DD30">
      <w:numFmt w:val="decimal"/>
      <w:lvlText w:val=""/>
      <w:lvlJc w:val="left"/>
    </w:lvl>
    <w:lvl w:ilvl="7" w:tplc="0C4615A0">
      <w:numFmt w:val="decimal"/>
      <w:lvlText w:val=""/>
      <w:lvlJc w:val="left"/>
    </w:lvl>
    <w:lvl w:ilvl="8" w:tplc="DEECAF14">
      <w:numFmt w:val="decimal"/>
      <w:lvlText w:val=""/>
      <w:lvlJc w:val="left"/>
    </w:lvl>
  </w:abstractNum>
  <w:abstractNum w:abstractNumId="2" w15:restartNumberingAfterBreak="0">
    <w:nsid w:val="24382E34"/>
    <w:multiLevelType w:val="hybridMultilevel"/>
    <w:tmpl w:val="9DF4178A"/>
    <w:lvl w:ilvl="0" w:tplc="485C451A">
      <w:start w:val="1"/>
      <w:numFmt w:val="decimal"/>
      <w:lvlText w:val="%1."/>
      <w:lvlJc w:val="left"/>
      <w:pPr>
        <w:ind w:left="576" w:hanging="360"/>
      </w:pPr>
    </w:lvl>
    <w:lvl w:ilvl="1" w:tplc="781AFA1C">
      <w:numFmt w:val="decimal"/>
      <w:lvlText w:val=""/>
      <w:lvlJc w:val="left"/>
    </w:lvl>
    <w:lvl w:ilvl="2" w:tplc="BAC0D380">
      <w:numFmt w:val="decimal"/>
      <w:lvlText w:val=""/>
      <w:lvlJc w:val="left"/>
    </w:lvl>
    <w:lvl w:ilvl="3" w:tplc="82C403C6">
      <w:numFmt w:val="decimal"/>
      <w:lvlText w:val=""/>
      <w:lvlJc w:val="left"/>
    </w:lvl>
    <w:lvl w:ilvl="4" w:tplc="1BA03C9A">
      <w:numFmt w:val="decimal"/>
      <w:lvlText w:val=""/>
      <w:lvlJc w:val="left"/>
    </w:lvl>
    <w:lvl w:ilvl="5" w:tplc="5B14A2C4">
      <w:numFmt w:val="decimal"/>
      <w:lvlText w:val=""/>
      <w:lvlJc w:val="left"/>
    </w:lvl>
    <w:lvl w:ilvl="6" w:tplc="D674C6B4">
      <w:numFmt w:val="decimal"/>
      <w:lvlText w:val=""/>
      <w:lvlJc w:val="left"/>
    </w:lvl>
    <w:lvl w:ilvl="7" w:tplc="7EAC03C6">
      <w:numFmt w:val="decimal"/>
      <w:lvlText w:val=""/>
      <w:lvlJc w:val="left"/>
    </w:lvl>
    <w:lvl w:ilvl="8" w:tplc="1EAC173A">
      <w:numFmt w:val="decimal"/>
      <w:lvlText w:val=""/>
      <w:lvlJc w:val="left"/>
    </w:lvl>
  </w:abstractNum>
  <w:abstractNum w:abstractNumId="3" w15:restartNumberingAfterBreak="0">
    <w:nsid w:val="2E581688"/>
    <w:multiLevelType w:val="hybridMultilevel"/>
    <w:tmpl w:val="37E84F7E"/>
    <w:lvl w:ilvl="0" w:tplc="EB8CE618">
      <w:start w:val="1"/>
      <w:numFmt w:val="decimal"/>
      <w:lvlText w:val="%1."/>
      <w:lvlJc w:val="left"/>
      <w:pPr>
        <w:ind w:left="576" w:hanging="360"/>
      </w:pPr>
    </w:lvl>
    <w:lvl w:ilvl="1" w:tplc="D4B4A234">
      <w:numFmt w:val="decimal"/>
      <w:lvlText w:val=""/>
      <w:lvlJc w:val="left"/>
    </w:lvl>
    <w:lvl w:ilvl="2" w:tplc="38EE58C8">
      <w:numFmt w:val="decimal"/>
      <w:lvlText w:val=""/>
      <w:lvlJc w:val="left"/>
    </w:lvl>
    <w:lvl w:ilvl="3" w:tplc="7E9E137E">
      <w:numFmt w:val="decimal"/>
      <w:lvlText w:val=""/>
      <w:lvlJc w:val="left"/>
    </w:lvl>
    <w:lvl w:ilvl="4" w:tplc="50344710">
      <w:numFmt w:val="decimal"/>
      <w:lvlText w:val=""/>
      <w:lvlJc w:val="left"/>
    </w:lvl>
    <w:lvl w:ilvl="5" w:tplc="ACBE5F2A">
      <w:numFmt w:val="decimal"/>
      <w:lvlText w:val=""/>
      <w:lvlJc w:val="left"/>
    </w:lvl>
    <w:lvl w:ilvl="6" w:tplc="6D889B4C">
      <w:numFmt w:val="decimal"/>
      <w:lvlText w:val=""/>
      <w:lvlJc w:val="left"/>
    </w:lvl>
    <w:lvl w:ilvl="7" w:tplc="5AC0076A">
      <w:numFmt w:val="decimal"/>
      <w:lvlText w:val=""/>
      <w:lvlJc w:val="left"/>
    </w:lvl>
    <w:lvl w:ilvl="8" w:tplc="D320075E">
      <w:numFmt w:val="decimal"/>
      <w:lvlText w:val=""/>
      <w:lvlJc w:val="left"/>
    </w:lvl>
  </w:abstractNum>
  <w:num w:numId="1" w16cid:durableId="1810979817">
    <w:abstractNumId w:val="0"/>
    <w:lvlOverride w:ilvl="0">
      <w:startOverride w:val="1"/>
    </w:lvlOverride>
  </w:num>
  <w:num w:numId="2" w16cid:durableId="1442457746">
    <w:abstractNumId w:val="1"/>
    <w:lvlOverride w:ilvl="0">
      <w:startOverride w:val="1"/>
    </w:lvlOverride>
  </w:num>
  <w:num w:numId="3" w16cid:durableId="1859544760">
    <w:abstractNumId w:val="3"/>
    <w:lvlOverride w:ilvl="0">
      <w:startOverride w:val="1"/>
    </w:lvlOverride>
  </w:num>
  <w:num w:numId="4" w16cid:durableId="9607215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5FB"/>
    <w:rsid w:val="003915FB"/>
    <w:rsid w:val="00D74C82"/>
    <w:rsid w:val="00FD2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881D"/>
  <w15:docId w15:val="{63208BB1-7C94-49EA-9BB9-D2EECB03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1704</Words>
  <Characters>9717</Characters>
  <Application>Microsoft Office Word</Application>
  <DocSecurity>0</DocSecurity>
  <Lines>80</Lines>
  <Paragraphs>22</Paragraphs>
  <ScaleCrop>false</ScaleCrop>
  <Company>Unisys Corporation</Company>
  <LinksUpToDate>false</LinksUpToDate>
  <CharactersWithSpaces>11399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Ambati, Ramesh Babu</cp:lastModifiedBy>
  <cp:revision>2</cp:revision>
  <dcterms:created xsi:type="dcterms:W3CDTF">2026-10-01T16:14:00Z</dcterms:created>
  <dcterms:modified xsi:type="dcterms:W3CDTF">2026-10-01T16:22:00Z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47f6f79-9070-4ada-976f-86354d57e079_Enabled">
    <vt:lpwstr>true</vt:lpwstr>
  </property>
  <property fmtid="{D5CDD505-2E9C-101B-9397-08002B2CF9AE}" pid="3" name="MSIP_Label_147f6f79-9070-4ada-976f-86354d57e079_SetDate">
    <vt:lpwstr>2026-10-01T16:22:10Z</vt:lpwstr>
  </property>
  <property fmtid="{D5CDD505-2E9C-101B-9397-08002B2CF9AE}" pid="4" name="MSIP_Label_147f6f79-9070-4ada-976f-86354d57e079_Method">
    <vt:lpwstr>Privileged</vt:lpwstr>
  </property>
  <property fmtid="{D5CDD505-2E9C-101B-9397-08002B2CF9AE}" pid="5" name="MSIP_Label_147f6f79-9070-4ada-976f-86354d57e079_Name">
    <vt:lpwstr>Public</vt:lpwstr>
  </property>
  <property fmtid="{D5CDD505-2E9C-101B-9397-08002B2CF9AE}" pid="6" name="MSIP_Label_147f6f79-9070-4ada-976f-86354d57e079_SiteId">
    <vt:lpwstr>8d894c2b-238f-490b-8dd1-d93898c5bf83</vt:lpwstr>
  </property>
  <property fmtid="{D5CDD505-2E9C-101B-9397-08002B2CF9AE}" pid="7" name="MSIP_Label_147f6f79-9070-4ada-976f-86354d57e079_ActionId">
    <vt:lpwstr>91e9e4ae-18b9-487d-b516-4aa39b2e8457</vt:lpwstr>
  </property>
  <property fmtid="{D5CDD505-2E9C-101B-9397-08002B2CF9AE}" pid="8" name="MSIP_Label_147f6f79-9070-4ada-976f-86354d57e079_ContentBits">
    <vt:lpwstr>0</vt:lpwstr>
  </property>
  <property fmtid="{D5CDD505-2E9C-101B-9397-08002B2CF9AE}" pid="9" name="MSIP_Label_147f6f79-9070-4ada-976f-86354d57e079_Tag">
    <vt:lpwstr>10, 0, 1, 1</vt:lpwstr>
  </property>
</Properties>
</file>