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before="280"/>
      </w:pPr>
      <w:r>
        <w:t xml:space="preserve">Risk, Fraud and Regulatory Intelligence Copilot</w:t>
      </w:r>
    </w:p>
    <w:p>
      <w:pPr>
        <w:pStyle w:val="Heading2"/>
        <w:spacing w:after="160" w:before="280"/>
      </w:pPr>
      <w:r>
        <w:t xml:space="preserve">Design doc — Snowflake CoCo CLI Hackathon 2026 (GCC Edition)</w:t>
      </w:r>
    </w:p>
    <w:p>
      <w:pPr>
        <w:pStyle w:val="Heading1"/>
        <w:spacing w:after="160" w:before="280"/>
      </w:pPr>
      <w:r>
        <w:t xml:space="preserve">1. Problem statement (as given)</w:t>
      </w:r>
    </w:p>
    <w:p>
      <w:pPr>
        <w:pBdr>
          <w:left w:val="single" w:color="AAAAAA" w:sz="12" w:space="8"/>
        </w:pBdr>
        <w:spacing w:after="200"/>
        <w:ind w:left="576"/>
      </w:pPr>
      <w:r>
        <w:rPr>
          <w:i/>
          <w:iCs/>
        </w:rPr>
        <w:t xml:space="preserve">Banking and NBFC teams manage real time fraud, liquidity and credit risk, and regulatory reporting (AML, Basel, and local regulations), largely manual today. Build a copilot that surfaces risk and fraud signals and produces audit ready regulatory outputs from natural language questions.</w:t>
      </w:r>
    </w:p>
    <w:p>
      <w:pPr>
        <w:spacing w:after="200"/>
      </w:pPr>
      <w:r>
        <w:rPr>
          <w:b/>
          <w:bCs/>
        </w:rPr>
        <w:t xml:space="preserve">Chosen focus (per your decision):</w:t>
      </w:r>
      <w:r>
        <w:t xml:space="preserve"> real-time fraud &amp; transaction risk, with a light AML angle so "audit ready regulatory output" has something concrete to point at. Liquidity/credit risk is out of scope for this submission — call it out explicitly in the pitch as a "Phase 2" extension so judges see it was a deliberate scoping choice, not an oversight.</w:t>
      </w:r>
    </w:p>
    <w:p>
      <w:pPr>
        <w:pStyle w:val="Heading1"/>
        <w:spacing w:after="160" w:before="280"/>
      </w:pPr>
      <w:r>
        <w:t xml:space="preserve">2. Why this shape</w:t>
      </w:r>
    </w:p>
    <w:p>
      <w:pPr>
        <w:spacing w:after="200"/>
      </w:pPr>
      <w:r>
        <w:t xml:space="preserve">The evaluation rubric is 40% technical execution / 30% real-world relevance / 30% solution completeness. The single biggest technical-execution risk in a 2.5-week build is trying to cover fraud + liquidity + credit + three regulations at once and finishing none of them well. Narrowing to fraud detection + AML-style case output, done properly end-to-end in Snowflake with CoCo CLI, scores higher than a shallow pass at everything.</w:t>
      </w:r>
    </w:p>
    <w:p>
      <w:pPr>
        <w:spacing w:after="200"/>
      </w:pPr>
      <w:r>
        <w:t xml:space="preserve">The </w:t>
      </w:r>
      <w:r>
        <w:rPr>
          <w:b/>
          <w:bCs/>
        </w:rPr>
        <w:t xml:space="preserve">governed audit trail</w:t>
      </w:r>
      <w:r>
        <w:t xml:space="preserve"> is the differentiator: every answer the copilot gives is logged with who asked, what data it touched, which rule/regulation it cites, and the exact transactions/customers referenced — so the output is a regulator-defensible artifact, not just a chat answer. This directly answers "audit ready regulatory outputs" from the brief, and it's the same governance-first instinct behind your UNIT project (routing/compliance scoring/audit logging), just re-scoped to this domain instead of reused as-is.</w:t>
      </w:r>
    </w:p>
    <w:p>
      <w:pPr>
        <w:pStyle w:val="Heading1"/>
        <w:spacing w:after="160" w:before="280"/>
      </w:pPr>
      <w:r>
        <w:t xml:space="preserve">3. Synthetic data model</w:t>
      </w:r>
    </w:p>
    <w:p>
      <w:pPr>
        <w:spacing w:after="200"/>
      </w:pPr>
      <w:r>
        <w:t xml:space="preserve">All data is synthetic — no real customer, account, or transaction data anywhere in this build. Six tables, deliberately normalized so the semantic view has real joins to demonstrate (a flat single table would undersell "technical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2059"/>
        <w:gridCol w:w="5616"/>
      </w:tblGrid>
      <w:tr>
        <w:tc>
          <w:tcPr>
            <w:tcW w:type="dxa" w:w="1685"/>
            <w:shd w:fill="D9E2F3" w:val="clear"/>
            <w:tcMar>
              <w:top w:type="dxa" w:w="100"/>
              <w:left w:type="dxa" w:w="120"/>
              <w:bottom w:type="dxa" w:w="100"/>
              <w:right w:type="dxa" w:w="120"/>
            </w:tcMar>
          </w:tcPr>
          <w:p>
            <w:r>
              <w:rPr>
                <w:b/>
                <w:bCs/>
              </w:rPr>
              <w:t xml:space="preserve">Table</w:t>
            </w:r>
          </w:p>
        </w:tc>
        <w:tc>
          <w:tcPr>
            <w:tcW w:type="dxa" w:w="2059"/>
            <w:shd w:fill="D9E2F3" w:val="clear"/>
            <w:tcMar>
              <w:top w:type="dxa" w:w="100"/>
              <w:left w:type="dxa" w:w="120"/>
              <w:bottom w:type="dxa" w:w="100"/>
              <w:right w:type="dxa" w:w="120"/>
            </w:tcMar>
          </w:tcPr>
          <w:p>
            <w:r>
              <w:rPr>
                <w:b/>
                <w:bCs/>
              </w:rPr>
              <w:t xml:space="preserve">Grain</w:t>
            </w:r>
          </w:p>
        </w:tc>
        <w:tc>
          <w:tcPr>
            <w:tcW w:type="dxa" w:w="5616"/>
            <w:shd w:fill="D9E2F3" w:val="clear"/>
            <w:tcMar>
              <w:top w:type="dxa" w:w="100"/>
              <w:left w:type="dxa" w:w="120"/>
              <w:bottom w:type="dxa" w:w="100"/>
              <w:right w:type="dxa" w:w="120"/>
            </w:tcMar>
          </w:tcPr>
          <w:p>
            <w:r>
              <w:rPr>
                <w:b/>
                <w:bCs/>
              </w:rPr>
              <w:t xml:space="preserve">Key columns</w:t>
            </w:r>
          </w:p>
        </w:tc>
      </w:tr>
      <w:tr>
        <w:tc>
          <w:tcPr>
            <w:tcW w:type="dxa" w:w="1685"/>
            <w:tcMar>
              <w:top w:type="dxa" w:w="100"/>
              <w:left w:type="dxa" w:w="120"/>
              <w:bottom w:type="dxa" w:w="100"/>
              <w:right w:type="dxa" w:w="120"/>
            </w:tcMar>
          </w:tcPr>
          <w:p>
            <w:r>
              <w:rPr>
                <w:rFonts w:ascii="Consolas" w:cs="Consolas" w:eastAsia="Consolas" w:hAnsi="Consolas"/>
                <w:b w:val="false"/>
                <w:bCs w:val="false"/>
                <w:shd w:fill="F0F0F0" w:val="clear"/>
              </w:rPr>
              <w:t xml:space="preserve">customers</w:t>
            </w:r>
          </w:p>
        </w:tc>
        <w:tc>
          <w:tcPr>
            <w:tcW w:type="dxa" w:w="2059"/>
            <w:tcMar>
              <w:top w:type="dxa" w:w="100"/>
              <w:left w:type="dxa" w:w="120"/>
              <w:bottom w:type="dxa" w:w="100"/>
              <w:right w:type="dxa" w:w="120"/>
            </w:tcMar>
          </w:tcPr>
          <w:p>
            <w:r>
              <w:rPr>
                <w:b w:val="false"/>
                <w:bCs w:val="false"/>
              </w:rPr>
              <w:t xml:space="preserve">1 row / customer</w:t>
            </w:r>
          </w:p>
        </w:tc>
        <w:tc>
          <w:tcPr>
            <w:tcW w:type="dxa" w:w="5616"/>
            <w:tcMar>
              <w:top w:type="dxa" w:w="100"/>
              <w:left w:type="dxa" w:w="120"/>
              <w:bottom w:type="dxa" w:w="100"/>
              <w:right w:type="dxa" w:w="120"/>
            </w:tcMar>
          </w:tcPr>
          <w:p>
            <w:r>
              <w:rPr>
                <w:rFonts w:ascii="Consolas" w:cs="Consolas" w:eastAsia="Consolas" w:hAnsi="Consolas"/>
                <w:b w:val="false"/>
                <w:bCs w:val="false"/>
                <w:shd w:fill="F0F0F0" w:val="clear"/>
              </w:rPr>
              <w:t xml:space="preserve">customer_id</w:t>
            </w:r>
            <w:r>
              <w:rPr>
                <w:b w:val="false"/>
                <w:bCs w:val="false"/>
              </w:rPr>
              <w:t xml:space="preserve">, </w:t>
            </w:r>
            <w:r>
              <w:rPr>
                <w:rFonts w:ascii="Consolas" w:cs="Consolas" w:eastAsia="Consolas" w:hAnsi="Consolas"/>
                <w:b w:val="false"/>
                <w:bCs w:val="false"/>
                <w:shd w:fill="F0F0F0" w:val="clear"/>
              </w:rPr>
              <w:t xml:space="preserve">segment</w:t>
            </w:r>
            <w:r>
              <w:rPr>
                <w:b w:val="false"/>
                <w:bCs w:val="false"/>
              </w:rPr>
              <w:t xml:space="preserve"> (Retail/SME/Corporate), </w:t>
            </w:r>
            <w:r>
              <w:rPr>
                <w:rFonts w:ascii="Consolas" w:cs="Consolas" w:eastAsia="Consolas" w:hAnsi="Consolas"/>
                <w:b w:val="false"/>
                <w:bCs w:val="false"/>
                <w:shd w:fill="F0F0F0" w:val="clear"/>
              </w:rPr>
              <w:t xml:space="preserve">kyc_risk_rating</w:t>
            </w:r>
            <w:r>
              <w:rPr>
                <w:b w:val="false"/>
                <w:bCs w:val="false"/>
              </w:rPr>
              <w:t xml:space="preserve"> (Low/Medium/High), </w:t>
            </w:r>
            <w:r>
              <w:rPr>
                <w:rFonts w:ascii="Consolas" w:cs="Consolas" w:eastAsia="Consolas" w:hAnsi="Consolas"/>
                <w:b w:val="false"/>
                <w:bCs w:val="false"/>
                <w:shd w:fill="F0F0F0" w:val="clear"/>
              </w:rPr>
              <w:t xml:space="preserve">onboarding_date</w:t>
            </w:r>
            <w:r>
              <w:rPr>
                <w:b w:val="false"/>
                <w:bCs w:val="false"/>
              </w:rPr>
              <w:t xml:space="preserve">, </w:t>
            </w:r>
            <w:r>
              <w:rPr>
                <w:rFonts w:ascii="Consolas" w:cs="Consolas" w:eastAsia="Consolas" w:hAnsi="Consolas"/>
                <w:b w:val="false"/>
                <w:bCs w:val="false"/>
                <w:shd w:fill="F0F0F0" w:val="clear"/>
              </w:rPr>
              <w:t xml:space="preserve">country</w:t>
            </w:r>
          </w:p>
        </w:tc>
      </w:tr>
      <w:tr>
        <w:tc>
          <w:tcPr>
            <w:tcW w:type="dxa" w:w="1685"/>
            <w:tcMar>
              <w:top w:type="dxa" w:w="100"/>
              <w:left w:type="dxa" w:w="120"/>
              <w:bottom w:type="dxa" w:w="100"/>
              <w:right w:type="dxa" w:w="120"/>
            </w:tcMar>
          </w:tcPr>
          <w:p>
            <w:r>
              <w:rPr>
                <w:rFonts w:ascii="Consolas" w:cs="Consolas" w:eastAsia="Consolas" w:hAnsi="Consolas"/>
                <w:b w:val="false"/>
                <w:bCs w:val="false"/>
                <w:shd w:fill="F0F0F0" w:val="clear"/>
              </w:rPr>
              <w:t xml:space="preserve">accounts</w:t>
            </w:r>
          </w:p>
        </w:tc>
        <w:tc>
          <w:tcPr>
            <w:tcW w:type="dxa" w:w="2059"/>
            <w:tcMar>
              <w:top w:type="dxa" w:w="100"/>
              <w:left w:type="dxa" w:w="120"/>
              <w:bottom w:type="dxa" w:w="100"/>
              <w:right w:type="dxa" w:w="120"/>
            </w:tcMar>
          </w:tcPr>
          <w:p>
            <w:r>
              <w:rPr>
                <w:b w:val="false"/>
                <w:bCs w:val="false"/>
              </w:rPr>
              <w:t xml:space="preserve">1 row / account</w:t>
            </w:r>
          </w:p>
        </w:tc>
        <w:tc>
          <w:tcPr>
            <w:tcW w:type="dxa" w:w="5616"/>
            <w:tcMar>
              <w:top w:type="dxa" w:w="100"/>
              <w:left w:type="dxa" w:w="120"/>
              <w:bottom w:type="dxa" w:w="100"/>
              <w:right w:type="dxa" w:w="120"/>
            </w:tcMar>
          </w:tcPr>
          <w:p>
            <w:r>
              <w:rPr>
                <w:rFonts w:ascii="Consolas" w:cs="Consolas" w:eastAsia="Consolas" w:hAnsi="Consolas"/>
                <w:b w:val="false"/>
                <w:bCs w:val="false"/>
                <w:shd w:fill="F0F0F0" w:val="clear"/>
              </w:rPr>
              <w:t xml:space="preserve">account_id</w:t>
            </w:r>
            <w:r>
              <w:rPr>
                <w:b w:val="false"/>
                <w:bCs w:val="false"/>
              </w:rPr>
              <w:t xml:space="preserve">, </w:t>
            </w:r>
            <w:r>
              <w:rPr>
                <w:rFonts w:ascii="Consolas" w:cs="Consolas" w:eastAsia="Consolas" w:hAnsi="Consolas"/>
                <w:b w:val="false"/>
                <w:bCs w:val="false"/>
                <w:shd w:fill="F0F0F0" w:val="clear"/>
              </w:rPr>
              <w:t xml:space="preserve">customer_id</w:t>
            </w:r>
            <w:r>
              <w:rPr>
                <w:b w:val="false"/>
                <w:bCs w:val="false"/>
              </w:rPr>
              <w:t xml:space="preserve">, </w:t>
            </w:r>
            <w:r>
              <w:rPr>
                <w:rFonts w:ascii="Consolas" w:cs="Consolas" w:eastAsia="Consolas" w:hAnsi="Consolas"/>
                <w:b w:val="false"/>
                <w:bCs w:val="false"/>
                <w:shd w:fill="F0F0F0" w:val="clear"/>
              </w:rPr>
              <w:t xml:space="preserve">account_type</w:t>
            </w:r>
            <w:r>
              <w:rPr>
                <w:b w:val="false"/>
                <w:bCs w:val="false"/>
              </w:rPr>
              <w:t xml:space="preserve"> (Savings/Current/NBFC-Loan), </w:t>
            </w:r>
            <w:r>
              <w:rPr>
                <w:rFonts w:ascii="Consolas" w:cs="Consolas" w:eastAsia="Consolas" w:hAnsi="Consolas"/>
                <w:b w:val="false"/>
                <w:bCs w:val="false"/>
                <w:shd w:fill="F0F0F0" w:val="clear"/>
              </w:rPr>
              <w:t xml:space="preserve">open_date</w:t>
            </w:r>
            <w:r>
              <w:rPr>
                <w:b w:val="false"/>
                <w:bCs w:val="false"/>
              </w:rPr>
              <w:t xml:space="preserve">, </w:t>
            </w:r>
            <w:r>
              <w:rPr>
                <w:rFonts w:ascii="Consolas" w:cs="Consolas" w:eastAsia="Consolas" w:hAnsi="Consolas"/>
                <w:b w:val="false"/>
                <w:bCs w:val="false"/>
                <w:shd w:fill="F0F0F0" w:val="clear"/>
              </w:rPr>
              <w:t xml:space="preserve">currency</w:t>
            </w:r>
            <w:r>
              <w:rPr>
                <w:b w:val="false"/>
                <w:bCs w:val="false"/>
              </w:rPr>
              <w:t xml:space="preserve">, </w:t>
            </w:r>
            <w:r>
              <w:rPr>
                <w:rFonts w:ascii="Consolas" w:cs="Consolas" w:eastAsia="Consolas" w:hAnsi="Consolas"/>
                <w:b w:val="false"/>
                <w:bCs w:val="false"/>
                <w:shd w:fill="F0F0F0" w:val="clear"/>
              </w:rPr>
              <w:t xml:space="preserve">status</w:t>
            </w:r>
          </w:p>
        </w:tc>
      </w:tr>
      <w:tr>
        <w:tc>
          <w:tcPr>
            <w:tcW w:type="dxa" w:w="1685"/>
            <w:tcMar>
              <w:top w:type="dxa" w:w="100"/>
              <w:left w:type="dxa" w:w="120"/>
              <w:bottom w:type="dxa" w:w="100"/>
              <w:right w:type="dxa" w:w="120"/>
            </w:tcMar>
          </w:tcPr>
          <w:p>
            <w:r>
              <w:rPr>
                <w:rFonts w:ascii="Consolas" w:cs="Consolas" w:eastAsia="Consolas" w:hAnsi="Consolas"/>
                <w:b w:val="false"/>
                <w:bCs w:val="false"/>
                <w:shd w:fill="F0F0F0" w:val="clear"/>
              </w:rPr>
              <w:t xml:space="preserve">counterparties</w:t>
            </w:r>
          </w:p>
        </w:tc>
        <w:tc>
          <w:tcPr>
            <w:tcW w:type="dxa" w:w="2059"/>
            <w:tcMar>
              <w:top w:type="dxa" w:w="100"/>
              <w:left w:type="dxa" w:w="120"/>
              <w:bottom w:type="dxa" w:w="100"/>
              <w:right w:type="dxa" w:w="120"/>
            </w:tcMar>
          </w:tcPr>
          <w:p>
            <w:r>
              <w:rPr>
                <w:b w:val="false"/>
                <w:bCs w:val="false"/>
              </w:rPr>
              <w:t xml:space="preserve">1 row / counterparty</w:t>
            </w:r>
          </w:p>
        </w:tc>
        <w:tc>
          <w:tcPr>
            <w:tcW w:type="dxa" w:w="5616"/>
            <w:tcMar>
              <w:top w:type="dxa" w:w="100"/>
              <w:left w:type="dxa" w:w="120"/>
              <w:bottom w:type="dxa" w:w="100"/>
              <w:right w:type="dxa" w:w="120"/>
            </w:tcMar>
          </w:tcPr>
          <w:p>
            <w:r>
              <w:rPr>
                <w:rFonts w:ascii="Consolas" w:cs="Consolas" w:eastAsia="Consolas" w:hAnsi="Consolas"/>
                <w:b w:val="false"/>
                <w:bCs w:val="false"/>
                <w:shd w:fill="F0F0F0" w:val="clear"/>
              </w:rPr>
              <w:t xml:space="preserve">counterparty_id</w:t>
            </w:r>
            <w:r>
              <w:rPr>
                <w:b w:val="false"/>
                <w:bCs w:val="false"/>
              </w:rPr>
              <w:t xml:space="preserve">, </w:t>
            </w:r>
            <w:r>
              <w:rPr>
                <w:rFonts w:ascii="Consolas" w:cs="Consolas" w:eastAsia="Consolas" w:hAnsi="Consolas"/>
                <w:b w:val="false"/>
                <w:bCs w:val="false"/>
                <w:shd w:fill="F0F0F0" w:val="clear"/>
              </w:rPr>
              <w:t xml:space="preserve">name</w:t>
            </w:r>
            <w:r>
              <w:rPr>
                <w:b w:val="false"/>
                <w:bCs w:val="false"/>
              </w:rPr>
              <w:t xml:space="preserve"> (synthetic), </w:t>
            </w:r>
            <w:r>
              <w:rPr>
                <w:rFonts w:ascii="Consolas" w:cs="Consolas" w:eastAsia="Consolas" w:hAnsi="Consolas"/>
                <w:b w:val="false"/>
                <w:bCs w:val="false"/>
                <w:shd w:fill="F0F0F0" w:val="clear"/>
              </w:rPr>
              <w:t xml:space="preserve">country</w:t>
            </w:r>
            <w:r>
              <w:rPr>
                <w:b w:val="false"/>
                <w:bCs w:val="false"/>
              </w:rPr>
              <w:t xml:space="preserve">, </w:t>
            </w:r>
            <w:r>
              <w:rPr>
                <w:rFonts w:ascii="Consolas" w:cs="Consolas" w:eastAsia="Consolas" w:hAnsi="Consolas"/>
                <w:b w:val="false"/>
                <w:bCs w:val="false"/>
                <w:shd w:fill="F0F0F0" w:val="clear"/>
              </w:rPr>
              <w:t xml:space="preserve">sanctions_list_flag</w:t>
            </w:r>
            <w:r>
              <w:rPr>
                <w:b w:val="false"/>
                <w:bCs w:val="false"/>
              </w:rPr>
              <w:t xml:space="preserve">, </w:t>
            </w:r>
            <w:r>
              <w:rPr>
                <w:rFonts w:ascii="Consolas" w:cs="Consolas" w:eastAsia="Consolas" w:hAnsi="Consolas"/>
                <w:b w:val="false"/>
                <w:bCs w:val="false"/>
                <w:shd w:fill="F0F0F0" w:val="clear"/>
              </w:rPr>
              <w:t xml:space="preserve">risk_rating</w:t>
            </w:r>
          </w:p>
        </w:tc>
      </w:tr>
      <w:tr>
        <w:tc>
          <w:tcPr>
            <w:tcW w:type="dxa" w:w="1685"/>
            <w:tcMar>
              <w:top w:type="dxa" w:w="100"/>
              <w:left w:type="dxa" w:w="120"/>
              <w:bottom w:type="dxa" w:w="100"/>
              <w:right w:type="dxa" w:w="120"/>
            </w:tcMar>
          </w:tcPr>
          <w:p>
            <w:r>
              <w:rPr>
                <w:rFonts w:ascii="Consolas" w:cs="Consolas" w:eastAsia="Consolas" w:hAnsi="Consolas"/>
                <w:b w:val="false"/>
                <w:bCs w:val="false"/>
                <w:shd w:fill="F0F0F0" w:val="clear"/>
              </w:rPr>
              <w:t xml:space="preserve">transactions</w:t>
            </w:r>
          </w:p>
        </w:tc>
        <w:tc>
          <w:tcPr>
            <w:tcW w:type="dxa" w:w="2059"/>
            <w:tcMar>
              <w:top w:type="dxa" w:w="100"/>
              <w:left w:type="dxa" w:w="120"/>
              <w:bottom w:type="dxa" w:w="100"/>
              <w:right w:type="dxa" w:w="120"/>
            </w:tcMar>
          </w:tcPr>
          <w:p>
            <w:r>
              <w:rPr>
                <w:b w:val="false"/>
                <w:bCs w:val="false"/>
              </w:rPr>
              <w:t xml:space="preserve">1 row / transaction</w:t>
            </w:r>
          </w:p>
        </w:tc>
        <w:tc>
          <w:tcPr>
            <w:tcW w:type="dxa" w:w="5616"/>
            <w:tcMar>
              <w:top w:type="dxa" w:w="100"/>
              <w:left w:type="dxa" w:w="120"/>
              <w:bottom w:type="dxa" w:w="100"/>
              <w:right w:type="dxa" w:w="120"/>
            </w:tcMar>
          </w:tcPr>
          <w:p>
            <w:r>
              <w:rPr>
                <w:rFonts w:ascii="Consolas" w:cs="Consolas" w:eastAsia="Consolas" w:hAnsi="Consolas"/>
                <w:b w:val="false"/>
                <w:bCs w:val="false"/>
                <w:shd w:fill="F0F0F0" w:val="clear"/>
              </w:rPr>
              <w:t xml:space="preserve">transaction_id</w:t>
            </w:r>
            <w:r>
              <w:rPr>
                <w:b w:val="false"/>
                <w:bCs w:val="false"/>
              </w:rPr>
              <w:t xml:space="preserve">, </w:t>
            </w:r>
            <w:r>
              <w:rPr>
                <w:rFonts w:ascii="Consolas" w:cs="Consolas" w:eastAsia="Consolas" w:hAnsi="Consolas"/>
                <w:b w:val="false"/>
                <w:bCs w:val="false"/>
                <w:shd w:fill="F0F0F0" w:val="clear"/>
              </w:rPr>
              <w:t xml:space="preserve">account_id</w:t>
            </w:r>
            <w:r>
              <w:rPr>
                <w:b w:val="false"/>
                <w:bCs w:val="false"/>
              </w:rPr>
              <w:t xml:space="preserve">, </w:t>
            </w:r>
            <w:r>
              <w:rPr>
                <w:rFonts w:ascii="Consolas" w:cs="Consolas" w:eastAsia="Consolas" w:hAnsi="Consolas"/>
                <w:b w:val="false"/>
                <w:bCs w:val="false"/>
                <w:shd w:fill="F0F0F0" w:val="clear"/>
              </w:rPr>
              <w:t xml:space="preserve">ts</w:t>
            </w:r>
            <w:r>
              <w:rPr>
                <w:b w:val="false"/>
                <w:bCs w:val="false"/>
              </w:rPr>
              <w:t xml:space="preserve">, </w:t>
            </w:r>
            <w:r>
              <w:rPr>
                <w:rFonts w:ascii="Consolas" w:cs="Consolas" w:eastAsia="Consolas" w:hAnsi="Consolas"/>
                <w:b w:val="false"/>
                <w:bCs w:val="false"/>
                <w:shd w:fill="F0F0F0" w:val="clear"/>
              </w:rPr>
              <w:t xml:space="preserve">amount</w:t>
            </w:r>
            <w:r>
              <w:rPr>
                <w:b w:val="false"/>
                <w:bCs w:val="false"/>
              </w:rPr>
              <w:t xml:space="preserve">, </w:t>
            </w:r>
            <w:r>
              <w:rPr>
                <w:rFonts w:ascii="Consolas" w:cs="Consolas" w:eastAsia="Consolas" w:hAnsi="Consolas"/>
                <w:b w:val="false"/>
                <w:bCs w:val="false"/>
                <w:shd w:fill="F0F0F0" w:val="clear"/>
              </w:rPr>
              <w:t xml:space="preserve">currency</w:t>
            </w:r>
            <w:r>
              <w:rPr>
                <w:b w:val="false"/>
                <w:bCs w:val="false"/>
              </w:rPr>
              <w:t xml:space="preserve">, </w:t>
            </w:r>
            <w:r>
              <w:rPr>
                <w:rFonts w:ascii="Consolas" w:cs="Consolas" w:eastAsia="Consolas" w:hAnsi="Consolas"/>
                <w:b w:val="false"/>
                <w:bCs w:val="false"/>
                <w:shd w:fill="F0F0F0" w:val="clear"/>
              </w:rPr>
              <w:t xml:space="preserve">channel</w:t>
            </w:r>
            <w:r>
              <w:rPr>
                <w:b w:val="false"/>
                <w:bCs w:val="false"/>
              </w:rPr>
              <w:t xml:space="preserve"> (UPI/Wire/Card/NEFT), </w:t>
            </w:r>
            <w:r>
              <w:rPr>
                <w:rFonts w:ascii="Consolas" w:cs="Consolas" w:eastAsia="Consolas" w:hAnsi="Consolas"/>
                <w:b w:val="false"/>
                <w:bCs w:val="false"/>
                <w:shd w:fill="F0F0F0" w:val="clear"/>
              </w:rPr>
              <w:t xml:space="preserve">counterparty_id</w:t>
            </w:r>
            <w:r>
              <w:rPr>
                <w:b w:val="false"/>
                <w:bCs w:val="false"/>
              </w:rPr>
              <w:t xml:space="preserve">, </w:t>
            </w:r>
            <w:r>
              <w:rPr>
                <w:rFonts w:ascii="Consolas" w:cs="Consolas" w:eastAsia="Consolas" w:hAnsi="Consolas"/>
                <w:b w:val="false"/>
                <w:bCs w:val="false"/>
                <w:shd w:fill="F0F0F0" w:val="clear"/>
              </w:rPr>
              <w:t xml:space="preserve">merchant_category</w:t>
            </w:r>
          </w:p>
        </w:tc>
      </w:tr>
      <w:tr>
        <w:tc>
          <w:tcPr>
            <w:tcW w:type="dxa" w:w="1685"/>
            <w:tcMar>
              <w:top w:type="dxa" w:w="100"/>
              <w:left w:type="dxa" w:w="120"/>
              <w:bottom w:type="dxa" w:w="100"/>
              <w:right w:type="dxa" w:w="120"/>
            </w:tcMar>
          </w:tcPr>
          <w:p>
            <w:r>
              <w:rPr>
                <w:rFonts w:ascii="Consolas" w:cs="Consolas" w:eastAsia="Consolas" w:hAnsi="Consolas"/>
                <w:b w:val="false"/>
                <w:bCs w:val="false"/>
                <w:shd w:fill="F0F0F0" w:val="clear"/>
              </w:rPr>
              <w:t xml:space="preserve">fraud_alerts</w:t>
            </w:r>
          </w:p>
        </w:tc>
        <w:tc>
          <w:tcPr>
            <w:tcW w:type="dxa" w:w="2059"/>
            <w:tcMar>
              <w:top w:type="dxa" w:w="100"/>
              <w:left w:type="dxa" w:w="120"/>
              <w:bottom w:type="dxa" w:w="100"/>
              <w:right w:type="dxa" w:w="120"/>
            </w:tcMar>
          </w:tcPr>
          <w:p>
            <w:r>
              <w:rPr>
                <w:b w:val="false"/>
                <w:bCs w:val="false"/>
              </w:rPr>
              <w:t xml:space="preserve">1 row / alert</w:t>
            </w:r>
          </w:p>
        </w:tc>
        <w:tc>
          <w:tcPr>
            <w:tcW w:type="dxa" w:w="5616"/>
            <w:tcMar>
              <w:top w:type="dxa" w:w="100"/>
              <w:left w:type="dxa" w:w="120"/>
              <w:bottom w:type="dxa" w:w="100"/>
              <w:right w:type="dxa" w:w="120"/>
            </w:tcMar>
          </w:tcPr>
          <w:p>
            <w:r>
              <w:rPr>
                <w:rFonts w:ascii="Consolas" w:cs="Consolas" w:eastAsia="Consolas" w:hAnsi="Consolas"/>
                <w:b w:val="false"/>
                <w:bCs w:val="false"/>
                <w:shd w:fill="F0F0F0" w:val="clear"/>
              </w:rPr>
              <w:t xml:space="preserve">alert_id</w:t>
            </w:r>
            <w:r>
              <w:rPr>
                <w:b w:val="false"/>
                <w:bCs w:val="false"/>
              </w:rPr>
              <w:t xml:space="preserve">, </w:t>
            </w:r>
            <w:r>
              <w:rPr>
                <w:rFonts w:ascii="Consolas" w:cs="Consolas" w:eastAsia="Consolas" w:hAnsi="Consolas"/>
                <w:b w:val="false"/>
                <w:bCs w:val="false"/>
                <w:shd w:fill="F0F0F0" w:val="clear"/>
              </w:rPr>
              <w:t xml:space="preserve">transaction_id</w:t>
            </w:r>
            <w:r>
              <w:rPr>
                <w:b w:val="false"/>
                <w:bCs w:val="false"/>
              </w:rPr>
              <w:t xml:space="preserve">, </w:t>
            </w:r>
            <w:r>
              <w:rPr>
                <w:rFonts w:ascii="Consolas" w:cs="Consolas" w:eastAsia="Consolas" w:hAnsi="Consolas"/>
                <w:b w:val="false"/>
                <w:bCs w:val="false"/>
                <w:shd w:fill="F0F0F0" w:val="clear"/>
              </w:rPr>
              <w:t xml:space="preserve">alert_type</w:t>
            </w:r>
            <w:r>
              <w:rPr>
                <w:b w:val="false"/>
                <w:bCs w:val="false"/>
              </w:rPr>
              <w:t xml:space="preserve"> (Velocity/Geo-Mismatch/Structuring/Sanctions-Hit/Unusual-Amount), </w:t>
            </w:r>
            <w:r>
              <w:rPr>
                <w:rFonts w:ascii="Consolas" w:cs="Consolas" w:eastAsia="Consolas" w:hAnsi="Consolas"/>
                <w:b w:val="false"/>
                <w:bCs w:val="false"/>
                <w:shd w:fill="F0F0F0" w:val="clear"/>
              </w:rPr>
              <w:t xml:space="preserve">risk_score</w:t>
            </w:r>
            <w:r>
              <w:rPr>
                <w:b w:val="false"/>
                <w:bCs w:val="false"/>
              </w:rPr>
              <w:t xml:space="preserve"> (0-100), </w:t>
            </w:r>
            <w:r>
              <w:rPr>
                <w:rFonts w:ascii="Consolas" w:cs="Consolas" w:eastAsia="Consolas" w:hAnsi="Consolas"/>
                <w:b w:val="false"/>
                <w:bCs w:val="false"/>
                <w:shd w:fill="F0F0F0" w:val="clear"/>
              </w:rPr>
              <w:t xml:space="preserve">model_version</w:t>
            </w:r>
            <w:r>
              <w:rPr>
                <w:b w:val="false"/>
                <w:bCs w:val="false"/>
              </w:rPr>
              <w:t xml:space="preserve">, </w:t>
            </w:r>
            <w:r>
              <w:rPr>
                <w:rFonts w:ascii="Consolas" w:cs="Consolas" w:eastAsia="Consolas" w:hAnsi="Consolas"/>
                <w:b w:val="false"/>
                <w:bCs w:val="false"/>
                <w:shd w:fill="F0F0F0" w:val="clear"/>
              </w:rPr>
              <w:t xml:space="preserve">created_at</w:t>
            </w:r>
            <w:r>
              <w:rPr>
                <w:b w:val="false"/>
                <w:bCs w:val="false"/>
              </w:rPr>
              <w:t xml:space="preserve">, </w:t>
            </w:r>
            <w:r>
              <w:rPr>
                <w:rFonts w:ascii="Consolas" w:cs="Consolas" w:eastAsia="Consolas" w:hAnsi="Consolas"/>
                <w:b w:val="false"/>
                <w:bCs w:val="false"/>
                <w:shd w:fill="F0F0F0" w:val="clear"/>
              </w:rPr>
              <w:t xml:space="preserve">status</w:t>
            </w:r>
            <w:r>
              <w:rPr>
                <w:b w:val="false"/>
                <w:bCs w:val="false"/>
              </w:rPr>
              <w:t xml:space="preserve"> (Open/Escalated/Closed)</w:t>
            </w:r>
          </w:p>
        </w:tc>
      </w:tr>
      <w:tr>
        <w:tc>
          <w:tcPr>
            <w:tcW w:type="dxa" w:w="1685"/>
            <w:tcMar>
              <w:top w:type="dxa" w:w="100"/>
              <w:left w:type="dxa" w:w="120"/>
              <w:bottom w:type="dxa" w:w="100"/>
              <w:right w:type="dxa" w:w="120"/>
            </w:tcMar>
          </w:tcPr>
          <w:p>
            <w:r>
              <w:rPr>
                <w:rFonts w:ascii="Consolas" w:cs="Consolas" w:eastAsia="Consolas" w:hAnsi="Consolas"/>
                <w:b w:val="false"/>
                <w:bCs w:val="false"/>
                <w:shd w:fill="F0F0F0" w:val="clear"/>
              </w:rPr>
              <w:t xml:space="preserve">aml_cases</w:t>
            </w:r>
          </w:p>
        </w:tc>
        <w:tc>
          <w:tcPr>
            <w:tcW w:type="dxa" w:w="2059"/>
            <w:tcMar>
              <w:top w:type="dxa" w:w="100"/>
              <w:left w:type="dxa" w:w="120"/>
              <w:bottom w:type="dxa" w:w="100"/>
              <w:right w:type="dxa" w:w="120"/>
            </w:tcMar>
          </w:tcPr>
          <w:p>
            <w:r>
              <w:rPr>
                <w:b w:val="false"/>
                <w:bCs w:val="false"/>
              </w:rPr>
              <w:t xml:space="preserve">1 row / case</w:t>
            </w:r>
          </w:p>
        </w:tc>
        <w:tc>
          <w:tcPr>
            <w:tcW w:type="dxa" w:w="5616"/>
            <w:tcMar>
              <w:top w:type="dxa" w:w="100"/>
              <w:left w:type="dxa" w:w="120"/>
              <w:bottom w:type="dxa" w:w="100"/>
              <w:right w:type="dxa" w:w="120"/>
            </w:tcMar>
          </w:tcPr>
          <w:p>
            <w:r>
              <w:rPr>
                <w:rFonts w:ascii="Consolas" w:cs="Consolas" w:eastAsia="Consolas" w:hAnsi="Consolas"/>
                <w:b w:val="false"/>
                <w:bCs w:val="false"/>
                <w:shd w:fill="F0F0F0" w:val="clear"/>
              </w:rPr>
              <w:t xml:space="preserve">case_id</w:t>
            </w:r>
            <w:r>
              <w:rPr>
                <w:b w:val="false"/>
                <w:bCs w:val="false"/>
              </w:rPr>
              <w:t xml:space="preserve">, </w:t>
            </w:r>
            <w:r>
              <w:rPr>
                <w:rFonts w:ascii="Consolas" w:cs="Consolas" w:eastAsia="Consolas" w:hAnsi="Consolas"/>
                <w:b w:val="false"/>
                <w:bCs w:val="false"/>
                <w:shd w:fill="F0F0F0" w:val="clear"/>
              </w:rPr>
              <w:t xml:space="preserve">customer_id</w:t>
            </w:r>
            <w:r>
              <w:rPr>
                <w:b w:val="false"/>
                <w:bCs w:val="false"/>
              </w:rPr>
              <w:t xml:space="preserve">, </w:t>
            </w:r>
            <w:r>
              <w:rPr>
                <w:rFonts w:ascii="Consolas" w:cs="Consolas" w:eastAsia="Consolas" w:hAnsi="Consolas"/>
                <w:b w:val="false"/>
                <w:bCs w:val="false"/>
                <w:shd w:fill="F0F0F0" w:val="clear"/>
              </w:rPr>
              <w:t xml:space="preserve">related_alert_ids</w:t>
            </w:r>
            <w:r>
              <w:rPr>
                <w:b w:val="false"/>
                <w:bCs w:val="false"/>
              </w:rPr>
              <w:t xml:space="preserve">, </w:t>
            </w:r>
            <w:r>
              <w:rPr>
                <w:rFonts w:ascii="Consolas" w:cs="Consolas" w:eastAsia="Consolas" w:hAnsi="Consolas"/>
                <w:b w:val="false"/>
                <w:bCs w:val="false"/>
                <w:shd w:fill="F0F0F0" w:val="clear"/>
              </w:rPr>
              <w:t xml:space="preserve">case_type</w:t>
            </w:r>
            <w:r>
              <w:rPr>
                <w:b w:val="false"/>
                <w:bCs w:val="false"/>
              </w:rPr>
              <w:t xml:space="preserve"> (SAR-Candidate/CTR/None), </w:t>
            </w:r>
            <w:r>
              <w:rPr>
                <w:rFonts w:ascii="Consolas" w:cs="Consolas" w:eastAsia="Consolas" w:hAnsi="Consolas"/>
                <w:b w:val="false"/>
                <w:bCs w:val="false"/>
                <w:shd w:fill="F0F0F0" w:val="clear"/>
              </w:rPr>
              <w:t xml:space="preserve">status</w:t>
            </w:r>
            <w:r>
              <w:rPr>
                <w:b w:val="false"/>
                <w:bCs w:val="false"/>
              </w:rPr>
              <w:t xml:space="preserve">, </w:t>
            </w:r>
            <w:r>
              <w:rPr>
                <w:rFonts w:ascii="Consolas" w:cs="Consolas" w:eastAsia="Consolas" w:hAnsi="Consolas"/>
                <w:b w:val="false"/>
                <w:bCs w:val="false"/>
                <w:shd w:fill="F0F0F0" w:val="clear"/>
              </w:rPr>
              <w:t xml:space="preserve">regulatory_deadline</w:t>
            </w:r>
            <w:r>
              <w:rPr>
                <w:b w:val="false"/>
                <w:bCs w:val="false"/>
              </w:rPr>
              <w:t xml:space="preserve">, </w:t>
            </w:r>
            <w:r>
              <w:rPr>
                <w:rFonts w:ascii="Consolas" w:cs="Consolas" w:eastAsia="Consolas" w:hAnsi="Consolas"/>
                <w:b w:val="false"/>
                <w:bCs w:val="false"/>
                <w:shd w:fill="F0F0F0" w:val="clear"/>
              </w:rPr>
              <w:t xml:space="preserve">narrative</w:t>
            </w:r>
          </w:p>
        </w:tc>
      </w:tr>
    </w:tbl>
    <w:p>
      <w:pPr>
        <w:spacing w:after="160"/>
      </w:pPr>
    </w:p>
    <w:p>
      <w:pPr>
        <w:spacing w:after="200"/>
      </w:pPr>
      <w:r>
        <w:t xml:space="preserve">A seventh, tiny reference table </w:t>
      </w:r>
      <w:r>
        <w:rPr>
          <w:rFonts w:ascii="Consolas" w:cs="Consolas" w:eastAsia="Consolas" w:hAnsi="Consolas"/>
          <w:shd w:fill="F0F0F0" w:val="clear"/>
        </w:rPr>
        <w:t xml:space="preserve">regulatory_rules</w:t>
      </w:r>
      <w:r>
        <w:t xml:space="preserve"> (</w:t>
      </w:r>
      <w:r>
        <w:rPr>
          <w:rFonts w:ascii="Consolas" w:cs="Consolas" w:eastAsia="Consolas" w:hAnsi="Consolas"/>
          <w:shd w:fill="F0F0F0" w:val="clear"/>
        </w:rPr>
        <w:t xml:space="preserve">rule_id</w:t>
      </w:r>
      <w:r>
        <w:t xml:space="preserve">, </w:t>
      </w:r>
      <w:r>
        <w:rPr>
          <w:rFonts w:ascii="Consolas" w:cs="Consolas" w:eastAsia="Consolas" w:hAnsi="Consolas"/>
          <w:shd w:fill="F0F0F0" w:val="clear"/>
        </w:rPr>
        <w:t xml:space="preserve">regulation</w:t>
      </w:r>
      <w:r>
        <w:t xml:space="preserve"> [AML/Basel-III/Local-RBI-style], </w:t>
      </w:r>
      <w:r>
        <w:rPr>
          <w:rFonts w:ascii="Consolas" w:cs="Consolas" w:eastAsia="Consolas" w:hAnsi="Consolas"/>
          <w:shd w:fill="F0F0F0" w:val="clear"/>
        </w:rPr>
        <w:t xml:space="preserve">rule_description</w:t>
      </w:r>
      <w:r>
        <w:t xml:space="preserve">, </w:t>
      </w:r>
      <w:r>
        <w:rPr>
          <w:rFonts w:ascii="Consolas" w:cs="Consolas" w:eastAsia="Consolas" w:hAnsi="Consolas"/>
          <w:shd w:fill="F0F0F0" w:val="clear"/>
        </w:rPr>
        <w:t xml:space="preserve">threshold_field</w:t>
      </w:r>
      <w:r>
        <w:t xml:space="preserve">, </w:t>
      </w:r>
      <w:r>
        <w:rPr>
          <w:rFonts w:ascii="Consolas" w:cs="Consolas" w:eastAsia="Consolas" w:hAnsi="Consolas"/>
          <w:shd w:fill="F0F0F0" w:val="clear"/>
        </w:rPr>
        <w:t xml:space="preserve">threshold_value</w:t>
      </w:r>
      <w:r>
        <w:t xml:space="preserve">) is what the copilot cites when it produces a regulatory-style answer — e.g. "flagged because it exceeds the ₹10,00,000 CTR threshold under Rule AML-CTR-01."</w:t>
      </w:r>
    </w:p>
    <w:p>
      <w:pPr>
        <w:spacing w:after="200"/>
      </w:pPr>
      <w:r>
        <w:t xml:space="preserve">Scale target: ~500 customers, ~800 accounts, ~350 counterparties (a deliberate handful sanctioned/high-risk), ~15,000 transactions over a 90-day window, ~250 fraud alerts, ~40 AML cases. Big enough to make "real-time" and "patterns" demos convincing, small enough to load into a Snowflake trial instantly.</w:t>
      </w:r>
    </w:p>
    <w:p>
      <w:pPr>
        <w:pStyle w:val="Heading1"/>
        <w:spacing w:after="160" w:before="280"/>
      </w:pPr>
      <w:r>
        <w:t xml:space="preserve">4. Snowflake / CoCo CLI architecture</w:t>
      </w:r>
    </w:p>
    <w:p>
      <w:pPr>
        <w:pStyle w:val="ListParagraph"/>
        <w:numPr>
          <w:ilvl w:val="0"/>
          <w:numId w:val="2"/>
        </w:numPr>
        <w:spacing w:after="120"/>
      </w:pPr>
      <w:r>
        <w:rPr>
          <w:b/>
          <w:bCs/>
        </w:rPr>
        <w:t xml:space="preserve">Load</w:t>
      </w:r>
      <w:r>
        <w:t xml:space="preserve"> the six synthetic CSVs into a Snowflake database (</w:t>
      </w:r>
      <w:r>
        <w:rPr>
          <w:rFonts w:ascii="Consolas" w:cs="Consolas" w:eastAsia="Consolas" w:hAnsi="Consolas"/>
          <w:shd w:fill="F0F0F0" w:val="clear"/>
        </w:rPr>
        <w:t xml:space="preserve">RISK_COPILOT_DEMO</w:t>
      </w:r>
      <w:r>
        <w:t xml:space="preserve">), one schema (</w:t>
      </w:r>
      <w:r>
        <w:rPr>
          <w:rFonts w:ascii="Consolas" w:cs="Consolas" w:eastAsia="Consolas" w:hAnsi="Consolas"/>
          <w:shd w:fill="F0F0F0" w:val="clear"/>
        </w:rPr>
        <w:t xml:space="preserve">RAW</w:t>
      </w:r>
      <w:r>
        <w:t xml:space="preserve">).</w:t>
      </w:r>
    </w:p>
    <w:p>
      <w:pPr>
        <w:pStyle w:val="ListParagraph"/>
        <w:numPr>
          <w:ilvl w:val="0"/>
          <w:numId w:val="2"/>
        </w:numPr>
        <w:spacing w:after="120"/>
      </w:pPr>
      <w:r>
        <w:rPr>
          <w:b/>
          <w:bCs/>
        </w:rPr>
        <w:t xml:space="preserve">Semantic view</w:t>
      </w:r>
      <w:r>
        <w:t xml:space="preserve"> (Cortex Analyst) mapping business language to the schema — e.g. "structuring" → </w:t>
      </w:r>
      <w:r>
        <w:rPr>
          <w:rFonts w:ascii="Consolas" w:cs="Consolas" w:eastAsia="Consolas" w:hAnsi="Consolas"/>
          <w:shd w:fill="F0F0F0" w:val="clear"/>
        </w:rPr>
        <w:t xml:space="preserve">alert_type = 'Structuring'</w:t>
      </w:r>
      <w:r>
        <w:t xml:space="preserve">, "high-risk corridor" → </w:t>
      </w:r>
      <w:r>
        <w:rPr>
          <w:rFonts w:ascii="Consolas" w:cs="Consolas" w:eastAsia="Consolas" w:hAnsi="Consolas"/>
          <w:shd w:fill="F0F0F0" w:val="clear"/>
        </w:rPr>
        <w:t xml:space="preserve">counterparties.country in (...)</w:t>
      </w:r>
      <w:r>
        <w:t xml:space="preserve"> joined through </w:t>
      </w:r>
      <w:r>
        <w:rPr>
          <w:rFonts w:ascii="Consolas" w:cs="Consolas" w:eastAsia="Consolas" w:hAnsi="Consolas"/>
          <w:shd w:fill="F0F0F0" w:val="clear"/>
        </w:rPr>
        <w:t xml:space="preserve">transactions</w:t>
      </w:r>
      <w:r>
        <w:t xml:space="preserve">, "SAR candidate" → </w:t>
      </w:r>
      <w:r>
        <w:rPr>
          <w:rFonts w:ascii="Consolas" w:cs="Consolas" w:eastAsia="Consolas" w:hAnsi="Consolas"/>
          <w:shd w:fill="F0F0F0" w:val="clear"/>
        </w:rPr>
        <w:t xml:space="preserve">aml_cases.case_type = 'SAR-Candidate'</w:t>
      </w:r>
      <w:r>
        <w:t xml:space="preserve">. This is the CoCo CLI </w:t>
      </w:r>
      <w:r>
        <w:rPr>
          <w:rFonts w:ascii="Consolas" w:cs="Consolas" w:eastAsia="Consolas" w:hAnsi="Consolas"/>
          <w:shd w:fill="F0F0F0" w:val="clear"/>
        </w:rPr>
        <w:t xml:space="preserve">semantic-view</w:t>
      </w:r>
      <w:r>
        <w:t xml:space="preserve"> skill's job — you describe the business meaning in plain English and CoCo CLI generates/validates the YAML semantic model against the live tables.</w:t>
      </w:r>
    </w:p>
    <w:p>
      <w:pPr>
        <w:pStyle w:val="ListParagraph"/>
        <w:numPr>
          <w:ilvl w:val="0"/>
          <w:numId w:val="2"/>
        </w:numPr>
        <w:spacing w:after="120"/>
      </w:pPr>
      <w:r>
        <w:rPr>
          <w:b/>
          <w:bCs/>
        </w:rPr>
        <w:t xml:space="preserve">Cortex Agent</w:t>
      </w:r>
      <w:r>
        <w:t xml:space="preserve"> (CoCo CLI </w:t>
      </w:r>
      <w:r>
        <w:rPr>
          <w:rFonts w:ascii="Consolas" w:cs="Consolas" w:eastAsia="Consolas" w:hAnsi="Consolas"/>
          <w:shd w:fill="F0F0F0" w:val="clear"/>
        </w:rPr>
        <w:t xml:space="preserve">cortex-agent</w:t>
      </w:r>
      <w:r>
        <w:t xml:space="preserve"> skill) wired to that semantic view plus the </w:t>
      </w:r>
      <w:r>
        <w:rPr>
          <w:rFonts w:ascii="Consolas" w:cs="Consolas" w:eastAsia="Consolas" w:hAnsi="Consolas"/>
          <w:shd w:fill="F0F0F0" w:val="clear"/>
        </w:rPr>
        <w:t xml:space="preserve">regulatory_rules</w:t>
      </w:r>
      <w:r>
        <w:t xml:space="preserve"> reference table, so a question like *"which customers show suspicious structuring patterns in the last 30 days that might need a SAR filing?"* returns: the matching customers/transactions, the specific rule cited, and a risk score — not just prose.</w:t>
      </w:r>
    </w:p>
    <w:p>
      <w:pPr>
        <w:pStyle w:val="ListParagraph"/>
        <w:numPr>
          <w:ilvl w:val="0"/>
          <w:numId w:val="2"/>
        </w:numPr>
        <w:spacing w:after="120"/>
      </w:pPr>
      <w:r>
        <w:rPr>
          <w:b/>
          <w:bCs/>
        </w:rPr>
        <w:t xml:space="preserve">Governance/audit wrapper</w:t>
      </w:r>
      <w:r>
        <w:t xml:space="preserve"> — a lightweight logging layer (Streamlit-in-Snowflake or a thin external Streamlit page, your call) that sits in front of the agent: every question + answer + cited rows + regulation cited gets appended to an </w:t>
      </w:r>
      <w:r>
        <w:rPr>
          <w:rFonts w:ascii="Consolas" w:cs="Consolas" w:eastAsia="Consolas" w:hAnsi="Consolas"/>
          <w:shd w:fill="F0F0F0" w:val="clear"/>
        </w:rPr>
        <w:t xml:space="preserve">audit_log</w:t>
      </w:r>
      <w:r>
        <w:t xml:space="preserve"> table with a timestamp and pseudo-user id. This is what turns "a chatbot answer" into "an audit-ready regulatory output" — the literal ask in the brief.</w:t>
      </w:r>
    </w:p>
    <w:p>
      <w:pPr>
        <w:pStyle w:val="ListParagraph"/>
        <w:numPr>
          <w:ilvl w:val="0"/>
          <w:numId w:val="2"/>
        </w:numPr>
        <w:spacing w:after="120"/>
      </w:pPr>
      <w:r>
        <w:rPr>
          <w:b/>
          <w:bCs/>
        </w:rPr>
        <w:t xml:space="preserve">Demo script</w:t>
      </w:r>
      <w:r>
        <w:t xml:space="preserve">: 3 canned questions (a fraud-velocity one, a sanctions-hit one, a structuring/SAR one) shown live, plus the audit log table showing each was recorded — that's the whole Grand Finale demo.</w:t>
      </w:r>
    </w:p>
    <w:p>
      <w:pPr>
        <w:pStyle w:val="Heading1"/>
        <w:spacing w:after="160" w:before="280"/>
      </w:pPr>
      <w:r>
        <w:t xml:space="preserve">5. Explicit scope cuts (say these out loud in the pitch)</w:t>
      </w:r>
    </w:p>
    <w:p>
      <w:pPr>
        <w:pStyle w:val="ListParagraph"/>
        <w:numPr>
          <w:ilvl w:val="0"/>
          <w:numId w:val="3"/>
        </w:numPr>
        <w:spacing w:after="120"/>
      </w:pPr>
      <w:r>
        <w:t xml:space="preserve">Liquidity and credit risk: not built. Named as Phase 2.</w:t>
      </w:r>
    </w:p>
    <w:p>
      <w:pPr>
        <w:pStyle w:val="ListParagraph"/>
        <w:numPr>
          <w:ilvl w:val="0"/>
          <w:numId w:val="3"/>
        </w:numPr>
        <w:spacing w:after="120"/>
      </w:pPr>
      <w:r>
        <w:t xml:space="preserve">Basel-III capital/liquidity ratios: not built — only AML/CTR/SAR-style regulatory framing is in scope for "regulatory reporting."</w:t>
      </w:r>
    </w:p>
    <w:p>
      <w:pPr>
        <w:pStyle w:val="ListParagraph"/>
        <w:numPr>
          <w:ilvl w:val="0"/>
          <w:numId w:val="3"/>
        </w:numPr>
        <w:spacing w:after="120"/>
      </w:pPr>
      <w:r>
        <w:t xml:space="preserve">Real bank/NBFC data: never used. 100% synthetic, generated for this project.</w:t>
      </w:r>
    </w:p>
    <w:p>
      <w:pPr>
        <w:pStyle w:val="ListParagraph"/>
        <w:numPr>
          <w:ilvl w:val="0"/>
          <w:numId w:val="3"/>
        </w:numPr>
        <w:spacing w:after="120"/>
      </w:pPr>
      <w:r>
        <w:t xml:space="preserve">Real-time streaming: the "real time" framing is satisfied via near-real-time query answers over a batch-loaded transaction table, not a live streaming pipeline — call this out rather than let a judge assume otherwise.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2026-10-01T16:14:14.748Z</dcterms:created>
  <dcterms:modified xsi:type="dcterms:W3CDTF">2026-10-01T16:14:14.749Z</dcterms:modified>
</cp:coreProperties>
</file>

<file path=docProps/custom.xml><?xml version="1.0" encoding="utf-8"?>
<Properties xmlns="http://schemas.openxmlformats.org/officeDocument/2006/custom-properties" xmlns:vt="http://schemas.openxmlformats.org/officeDocument/2006/docPropsVTypes"/>
</file>