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1. Descriptive statistics of carbon indicators by study site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Mean ±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CV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Range (min–max)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Organic carbon density (kg m⁻²)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Futian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4.857 ± 1.103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22.7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3.275–7.049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Organic carbon density (kg m⁻²)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Gaoqiao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3.716 ± 1.133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1.358–8.330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Microbial biomass carbon (mg kg⁻¹)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328.666 ± 46.979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178.744–385.492</w:t>
            </w:r>
          </w:p>
        </w:tc>
      </w:tr>
      <w:tr>
        <w:trPr>
          <w:trHeight w:val="5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Microbial biomass carbon (mg kg⁻¹)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Gaoqiao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262.849 ± 52.195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19.9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160.868–383.681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7"/>
          <w:szCs w:val="17"/>
          <w:color w:val="000000"/>
        </w:rPr>
        <w:t xml:space="preserve">Note. Values are mean ± SD. CV = coefficient of variation; range is minimum–maximum. Units are shown in the indicator names.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2. Statistical comparisons between Futian and Gaoqiao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BH-adjusted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Effect_size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Effect_method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Significance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Organic carbon density (kg m⁻²)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Kruskal–Wallis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 = 17.878; df =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Cliff's delta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***</w:t>
            </w:r>
          </w:p>
        </w:tc>
      </w:tr>
      <w:tr>
        <w:trPr>
          <w:trHeight w:val="5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Microbial biomass carbon (mg kg⁻¹)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Kruskal–Wallis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 = 26.452; df = 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Cliff's delta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***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7"/>
          <w:szCs w:val="17"/>
          <w:color w:val="000000"/>
        </w:rPr>
        <w:t xml:space="preserve">Note. The comparison method was selected using the prespecified Shapiro–Wilk and median-centred Levene tests. BH-adjusted P values control the false-discovery rate across the two indicator comparisons. ns, not significant; * P &lt; 0.05; ** P &lt; 0.01; *** P &lt; 0.001 (based on BH-adjusted P).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2026-10-13T19:49:16Z</dcterms:modified>
  <cp:category/>
</cp:coreProperties>
</file>