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Descriptive statistics of plant growth indicators by study site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CV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Range (min–max)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Dry mass after oven-drying (g)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4.555 ± 1.894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2.450–8.715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Dry mass after oven-drying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3.194 ± 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2.650–3.900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53.436 ± 7.122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37.400–64.500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57.723 ± 5.210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46.250–71.050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Leaf area (cm²)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Futian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14.848 ± 7.724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3.535–36.561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Leaf area (cm²)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Gaoqiao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12.233 ± 6.171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2.857–29.304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Values are mean ± SD. CV = coefficient of variation; range is minimum–maximum. Units are shown in the indicator names.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Statistical comparisons between Futian and Gaoqiao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BH-adjusted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Effect_method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Significance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Dry mass after oven-drying (g)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27.108; df =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***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6.501; df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*</w:t>
            </w:r>
          </w:p>
        </w:tc>
      </w:tr>
      <w:tr>
        <w:trPr>
          <w:trHeight w:val="5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Leaf area (cm²)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Kruskal–Wallis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 = 1.963; df = 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Cliff's delta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ns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Note. The comparison method was selected using the prespecified Shapiro–Wilk and median-centred Levene tests. BH-adjusted P values control the false-discovery rate across the three indicator comparisons. ns, not significant; * P &lt; 0.05; ** P &lt; 0.01; *** P &lt; 0.001 (based on BH-adjusted P).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2026-10-14T21:51:54Z</dcterms:modified>
  <cp:category/>
</cp:coreProperties>
</file>