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000000"/>
          <w:sz w:val="38"/>
          <w:u w:val="none"/>
        </w:rPr>
        <w:t>EMF 平均多功能性方差分解</w:t>
      </w:r>
    </w:p>
    <w:p>
      <w:r>
        <w:t>四组生态因子的独立解释度与共同解释度</w:t>
      </w:r>
    </w:p>
    <w:p>
      <w:r>
        <w:t>143 个完整样点的全模型原始 R² 为 49.93%，校正 R² 为 45.30%。四组独立分量合计解释 15.51%，共同分量合计解释 29.79%，未解释比例为 54.70%。在 Region 内限制置换并对四个独立检验进行 BH 校正后，土壤生境组达到 0.05 显著性水平。</w:t>
      </w:r>
    </w:p>
    <w:p>
      <w:pPr>
        <w:pStyle w:val="Heading1"/>
      </w:pPr>
      <w:r>
        <w:rPr>
          <w:b/>
          <w:color w:val="000000"/>
          <w:sz w:val="26"/>
          <w:u w:val="none"/>
        </w:rPr>
        <w:t>主要结果</w:t>
      </w:r>
    </w:p>
    <w:p>
      <w:pPr>
        <w:pStyle w:val="Caption"/>
        <w:keepNext/>
      </w:pPr>
      <w:r>
        <w:t>表 1 四组因子对 EMF-avg 的独立解释度与显著性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800"/>
        <w:gridCol w:w="1325"/>
        <w:gridCol w:w="2232"/>
        <w:gridCol w:w="1195"/>
        <w:gridCol w:w="1440"/>
        <w:gridCol w:w="1440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因子组</w:t>
            </w:r>
          </w:p>
        </w:tc>
        <w:tc>
          <w:tcPr>
            <w:tcW w:type="dxa" w:w="132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独立解释度</w:t>
              <w:br/>
              <w:t>（%）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95% CI</w:t>
              <w:br/>
              <w:t>（%）</w:t>
            </w:r>
          </w:p>
        </w:tc>
        <w:tc>
          <w:tcPr>
            <w:tcW w:type="dxa" w:w="119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偏 F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区域内 P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BH q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土壤生境组</w:t>
            </w:r>
          </w:p>
        </w:tc>
        <w:tc>
          <w:tcPr>
            <w:tcW w:type="dxa" w:w="132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7.03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2.26–15.38</w:t>
            </w:r>
          </w:p>
        </w:tc>
        <w:tc>
          <w:tcPr>
            <w:tcW w:type="dxa" w:w="119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6.695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0.0002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0.0008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化学计量组</w:t>
            </w:r>
          </w:p>
        </w:tc>
        <w:tc>
          <w:tcPr>
            <w:tcW w:type="dxa" w:w="132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2.20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-0.40–7.99</w:t>
            </w:r>
          </w:p>
        </w:tc>
        <w:tc>
          <w:tcPr>
            <w:tcW w:type="dxa" w:w="119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3.654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0.0266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0.0532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植物组</w:t>
            </w:r>
          </w:p>
        </w:tc>
        <w:tc>
          <w:tcPr>
            <w:tcW w:type="dxa" w:w="132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0.16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-1.00–5.61</w:t>
            </w:r>
          </w:p>
        </w:tc>
        <w:tc>
          <w:tcPr>
            <w:tcW w:type="dxa" w:w="119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1.132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0.3268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0.3268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区域环境组</w:t>
            </w:r>
          </w:p>
        </w:tc>
        <w:tc>
          <w:tcPr>
            <w:tcW w:type="dxa" w:w="132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6.13</w:t>
            </w:r>
          </w:p>
        </w:tc>
        <w:tc>
          <w:tcPr>
            <w:tcW w:type="dxa" w:w="223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1.21–16.66</w:t>
            </w:r>
          </w:p>
        </w:tc>
        <w:tc>
          <w:tcPr>
            <w:tcW w:type="dxa" w:w="1195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4.751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0.1660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0.2213</w:t>
            </w:r>
          </w:p>
        </w:tc>
      </w:tr>
    </w:tbl>
    <w:p>
      <w:pPr>
        <w:spacing w:line="269" w:lineRule="auto" w:before="60" w:after="120"/>
      </w:pPr>
      <w:r>
        <w:rPr>
          <w:sz w:val="18"/>
        </w:rPr>
        <w:t>表注：独立解释度为全模型与删去该组模型校正 R² 的差，分母为 EMF-avg 总变异。P 基于 9,999 次 Region 内限制置换，q 为四个独立检验的 Benjamini–Hochberg 校正值。95% CI 为 2,000 次 Region 内分层自助抽样百分位区间。共同分量不能单独检验。</w:t>
      </w:r>
    </w:p>
    <w:p>
      <w:pPr>
        <w:spacing w:line="269" w:lineRule="auto" w:before="60" w:after="120"/>
      </w:pPr>
      <w:r>
        <w:rPr>
          <w:sz w:val="18"/>
        </w:rPr>
        <w:t>自助区间与限制置换检验使用不同的重抽样机制。区间在现有区域对比下描述样点重抽样的不确定性，不能代替区域内置换显著性判断，也不校正未知空间自相关。</w:t>
      </w:r>
    </w:p>
    <w:p>
      <w:r>
        <w:t>土壤生境组独立解释 7.03% 的总变异（q = 0.0008），在三种分析方案中均保持约 7%。化学计量组独立解释 2.20%，未经校正的 P 为 0.0266，但 BH 校正后 q 为 0.0532。植物组的独立解释度为 0.16%（q = 0.3268）。</w:t>
      </w:r>
    </w:p>
    <w:p>
      <w:r>
        <w:t>区域环境组独立解释 6.13%，自由置换 P 为 0.0013，而区域内置换 P 为 0.1660（q = 0.2213）。控制 Region 后，其独立分量降至 0.48%。该关联明显受区域结构影响，当前证据不足以将其概括为稳定的区域内独立效应。</w:t>
      </w:r>
    </w:p>
    <w:p>
      <w:pPr>
        <w:pStyle w:val="Heading1"/>
      </w:pPr>
      <w:r>
        <w:rPr>
          <w:b/>
          <w:color w:val="000000"/>
          <w:sz w:val="26"/>
          <w:u w:val="none"/>
        </w:rPr>
        <w:t>分析对象与模型</w:t>
      </w:r>
    </w:p>
    <w:p>
      <w:r>
        <w:t>来源为 new 模块.xlsx 的“计算”表 A–S 列，共 143 个 Plot ID，其中 SZ 23 个、GQ 120 个。12 个自变量及 EMF-avg 均无缺失，未删除观测。EMF-avg 与四类功能均值的最大误差为 7.5×10⁻¹⁰，符合源数据舍入精度。</w:t>
      </w:r>
    </w:p>
    <w:p>
      <w:r>
        <w:t>EMF-avg 为连续单变量，VPA 在多元线性回归及偏回归框架下实施。主分析仅对自变量作 z 标准化，不对响应作对数或 Hellinger 转换。整体模型 F(12,130) = 10.801，区域内置换 P = 0.0001。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26"/>
          <w:u w:val="none"/>
        </w:rPr>
        <w:t>全部独立与共同分量</w:t>
      </w:r>
    </w:p>
    <w:p>
      <w:pPr>
        <w:pStyle w:val="Caption"/>
        <w:keepNext/>
      </w:pPr>
      <w:r>
        <w:t>表 2 全部 15 个互不重叠的独立及共同解释分量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0"/>
        <w:gridCol w:w="2592"/>
        <w:gridCol w:w="792"/>
        <w:gridCol w:w="1800"/>
        <w:gridCol w:w="1800"/>
        <w:gridCol w:w="1728"/>
      </w:tblGrid>
      <w:tr>
        <w:trPr>
          <w:cantSplit/>
          <w:tblHeader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代码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组组合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阶数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校正 R²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解释度（%）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可单独检验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a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0.070262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7.026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b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B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0.021998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2.200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c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C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0.001629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0.163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d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0.061251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6.125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是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e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A∩B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0.061400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6.140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g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A∩C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-0.008377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-0.838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f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B∩C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0.009043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0.904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h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0.100294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10.029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i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B∩D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0.009155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0.915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j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C∩D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0.072575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7.258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l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A∩B∩C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-0.004467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-0.447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k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A∩B∩D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-0.035554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-3.555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n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A∩C∩D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0.095039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9.504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m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B∩C∩D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3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0.021115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2.112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o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A∩B∩C∩D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4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-0.022332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-2.233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已解释合计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0.453031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45.303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p</w:t>
            </w:r>
          </w:p>
        </w:tc>
        <w:tc>
          <w:tcPr>
            <w:tcW w:type="dxa" w:w="25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未解释</w:t>
            </w:r>
          </w:p>
        </w:tc>
        <w:tc>
          <w:tcPr>
            <w:tcW w:type="dxa" w:w="79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—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0.546969</w:t>
            </w:r>
          </w:p>
        </w:tc>
        <w:tc>
          <w:tcPr>
            <w:tcW w:type="dxa" w:w="180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54.697</w:t>
            </w:r>
          </w:p>
        </w:tc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否</w:t>
            </w:r>
          </w:p>
        </w:tc>
      </w:tr>
    </w:tbl>
    <w:p>
      <w:pPr>
        <w:spacing w:line="269" w:lineRule="auto" w:before="60" w:after="120"/>
      </w:pPr>
      <w:r>
        <w:rPr>
          <w:sz w:val="18"/>
        </w:rPr>
        <w:t>表注：A = 土壤生境组，B = 化学计量组，C = 植物组，D = 区域环境组。“A∩B”等表示该组组合独占的共同解释分量，已排除涉及其余组的更高阶共享部分。a–o 与 vegan 的分量标记一致。</w:t>
      </w:r>
    </w:p>
    <w:p>
      <w:pPr>
        <w:spacing w:line="269" w:lineRule="auto" w:before="60" w:after="120"/>
      </w:pPr>
      <w:r>
        <w:rPr>
          <w:sz w:val="18"/>
        </w:rPr>
        <w:t>所有百分数均以响应总变异为分母。15 个分量之和为整体校正 R²，未解释比例为 1 − 整体校正 R²。共同解释度合计为 29.789%，含负分量。各组单独模型的解释率包含重叠部分，不能直接相加。</w:t>
      </w:r>
    </w:p>
    <w:p>
      <w:pPr>
        <w:pStyle w:val="Heading1"/>
      </w:pPr>
      <w:r>
        <w:rPr>
          <w:b/>
          <w:color w:val="000000"/>
          <w:sz w:val="26"/>
          <w:u w:val="none"/>
        </w:rPr>
        <w:t>共同解释的含义</w:t>
      </w:r>
    </w:p>
    <w:p>
      <w:r>
        <w:t>最大的精确二组共同分量来自土壤生境组与区域环境组（A∩D，10.03%）；A∩C∩D 为 9.50%，C∩D 为 7.26%。这些分量描述自变量组共享的统计解释，不能直接作为生态交互或协同作用的证据。</w:t>
      </w:r>
    </w:p>
    <w:p>
      <w:r>
        <w:t>A∩C、A∩B∩C、A∩B∩D 和四组共同部分出现负值。VPA 的校正 R² 差可以产生负分量，表明校正及共享结构中的抵消关系。本分析保留原值，不截零、不重新归一化。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26"/>
          <w:u w:val="none"/>
        </w:rPr>
        <w:t>敏感性分析与稳健性</w:t>
      </w:r>
    </w:p>
    <w:p>
      <w:pPr>
        <w:pStyle w:val="Caption"/>
        <w:keepNext/>
      </w:pPr>
      <w:r>
        <w:t>表 3 不同分析方案下的独立解释度与 BH 校正 q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28"/>
        <w:gridCol w:w="1296"/>
        <w:gridCol w:w="1440"/>
        <w:gridCol w:w="1440"/>
        <w:gridCol w:w="1296"/>
        <w:gridCol w:w="1296"/>
        <w:gridCol w:w="1584"/>
      </w:tblGrid>
      <w:tr>
        <w:trPr>
          <w:cantSplit/>
          <w:tblHeader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/>
                <w:sz w:val="18"/>
              </w:rPr>
              <w:t>因子组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主分析</w:t>
              <w:br/>
              <w:t>（%）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对数转换</w:t>
              <w:br/>
              <w:t>（%）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控制区域</w:t>
              <w:br/>
              <w:t>（%）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主分析 q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转换后 q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控制区域 q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土壤生境组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7.03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7.31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6.97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0.0008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0.0004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0.0008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化学计量组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2.20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1.21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2.14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0.0532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0.1391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0.0568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植物组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0.16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0.78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0.15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0.3268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0.1716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0.3322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区域环境组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6.13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6.50</w:t>
            </w:r>
          </w:p>
        </w:tc>
        <w:tc>
          <w:tcPr>
            <w:tcW w:type="dxa" w:w="144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0.48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0.2213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0.1391</w:t>
            </w:r>
          </w:p>
        </w:tc>
        <w:tc>
          <w:tcPr>
            <w:tcW w:type="dxa" w:w="158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0.3322</w:t>
            </w:r>
          </w:p>
        </w:tc>
      </w:tr>
    </w:tbl>
    <w:p>
      <w:pPr>
        <w:spacing w:line="269" w:lineRule="auto" w:before="60" w:after="120"/>
      </w:pPr>
      <w:r>
        <w:rPr>
          <w:sz w:val="18"/>
        </w:rPr>
        <w:t>表注：三种方案使用相同 143 个样点及四组成员。对数转换采用 ln(N:P)、ln(1+距海岸距离)、ln(1+距河口距离)，再作标准化。控制区域以 Region 为条件协变量，分量定义为含 Region 的全模型与删组模型校正 R² 差，分母仍为原始响应总变异。每种方案的四组检验分别作 BH 校正。</w:t>
      </w:r>
    </w:p>
    <w:p>
      <w:r>
        <w:t>土壤生境组的独立解释度在主分析、对数转换和区域条件化后分别为 7.03%、7.31% 和 6.97%，组间排序与显著性结论稳定。区域环境组在控制区域后降至 0.48%，说明其原有独立分量较大程度依赖区域间的结构差异。</w:t>
      </w:r>
    </w:p>
    <w:p>
      <w:pPr>
        <w:pStyle w:val="Caption"/>
        <w:keepNext/>
      </w:pPr>
      <w:r>
        <w:t>表 4 影响点筛查后的独立解释度变化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60"/>
        <w:gridCol w:w="2304"/>
        <w:gridCol w:w="3168"/>
        <w:gridCol w:w="1872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因子组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主分析（%）</w:t>
            </w:r>
          </w:p>
        </w:tc>
        <w:tc>
          <w:tcPr>
            <w:tcW w:type="dxa" w:w="31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剔除筛查点后（%）</w:t>
            </w:r>
          </w:p>
        </w:tc>
        <w:tc>
          <w:tcPr>
            <w:tcW w:type="dxa" w:w="187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保留样本数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土壤生境组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7.03</w:t>
            </w:r>
          </w:p>
        </w:tc>
        <w:tc>
          <w:tcPr>
            <w:tcW w:type="dxa" w:w="31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10.50</w:t>
            </w:r>
          </w:p>
        </w:tc>
        <w:tc>
          <w:tcPr>
            <w:tcW w:type="dxa" w:w="187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化学计量组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2.20</w:t>
            </w:r>
          </w:p>
        </w:tc>
        <w:tc>
          <w:tcPr>
            <w:tcW w:type="dxa" w:w="31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2.08</w:t>
            </w:r>
          </w:p>
        </w:tc>
        <w:tc>
          <w:tcPr>
            <w:tcW w:type="dxa" w:w="187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植物组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0.16</w:t>
            </w:r>
          </w:p>
        </w:tc>
        <w:tc>
          <w:tcPr>
            <w:tcW w:type="dxa" w:w="31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1.02</w:t>
            </w:r>
          </w:p>
        </w:tc>
        <w:tc>
          <w:tcPr>
            <w:tcW w:type="dxa" w:w="187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135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区域环境组</w:t>
            </w:r>
          </w:p>
        </w:tc>
        <w:tc>
          <w:tcPr>
            <w:tcW w:type="dxa" w:w="2304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6.13</w:t>
            </w:r>
          </w:p>
        </w:tc>
        <w:tc>
          <w:tcPr>
            <w:tcW w:type="dxa" w:w="31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7.68</w:t>
            </w:r>
          </w:p>
        </w:tc>
        <w:tc>
          <w:tcPr>
            <w:tcW w:type="dxa" w:w="1872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135</w:t>
            </w:r>
          </w:p>
        </w:tc>
      </w:tr>
    </w:tbl>
    <w:p>
      <w:pPr>
        <w:spacing w:line="269" w:lineRule="auto" w:before="60" w:after="120"/>
      </w:pPr>
      <w:r>
        <w:rPr>
          <w:sz w:val="18"/>
        </w:rPr>
        <w:t>表注：按 Cook D &gt; 4/n 筛出 8 个潜在影响点。主分析保留全部 143 个样点，剔除后仅作敏感性比较，不将筛查阈值当作删除依据。最大 Cook D 为 0.192。该补充分析未重新定义主检验。</w:t>
      </w:r>
    </w:p>
    <w:p>
      <w:pPr>
        <w:pStyle w:val="Heading1"/>
      </w:pPr>
      <w:r>
        <w:rPr>
          <w:b/>
          <w:color w:val="000000"/>
          <w:sz w:val="26"/>
          <w:u w:val="none"/>
        </w:rPr>
        <w:t>模型诊断</w:t>
      </w:r>
    </w:p>
    <w:p>
      <w:r>
        <w:t>自变量 VIF 为 1.26–2.79，未发现需要因严重线性共线性而删减变量的证据。残差 Shapiro–Wilk 检验 P = 0.567，基于残差平方辅助回归的异方差检验 P = 0.560。诊断没有提示明显的残差偏态或异方差，但不能据此证明样点独立。</w:t>
      </w:r>
    </w:p>
    <w:p>
      <w:r>
        <w:t>当前数据包含两个 Region，样本数为 23 和 120。主检验采用 Region 内限制置换，以减少跨区域不可交换造成的偏差。仅有两个区域，不能可靠估计跨区域随机效应；缺少样点坐标与更细的采样单元标识，尚不能评估剩余空间自相关。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26"/>
          <w:u w:val="none"/>
        </w:rPr>
        <w:t>描述统计与变量分组</w:t>
      </w:r>
    </w:p>
    <w:p>
      <w:pPr>
        <w:pStyle w:val="Caption"/>
        <w:keepNext/>
      </w:pPr>
      <w:r>
        <w:t>表 5 描述统计与方差膨胀因子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60"/>
        <w:gridCol w:w="1296"/>
        <w:gridCol w:w="1296"/>
        <w:gridCol w:w="1296"/>
        <w:gridCol w:w="1296"/>
        <w:gridCol w:w="1296"/>
        <w:gridCol w:w="108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/>
                <w:sz w:val="18"/>
              </w:rPr>
              <w:t>变量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均值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标准差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最小值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中位数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最大值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8"/>
              </w:rPr>
              <w:t>VIF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土壤含水率（%）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122.042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37.683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35.740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126.900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225.800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1.533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Salinity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23.734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5.335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11.000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25.000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35.000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2.480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pH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6.461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0.284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5.660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6.420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7.770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1.259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C:N 比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19.115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3.010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13.220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18.980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28.200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1.463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N:P 比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3.254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1.311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1.580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2.950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10.070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1.794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SOC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470.792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29.213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405.983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475.532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527.700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2.790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TN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17.640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3.080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10.806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16.863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25.751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1.914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TP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1.963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0.491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0.574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1.949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2.982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2.458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MAT（℃）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22.817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0.123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22.504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22.867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22.987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1.710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MAP（mm/年）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1673.972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74.560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1613.000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1647.000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1856.000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2.781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距海岸（m）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364.892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385.401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1.666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239.938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1560.493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1.281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距河口（m）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1436.620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957.200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64.144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1220.957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4225.438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1.399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8"/>
              </w:rPr>
              <w:t>EMF-avg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0.000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0.643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-1.404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0.015</w:t>
            </w:r>
          </w:p>
        </w:tc>
        <w:tc>
          <w:tcPr>
            <w:tcW w:type="dxa" w:w="129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1.419</w:t>
            </w:r>
          </w:p>
        </w:tc>
        <w:tc>
          <w:tcPr>
            <w:tcW w:type="dxa" w:w="1080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8"/>
              </w:rPr>
              <w:t>—</w:t>
            </w:r>
          </w:p>
        </w:tc>
      </w:tr>
    </w:tbl>
    <w:p>
      <w:pPr>
        <w:spacing w:line="269" w:lineRule="auto" w:before="60" w:after="120"/>
      </w:pPr>
      <w:r>
        <w:rPr>
          <w:sz w:val="18"/>
        </w:rPr>
        <w:t>表注：各变量 n = 143，缺失数为 0。SOC、TN、TP 和 Salinity 的计量尺度沿用源记录，未擅自补充单位。含水率超过 100% 的记录保留原值；干质量基准含水率可以超过 100%，具体基准应以实验记录为准。EMF-avg 为无量纲综合指标。</w:t>
      </w:r>
    </w:p>
    <w:p>
      <w:pPr>
        <w:pStyle w:val="Caption"/>
        <w:keepNext/>
      </w:pPr>
      <w:r>
        <w:t>表 6 预设的生态学分组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936"/>
        <w:gridCol w:w="2016"/>
        <w:gridCol w:w="6768"/>
      </w:tblGrid>
      <w:tr>
        <w:trPr>
          <w:cantSplit/>
          <w:tblHeader/>
        </w:trPr>
        <w:tc>
          <w:tcPr>
            <w:tcW w:type="dxa" w:w="93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/>
                <w:sz w:val="19"/>
              </w:rPr>
              <w:t>组代码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因子组</w:t>
            </w:r>
          </w:p>
        </w:tc>
        <w:tc>
          <w:tcPr>
            <w:tcW w:type="dxa" w:w="67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top w:val="single" w:sz="12" w:color="000000"/>
              <w:bottom w:val="single" w:sz="5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/>
                <w:sz w:val="19"/>
              </w:rPr>
              <w:t>纳入变量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A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土壤生境组</w:t>
            </w:r>
          </w:p>
        </w:tc>
        <w:tc>
          <w:tcPr>
            <w:tcW w:type="dxa" w:w="67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土壤含水率、Salinity、pH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B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化学计量组</w:t>
            </w:r>
          </w:p>
        </w:tc>
        <w:tc>
          <w:tcPr>
            <w:tcW w:type="dxa" w:w="67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C:N 比、N:P 比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C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植物组</w:t>
            </w:r>
          </w:p>
        </w:tc>
        <w:tc>
          <w:tcPr>
            <w:tcW w:type="dxa" w:w="67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/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SOC、TN、TP</w:t>
            </w:r>
          </w:p>
        </w:tc>
      </w:tr>
      <w:tr>
        <w:trPr>
          <w:cantSplit/>
        </w:trPr>
        <w:tc>
          <w:tcPr>
            <w:tcW w:type="dxa" w:w="93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left"/>
            </w:pPr>
            <w:r>
              <w:rPr>
                <w:rFonts w:ascii="Times New Roman" w:hAnsi="Times New Roman" w:eastAsia="SimSun"/>
                <w:b w:val="0"/>
                <w:sz w:val="19"/>
              </w:rPr>
              <w:t>D</w:t>
            </w:r>
          </w:p>
        </w:tc>
        <w:tc>
          <w:tcPr>
            <w:tcW w:type="dxa" w:w="2016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区域环境组</w:t>
            </w:r>
          </w:p>
        </w:tc>
        <w:tc>
          <w:tcPr>
            <w:tcW w:type="dxa" w:w="6768"/>
            <w:vAlign w:val="center"/>
            <w:tcMar>
              <w:top w:w="65" w:type="dxa"/>
              <w:bottom w:w="65" w:type="dxa"/>
              <w:left w:w="60" w:type="dxa"/>
              <w:right w:w="60" w:type="dxa"/>
            </w:tcMar>
            <w:tcBorders>
              <w:bottom w:val="single" w:sz="12" w:color="000000"/>
            </w:tcBorders>
          </w:tcPr>
          <w:p>
            <w:pPr>
              <w:spacing w:before="0" w:after="0" w:line="259" w:lineRule="auto"/>
              <w:jc w:val="center"/>
            </w:pPr>
            <w:r>
              <w:rPr>
                <w:rFonts w:ascii="Times New Roman" w:hAnsi="Times New Roman" w:eastAsia="SimSun"/>
                <w:b w:val="0"/>
                <w:sz w:val="19"/>
              </w:rPr>
              <w:t>MAT、MAP、距海岸距离、距河口距离</w:t>
            </w:r>
          </w:p>
        </w:tc>
      </w:tr>
    </w:tbl>
    <w:p>
      <w:pPr>
        <w:spacing w:line="269" w:lineRule="auto" w:before="60" w:after="120"/>
      </w:pPr>
      <w:r>
        <w:rPr>
          <w:sz w:val="18"/>
        </w:rPr>
        <w:t>表注：组名与成员遵循预设方案。C 组的组织归属需结合采样记录核实；若 SOC、TN、TP 为土壤变量，应相应调整组名。若解释变量与 EMF 构建使用相同原始测量，还应评估数学耦合。</w:t>
      </w:r>
    </w:p>
    <w:p>
      <w:r>
        <w:br w:type="page"/>
      </w:r>
    </w:p>
    <w:p>
      <w:pPr>
        <w:pStyle w:val="Heading1"/>
      </w:pPr>
      <w:r>
        <w:rPr>
          <w:b/>
          <w:color w:val="000000"/>
          <w:sz w:val="26"/>
          <w:u w:val="none"/>
        </w:rPr>
        <w:t>统计方法与图注</w:t>
      </w:r>
    </w:p>
    <w:p>
      <w:pPr>
        <w:pStyle w:val="Heading1"/>
      </w:pPr>
      <w:r>
        <w:rPr>
          <w:b/>
          <w:color w:val="000000"/>
          <w:sz w:val="26"/>
          <w:u w:val="none"/>
        </w:rPr>
        <w:t>计算与检验</w:t>
      </w:r>
    </w:p>
    <w:p>
      <w:r>
        <w:t>所有 15 个组联合模型均在同一完整样本集上拟合。采用 R²adj = 1 − (1 − R²)(n − 1)/(n − p − 1) 校正参数数量，其中 p 为模型有效解释自由度。独立分量等于全模型与删组模型校正 R² 的差，其余精确共同分量通过容斥关系计算。所有 15 个分量逐项与 vegan::varpart 结果交叉核对。</w:t>
      </w:r>
    </w:p>
    <w:p>
      <w:r>
        <w:t>显著性检验使用 vegan::rda 和 anova.cca，固定随机种子 20261014，在 Region 内生成 9,999 次限制置换。偏模型采用 model = "reduced"，置换条件模型残差。四个独立分量作 BH 校正，整体检验单独报告。不能写为偏回归模型的精确共同分量不单独检验。</w:t>
      </w:r>
    </w:p>
    <w:p>
      <w:r>
        <w:t>自助法固定种子 20261015，分别在各 Region 内按原样本数有放回抽取样点，重复 2,000 次，重新计算全部模型及分量，以 2.5% 和 97.5% 分位数作为描述性区间。该区间以现有区域及样点条件独立为前提，不表示区域外预测区间。</w:t>
      </w:r>
    </w:p>
    <w:p>
      <w:pPr>
        <w:pStyle w:val="Heading1"/>
      </w:pPr>
      <w:r>
        <w:rPr>
          <w:b/>
          <w:color w:val="000000"/>
          <w:sz w:val="26"/>
          <w:u w:val="none"/>
        </w:rPr>
        <w:t>图注</w:t>
      </w:r>
    </w:p>
    <w:p>
      <w:r>
        <w:t>图 1  四组因子对 EMF-avg 的方差分解（n = 143）。A：独立分量及 Region 内分层自助法 95% 区间（2000 次）。 B：a–o 对应下方组合点阵，实点表示参与的组。负分量反映统计校正和变量共享结构，不能解释为负向生态效应。 独立分量采用 Region 内 9,999 次置换检验及 BH 校正。共同分量不单独检验；所有百分数均以响应总变异为分母。</w:t>
      </w:r>
    </w:p>
    <w:p>
      <w:r>
        <w:t>图 2  主分析、对数转换和控制 Region 后的四组独立分量。横线长度表示各方案的独立解释度，颜色区分三种分析方案。 对数转换为 ln(N:P)、ln(1+距海岸距离) 和 ln(1+距河口距离)。控制 Region 的分量为含 Region 的全模型与删组模型校正 R² 之差。 三种分析均使用相同完整样本，分母为原始 EMF-avg 总变异，未按显著性筛选变量。精确数值与检验结果见表 3。</w:t>
      </w:r>
    </w:p>
    <w:p>
      <w:pPr>
        <w:pStyle w:val="Heading1"/>
      </w:pPr>
      <w:r>
        <w:rPr>
          <w:b/>
          <w:color w:val="000000"/>
          <w:sz w:val="26"/>
          <w:u w:val="none"/>
        </w:rPr>
        <w:t>参考资料</w:t>
      </w:r>
    </w:p>
    <w:p>
      <w:pPr>
        <w:spacing w:line="269" w:lineRule="auto" w:before="60" w:after="120"/>
      </w:pPr>
      <w:r>
        <w:rPr>
          <w:sz w:val="18"/>
        </w:rPr>
        <w:t>Peres-Neto P R, Legendre P, Dray S, Borcard D. 2006. Variation partitioning of species data matrices: estimation and comparison of fractions. Ecology, 87: 2614–2625. DOI: 10.1890/0012-9658(2006)87[2614:VPSDMA]2.0.CO;2.</w:t>
      </w:r>
    </w:p>
    <w:p>
      <w:pPr>
        <w:spacing w:line="269" w:lineRule="auto" w:before="60" w:after="120"/>
      </w:pPr>
      <w:r>
        <w:rPr>
          <w:sz w:val="18"/>
        </w:rPr>
        <w:t>vegan 官方文档：varpart（方差分解、负分量与可检验性），https://vegandevs.github.io/vegan/reference/varpart.html；anova.cca（限制置换），https://vegandevs.github.io/vegan/reference/anova.cca.html；RsquareAdj（校正 R²），https://vegandevs.github.io/vegan/reference/RsquareAdj.html。</w:t>
      </w:r>
    </w:p>
    <w:p>
      <w:pPr>
        <w:spacing w:line="269" w:lineRule="auto" w:before="60" w:after="120"/>
      </w:pPr>
      <w:r>
        <w:rPr>
          <w:sz w:val="18"/>
        </w:rPr>
        <w:t>分析环境：R 4.5.2、vegan 2.7-6。数据来源：new 模块.xlsx，“计算”工作表。完整代码、原始精度结果、模型对象和软件环境记录随分析结果保存。</w:t>
      </w:r>
    </w:p>
    <w:sectPr w:rsidR="00FC693F" w:rsidRPr="0006063C" w:rsidSect="00034616"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Times New Roman" w:hAnsi="Times New Roman" w:eastAsia="SimSun"/>
      <w:color w:val="000000"/>
      <w:sz w:val="21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40"/>
      <w:outlineLvl w:val="0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6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SimSun"/>
      <w:b/>
      <w:bCs/>
      <w:color w:val="000000"/>
      <w:sz w:val="26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SimSun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40" w:after="120"/>
    </w:pPr>
    <w:rPr>
      <w:rFonts w:ascii="Times New Roman" w:hAnsi="Times New Roman" w:eastAsia="SimSun"/>
      <w:b/>
      <w:bCs/>
      <w:color w:val="000000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EMF 平均多功能性方差分解</dc:title>
  <dc:subject>四组VPA、限制置换与可编辑三线表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