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C85" w:rsidRDefault="00DC352A">
      <w:r w:rsidRPr="00DC352A">
        <w:rPr>
          <w:b/>
        </w:rPr>
        <w:t>Title:</w:t>
      </w:r>
      <w:r>
        <w:t xml:space="preserve"> </w:t>
      </w:r>
      <w:r w:rsidR="00F10A4A">
        <w:t xml:space="preserve">Benefits of </w:t>
      </w:r>
      <w:proofErr w:type="spellStart"/>
      <w:r w:rsidR="00F10A4A">
        <w:t>PrEP</w:t>
      </w:r>
      <w:proofErr w:type="spellEnd"/>
      <w:r w:rsidR="00F10A4A">
        <w:t xml:space="preserve"> as an adjunctive method of HIV prevention during attempted conception between HIV-uninfected women and HIV-infected male partners</w:t>
      </w:r>
    </w:p>
    <w:p w:rsidR="00DC352A" w:rsidRDefault="00DC352A"/>
    <w:p w:rsidR="00DC352A" w:rsidRDefault="00DC352A">
      <w:r w:rsidRPr="00DC352A">
        <w:rPr>
          <w:b/>
        </w:rPr>
        <w:t>Journal:</w:t>
      </w:r>
      <w:r>
        <w:t xml:space="preserve"> Journal of Infectious Diseases</w:t>
      </w:r>
    </w:p>
    <w:p w:rsidR="00F10A4A" w:rsidRDefault="00F10A4A"/>
    <w:p w:rsidR="00F10A4A" w:rsidRDefault="00F10A4A">
      <w:pPr>
        <w:rPr>
          <w:b/>
        </w:rPr>
      </w:pPr>
      <w:r w:rsidRPr="00F10A4A">
        <w:rPr>
          <w:b/>
        </w:rPr>
        <w:t>Abstract</w:t>
      </w:r>
    </w:p>
    <w:p w:rsidR="00F10A4A" w:rsidRPr="00DC352A" w:rsidRDefault="00F10A4A">
      <w:pPr>
        <w:rPr>
          <w:i/>
          <w:sz w:val="20"/>
          <w:szCs w:val="20"/>
        </w:rPr>
      </w:pPr>
      <w:r w:rsidRPr="00F10A4A">
        <w:rPr>
          <w:b/>
          <w:i/>
          <w:sz w:val="20"/>
          <w:szCs w:val="20"/>
        </w:rPr>
        <w:t>Background</w:t>
      </w:r>
      <w:r w:rsidR="00DC352A">
        <w:rPr>
          <w:b/>
          <w:i/>
          <w:sz w:val="20"/>
          <w:szCs w:val="20"/>
        </w:rPr>
        <w:t xml:space="preserve">: </w:t>
      </w:r>
      <w:r w:rsidR="00DC352A">
        <w:rPr>
          <w:i/>
          <w:sz w:val="20"/>
          <w:szCs w:val="20"/>
        </w:rPr>
        <w:t>The estimated additive impact of pre-exposure prophylaxis (</w:t>
      </w:r>
      <w:proofErr w:type="spellStart"/>
      <w:r w:rsidR="00DC352A">
        <w:rPr>
          <w:i/>
          <w:sz w:val="20"/>
          <w:szCs w:val="20"/>
        </w:rPr>
        <w:t>PrEP</w:t>
      </w:r>
      <w:proofErr w:type="spellEnd"/>
      <w:r w:rsidR="00DC352A">
        <w:rPr>
          <w:i/>
          <w:sz w:val="20"/>
          <w:szCs w:val="20"/>
        </w:rPr>
        <w:t xml:space="preserve">) in the absence of antiretroviral therapy (ART) and combined with  </w:t>
      </w:r>
    </w:p>
    <w:p w:rsidR="00F10A4A" w:rsidRPr="00F778F3" w:rsidRDefault="00F10A4A">
      <w:pPr>
        <w:rPr>
          <w:sz w:val="20"/>
          <w:szCs w:val="20"/>
        </w:rPr>
      </w:pPr>
      <w:r w:rsidRPr="00F10A4A">
        <w:rPr>
          <w:b/>
          <w:i/>
          <w:sz w:val="20"/>
          <w:szCs w:val="20"/>
        </w:rPr>
        <w:t>Methods</w:t>
      </w:r>
      <w:r w:rsidR="00F778F3">
        <w:rPr>
          <w:b/>
          <w:i/>
          <w:sz w:val="20"/>
          <w:szCs w:val="20"/>
        </w:rPr>
        <w:t xml:space="preserve">: </w:t>
      </w:r>
      <w:r w:rsidR="00F778F3">
        <w:rPr>
          <w:i/>
          <w:sz w:val="20"/>
          <w:szCs w:val="20"/>
        </w:rPr>
        <w:t>A probabilistic mathematical model t</w:t>
      </w:r>
      <w:r w:rsidR="00B60A96">
        <w:rPr>
          <w:i/>
          <w:sz w:val="20"/>
          <w:szCs w:val="20"/>
        </w:rPr>
        <w:t xml:space="preserve">hat explores the additive impact of </w:t>
      </w:r>
      <w:proofErr w:type="spellStart"/>
      <w:r w:rsidR="00B60A96">
        <w:rPr>
          <w:i/>
          <w:sz w:val="20"/>
          <w:szCs w:val="20"/>
        </w:rPr>
        <w:t>PrEP</w:t>
      </w:r>
      <w:proofErr w:type="spellEnd"/>
      <w:r w:rsidR="00B60A96">
        <w:rPr>
          <w:i/>
          <w:sz w:val="20"/>
          <w:szCs w:val="20"/>
        </w:rPr>
        <w:t xml:space="preserve"> by predicting the likelihood of outcomes defined in terms of HIV infection and successful pregnancy in a simulated </w:t>
      </w:r>
      <w:proofErr w:type="spellStart"/>
      <w:r w:rsidR="00B60A96">
        <w:rPr>
          <w:i/>
          <w:sz w:val="20"/>
          <w:szCs w:val="20"/>
        </w:rPr>
        <w:t>serodiscordant</w:t>
      </w:r>
      <w:proofErr w:type="spellEnd"/>
      <w:r w:rsidR="00B60A96">
        <w:rPr>
          <w:i/>
          <w:sz w:val="20"/>
          <w:szCs w:val="20"/>
        </w:rPr>
        <w:t xml:space="preserve"> setting.  </w:t>
      </w:r>
    </w:p>
    <w:p w:rsidR="00F10A4A" w:rsidRPr="00F10A4A" w:rsidRDefault="00F10A4A">
      <w:pPr>
        <w:rPr>
          <w:b/>
          <w:i/>
          <w:sz w:val="20"/>
          <w:szCs w:val="20"/>
        </w:rPr>
      </w:pPr>
      <w:r w:rsidRPr="00F10A4A">
        <w:rPr>
          <w:b/>
          <w:i/>
          <w:sz w:val="20"/>
          <w:szCs w:val="20"/>
        </w:rPr>
        <w:t>Results</w:t>
      </w:r>
      <w:r w:rsidR="00F0315C">
        <w:rPr>
          <w:b/>
          <w:i/>
          <w:sz w:val="20"/>
          <w:szCs w:val="20"/>
        </w:rPr>
        <w:t xml:space="preserve">: </w:t>
      </w:r>
    </w:p>
    <w:p w:rsidR="00F10A4A" w:rsidRPr="00F10A4A" w:rsidRDefault="00F10A4A">
      <w:pPr>
        <w:rPr>
          <w:b/>
          <w:i/>
          <w:sz w:val="20"/>
          <w:szCs w:val="20"/>
        </w:rPr>
      </w:pPr>
      <w:r w:rsidRPr="00F10A4A">
        <w:rPr>
          <w:b/>
          <w:i/>
          <w:sz w:val="20"/>
          <w:szCs w:val="20"/>
        </w:rPr>
        <w:t>Conclusions</w:t>
      </w:r>
      <w:r w:rsidR="00F0315C">
        <w:rPr>
          <w:b/>
          <w:i/>
          <w:sz w:val="20"/>
          <w:szCs w:val="20"/>
        </w:rPr>
        <w:t xml:space="preserve">: </w:t>
      </w:r>
    </w:p>
    <w:p w:rsidR="00F10A4A" w:rsidRPr="00F0315C" w:rsidRDefault="00F10A4A">
      <w:pPr>
        <w:rPr>
          <w:i/>
          <w:sz w:val="20"/>
          <w:szCs w:val="20"/>
        </w:rPr>
      </w:pPr>
      <w:r w:rsidRPr="00F10A4A">
        <w:rPr>
          <w:b/>
          <w:i/>
          <w:sz w:val="20"/>
          <w:szCs w:val="20"/>
        </w:rPr>
        <w:t>Keywords (3</w:t>
      </w:r>
      <w:r w:rsidR="00F0315C">
        <w:rPr>
          <w:b/>
          <w:i/>
          <w:sz w:val="20"/>
          <w:szCs w:val="20"/>
        </w:rPr>
        <w:t xml:space="preserve"> minimum</w:t>
      </w:r>
      <w:r w:rsidRPr="00F10A4A">
        <w:rPr>
          <w:b/>
          <w:i/>
          <w:sz w:val="20"/>
          <w:szCs w:val="20"/>
        </w:rPr>
        <w:t>)</w:t>
      </w:r>
      <w:r w:rsidR="00F0315C">
        <w:rPr>
          <w:b/>
          <w:i/>
          <w:sz w:val="20"/>
          <w:szCs w:val="20"/>
        </w:rPr>
        <w:t xml:space="preserve">: </w:t>
      </w:r>
      <w:r w:rsidR="00F0315C">
        <w:rPr>
          <w:i/>
          <w:sz w:val="20"/>
          <w:szCs w:val="20"/>
        </w:rPr>
        <w:t xml:space="preserve">HIV transmission; HIV epidemic; </w:t>
      </w:r>
      <w:proofErr w:type="spellStart"/>
      <w:r w:rsidR="00F0315C">
        <w:rPr>
          <w:i/>
          <w:sz w:val="20"/>
          <w:szCs w:val="20"/>
        </w:rPr>
        <w:t>serodiscordant</w:t>
      </w:r>
      <w:proofErr w:type="spellEnd"/>
      <w:r w:rsidR="00F0315C">
        <w:rPr>
          <w:i/>
          <w:sz w:val="20"/>
          <w:szCs w:val="20"/>
        </w:rPr>
        <w:t xml:space="preserve"> conception; mathematical model; pre-exposure prophylaxis; </w:t>
      </w:r>
      <w:proofErr w:type="spellStart"/>
      <w:r w:rsidR="00F0315C">
        <w:rPr>
          <w:i/>
          <w:sz w:val="20"/>
          <w:szCs w:val="20"/>
        </w:rPr>
        <w:t>PrEP</w:t>
      </w:r>
      <w:proofErr w:type="spellEnd"/>
      <w:r w:rsidR="00F0315C">
        <w:rPr>
          <w:i/>
          <w:sz w:val="20"/>
          <w:szCs w:val="20"/>
        </w:rPr>
        <w:t>; antiretroviral therapy</w:t>
      </w:r>
    </w:p>
    <w:p w:rsidR="00F10A4A" w:rsidRPr="00F10A4A" w:rsidRDefault="00F10A4A">
      <w:pPr>
        <w:rPr>
          <w:sz w:val="20"/>
          <w:szCs w:val="20"/>
        </w:rPr>
      </w:pPr>
    </w:p>
    <w:p w:rsidR="00F10A4A" w:rsidRPr="00F10A4A" w:rsidRDefault="00F10A4A">
      <w:pPr>
        <w:rPr>
          <w:b/>
          <w:i/>
          <w:sz w:val="20"/>
          <w:szCs w:val="20"/>
        </w:rPr>
        <w:sectPr w:rsidR="00F10A4A" w:rsidRPr="00F10A4A" w:rsidSect="00B37EDC">
          <w:pgSz w:w="12240" w:h="15840"/>
          <w:pgMar w:top="1440" w:right="1800" w:bottom="1440" w:left="1800" w:header="720" w:footer="720" w:gutter="0"/>
          <w:cols w:space="720"/>
          <w:docGrid w:linePitch="360"/>
        </w:sectPr>
      </w:pPr>
    </w:p>
    <w:p w:rsidR="00F10A4A" w:rsidRPr="00F10A4A" w:rsidRDefault="00F10A4A">
      <w:pPr>
        <w:rPr>
          <w:b/>
          <w:i/>
        </w:rPr>
      </w:pPr>
      <w:r w:rsidRPr="00F10A4A">
        <w:rPr>
          <w:b/>
          <w:i/>
        </w:rPr>
        <w:lastRenderedPageBreak/>
        <w:t>Intro</w:t>
      </w:r>
    </w:p>
    <w:p w:rsidR="00F10A4A" w:rsidRPr="00DC352A" w:rsidRDefault="0053169F" w:rsidP="00DC352A">
      <w:pPr>
        <w:pStyle w:val="ListParagraph"/>
        <w:numPr>
          <w:ilvl w:val="0"/>
          <w:numId w:val="1"/>
        </w:numPr>
        <w:rPr>
          <w:sz w:val="20"/>
          <w:szCs w:val="20"/>
        </w:rPr>
      </w:pPr>
      <w:r w:rsidRPr="00DC352A">
        <w:rPr>
          <w:sz w:val="20"/>
          <w:szCs w:val="20"/>
        </w:rPr>
        <w:t>Globally, HIV infection is estimated to affect over 34 million individuals, with 2/3 of infections heterosexually acquired</w:t>
      </w:r>
    </w:p>
    <w:p w:rsidR="0053169F" w:rsidRPr="00DC352A" w:rsidRDefault="0053169F" w:rsidP="00DC352A">
      <w:pPr>
        <w:pStyle w:val="ListParagraph"/>
        <w:numPr>
          <w:ilvl w:val="0"/>
          <w:numId w:val="1"/>
        </w:numPr>
        <w:rPr>
          <w:sz w:val="20"/>
          <w:szCs w:val="20"/>
        </w:rPr>
      </w:pPr>
      <w:r w:rsidRPr="00DC352A">
        <w:rPr>
          <w:sz w:val="20"/>
          <w:szCs w:val="20"/>
        </w:rPr>
        <w:t>20-75% desire to conceive</w:t>
      </w:r>
    </w:p>
    <w:p w:rsidR="0053169F" w:rsidRPr="00DC352A" w:rsidRDefault="0053169F" w:rsidP="00DC352A">
      <w:pPr>
        <w:pStyle w:val="ListParagraph"/>
        <w:numPr>
          <w:ilvl w:val="0"/>
          <w:numId w:val="1"/>
        </w:numPr>
        <w:rPr>
          <w:sz w:val="20"/>
          <w:szCs w:val="20"/>
        </w:rPr>
      </w:pPr>
      <w:proofErr w:type="spellStart"/>
      <w:r w:rsidRPr="00DC352A">
        <w:rPr>
          <w:sz w:val="20"/>
          <w:szCs w:val="20"/>
        </w:rPr>
        <w:t>Serodiscordant</w:t>
      </w:r>
      <w:proofErr w:type="spellEnd"/>
      <w:r w:rsidRPr="00DC352A">
        <w:rPr>
          <w:sz w:val="20"/>
          <w:szCs w:val="20"/>
        </w:rPr>
        <w:t xml:space="preserve"> couples engage in transmission-risk behavior in order to conceive</w:t>
      </w:r>
    </w:p>
    <w:p w:rsidR="0053169F" w:rsidRPr="00DC352A" w:rsidRDefault="0053169F" w:rsidP="00DC352A">
      <w:pPr>
        <w:pStyle w:val="ListParagraph"/>
        <w:numPr>
          <w:ilvl w:val="0"/>
          <w:numId w:val="1"/>
        </w:numPr>
        <w:rPr>
          <w:sz w:val="20"/>
          <w:szCs w:val="20"/>
        </w:rPr>
      </w:pPr>
      <w:r w:rsidRPr="00DC352A">
        <w:rPr>
          <w:sz w:val="20"/>
          <w:szCs w:val="20"/>
        </w:rPr>
        <w:t xml:space="preserve">Protection against HIVE transmission during conception among </w:t>
      </w:r>
      <w:proofErr w:type="spellStart"/>
      <w:r w:rsidRPr="00DC352A">
        <w:rPr>
          <w:sz w:val="20"/>
          <w:szCs w:val="20"/>
        </w:rPr>
        <w:t>serodiscordant</w:t>
      </w:r>
      <w:proofErr w:type="spellEnd"/>
      <w:r w:rsidRPr="00DC352A">
        <w:rPr>
          <w:sz w:val="20"/>
          <w:szCs w:val="20"/>
        </w:rPr>
        <w:t xml:space="preserve"> couples remains challenging.  Options include </w:t>
      </w:r>
      <w:proofErr w:type="gramStart"/>
      <w:r w:rsidRPr="00DC352A">
        <w:rPr>
          <w:sz w:val="20"/>
          <w:szCs w:val="20"/>
        </w:rPr>
        <w:t>self insemination</w:t>
      </w:r>
      <w:proofErr w:type="gramEnd"/>
      <w:r w:rsidRPr="00DC352A">
        <w:rPr>
          <w:sz w:val="20"/>
          <w:szCs w:val="20"/>
        </w:rPr>
        <w:t xml:space="preserve"> or assisted reproduction.  Optimal procedures are often prohibitive due to cost and lack of widespread availability (e.g., sperm </w:t>
      </w:r>
      <w:proofErr w:type="spellStart"/>
      <w:r w:rsidRPr="00DC352A">
        <w:rPr>
          <w:sz w:val="20"/>
          <w:szCs w:val="20"/>
        </w:rPr>
        <w:t>washing+adjunctive</w:t>
      </w:r>
      <w:proofErr w:type="spellEnd"/>
      <w:r w:rsidRPr="00DC352A">
        <w:rPr>
          <w:sz w:val="20"/>
          <w:szCs w:val="20"/>
        </w:rPr>
        <w:t>)</w:t>
      </w:r>
    </w:p>
    <w:p w:rsidR="0053169F" w:rsidRPr="00DC352A" w:rsidRDefault="0053169F" w:rsidP="00DC352A">
      <w:pPr>
        <w:pStyle w:val="ListParagraph"/>
        <w:numPr>
          <w:ilvl w:val="0"/>
          <w:numId w:val="1"/>
        </w:numPr>
        <w:rPr>
          <w:sz w:val="20"/>
          <w:szCs w:val="20"/>
        </w:rPr>
      </w:pPr>
      <w:r w:rsidRPr="00DC352A">
        <w:rPr>
          <w:sz w:val="20"/>
          <w:szCs w:val="20"/>
        </w:rPr>
        <w:t xml:space="preserve">Less costly menu of options include: timing of intercourse, STI treatment, </w:t>
      </w:r>
      <w:proofErr w:type="spellStart"/>
      <w:r w:rsidRPr="00DC352A">
        <w:rPr>
          <w:sz w:val="20"/>
          <w:szCs w:val="20"/>
        </w:rPr>
        <w:t>PrEP</w:t>
      </w:r>
      <w:proofErr w:type="spellEnd"/>
      <w:r w:rsidRPr="00DC352A">
        <w:rPr>
          <w:sz w:val="20"/>
          <w:szCs w:val="20"/>
        </w:rPr>
        <w:t>, ART for positive partner)</w:t>
      </w:r>
    </w:p>
    <w:p w:rsidR="00DC352A" w:rsidRDefault="0053169F" w:rsidP="00DC352A">
      <w:pPr>
        <w:pStyle w:val="ListParagraph"/>
        <w:numPr>
          <w:ilvl w:val="0"/>
          <w:numId w:val="1"/>
        </w:numPr>
        <w:rPr>
          <w:sz w:val="20"/>
          <w:szCs w:val="20"/>
        </w:rPr>
      </w:pPr>
      <w:r w:rsidRPr="00DC352A">
        <w:rPr>
          <w:sz w:val="20"/>
          <w:szCs w:val="20"/>
        </w:rPr>
        <w:t xml:space="preserve">The aim of this paper is two pronged: (1) to explore the relative benefits of ART and </w:t>
      </w:r>
      <w:proofErr w:type="spellStart"/>
      <w:r w:rsidRPr="00DC352A">
        <w:rPr>
          <w:sz w:val="20"/>
          <w:szCs w:val="20"/>
        </w:rPr>
        <w:t>PrEP</w:t>
      </w:r>
      <w:proofErr w:type="spellEnd"/>
      <w:r w:rsidRPr="00DC352A">
        <w:rPr>
          <w:sz w:val="20"/>
          <w:szCs w:val="20"/>
        </w:rPr>
        <w:t xml:space="preserve"> solely and in combination across many simulated clinical scenarios and (2) to evaluate the impact of maternal age on annual successful conception/HIV non-transmission.  </w:t>
      </w:r>
    </w:p>
    <w:p w:rsidR="0053169F" w:rsidRPr="00DC352A" w:rsidRDefault="0053169F" w:rsidP="00DC352A">
      <w:pPr>
        <w:pStyle w:val="ListParagraph"/>
        <w:numPr>
          <w:ilvl w:val="0"/>
          <w:numId w:val="1"/>
        </w:numPr>
        <w:rPr>
          <w:sz w:val="20"/>
          <w:szCs w:val="20"/>
        </w:rPr>
      </w:pPr>
      <w:r w:rsidRPr="00DC352A">
        <w:rPr>
          <w:sz w:val="20"/>
          <w:szCs w:val="20"/>
        </w:rPr>
        <w:t>While the model produces resu</w:t>
      </w:r>
      <w:r w:rsidR="00DC352A" w:rsidRPr="00DC352A">
        <w:rPr>
          <w:sz w:val="20"/>
          <w:szCs w:val="20"/>
        </w:rPr>
        <w:t xml:space="preserve">lts for five different outcomes, the outcome of interest is the HIV-woman remaining HIV-uninfected and successfully conceiving and </w:t>
      </w:r>
      <w:commentRangeStart w:id="0"/>
      <w:r w:rsidR="00DC352A" w:rsidRPr="00DC352A">
        <w:rPr>
          <w:sz w:val="20"/>
          <w:szCs w:val="20"/>
        </w:rPr>
        <w:t>delivering a child.</w:t>
      </w:r>
      <w:r w:rsidRPr="00DC352A">
        <w:rPr>
          <w:sz w:val="20"/>
          <w:szCs w:val="20"/>
        </w:rPr>
        <w:t xml:space="preserve">  </w:t>
      </w:r>
      <w:commentRangeEnd w:id="0"/>
      <w:r w:rsidR="00DC352A">
        <w:rPr>
          <w:rStyle w:val="CommentReference"/>
        </w:rPr>
        <w:commentReference w:id="0"/>
      </w:r>
    </w:p>
    <w:p w:rsidR="00353614" w:rsidRDefault="00353614">
      <w:pPr>
        <w:rPr>
          <w:b/>
        </w:rPr>
      </w:pPr>
    </w:p>
    <w:p w:rsidR="00F10A4A" w:rsidRDefault="00F10A4A">
      <w:pPr>
        <w:rPr>
          <w:b/>
        </w:rPr>
      </w:pPr>
      <w:r w:rsidRPr="00F10A4A">
        <w:rPr>
          <w:b/>
        </w:rPr>
        <w:t>Methods</w:t>
      </w:r>
    </w:p>
    <w:p w:rsidR="00F10A4A" w:rsidRDefault="00F10A4A">
      <w:pPr>
        <w:rPr>
          <w:b/>
          <w:sz w:val="20"/>
          <w:szCs w:val="20"/>
        </w:rPr>
      </w:pPr>
      <w:r w:rsidRPr="00F10A4A">
        <w:rPr>
          <w:b/>
          <w:sz w:val="20"/>
          <w:szCs w:val="20"/>
        </w:rPr>
        <w:t>Model Structure</w:t>
      </w:r>
    </w:p>
    <w:p w:rsidR="00F778F3" w:rsidRDefault="00B60A96">
      <w:pPr>
        <w:rPr>
          <w:sz w:val="20"/>
          <w:szCs w:val="20"/>
        </w:rPr>
      </w:pPr>
      <w:r w:rsidRPr="00B60A96">
        <w:rPr>
          <w:sz w:val="20"/>
          <w:szCs w:val="20"/>
        </w:rPr>
        <w:t xml:space="preserve">A probabilistic model is developed to predict the likelihood of possible outcomes defined in terms of HIV infection and successful pregnancy of uninfected women that engage in unprotected sex with infected partners.  These likelihoods depend on the number of sex acts and on biological parameters that define HIV infectivity, such as the male being on treatment, and age-based female fertility. The outcomes are evaluated under situations where the male is receiving and not-receiving ART </w:t>
      </w:r>
      <w:proofErr w:type="gramStart"/>
      <w:r w:rsidRPr="00B60A96">
        <w:rPr>
          <w:sz w:val="20"/>
          <w:szCs w:val="20"/>
        </w:rPr>
        <w:t>and  when</w:t>
      </w:r>
      <w:proofErr w:type="gramEnd"/>
      <w:r w:rsidRPr="00B60A96">
        <w:rPr>
          <w:sz w:val="20"/>
          <w:szCs w:val="20"/>
        </w:rPr>
        <w:t xml:space="preserve"> the female does and does not use </w:t>
      </w:r>
      <w:proofErr w:type="spellStart"/>
      <w:r w:rsidRPr="00B60A96">
        <w:rPr>
          <w:sz w:val="20"/>
          <w:szCs w:val="20"/>
        </w:rPr>
        <w:t>PrEP.</w:t>
      </w:r>
      <w:proofErr w:type="spellEnd"/>
      <w:r w:rsidRPr="00B60A96">
        <w:rPr>
          <w:sz w:val="20"/>
          <w:szCs w:val="20"/>
        </w:rPr>
        <w:t xml:space="preserve">  </w:t>
      </w:r>
    </w:p>
    <w:p w:rsidR="00B60A96" w:rsidRDefault="00B60A96">
      <w:pPr>
        <w:rPr>
          <w:sz w:val="20"/>
          <w:szCs w:val="20"/>
        </w:rPr>
      </w:pPr>
    </w:p>
    <w:p w:rsidR="00DC352A" w:rsidRPr="009D279F" w:rsidRDefault="00B60A96">
      <w:pPr>
        <w:rPr>
          <w:sz w:val="20"/>
          <w:szCs w:val="20"/>
        </w:rPr>
      </w:pPr>
      <w:r>
        <w:rPr>
          <w:sz w:val="20"/>
          <w:szCs w:val="20"/>
        </w:rPr>
        <w:t xml:space="preserve">The mathematical model examines possible </w:t>
      </w:r>
      <w:r w:rsidR="009D279F">
        <w:rPr>
          <w:sz w:val="20"/>
          <w:szCs w:val="20"/>
        </w:rPr>
        <w:t>HIV-infection and conception</w:t>
      </w:r>
      <w:r w:rsidR="009D279F">
        <w:rPr>
          <w:rStyle w:val="FootnoteReference"/>
          <w:sz w:val="20"/>
          <w:szCs w:val="20"/>
        </w:rPr>
        <w:footnoteReference w:id="1"/>
      </w:r>
      <w:r w:rsidR="009D279F">
        <w:rPr>
          <w:sz w:val="20"/>
          <w:szCs w:val="20"/>
        </w:rPr>
        <w:t xml:space="preserve"> </w:t>
      </w:r>
      <w:r>
        <w:rPr>
          <w:sz w:val="20"/>
          <w:szCs w:val="20"/>
        </w:rPr>
        <w:t>outcomes for women aged 18 to</w:t>
      </w:r>
      <w:r w:rsidR="00353614">
        <w:rPr>
          <w:sz w:val="20"/>
          <w:szCs w:val="20"/>
        </w:rPr>
        <w:t xml:space="preserve"> 49</w:t>
      </w:r>
      <w:r w:rsidR="009D279F">
        <w:rPr>
          <w:sz w:val="20"/>
          <w:szCs w:val="20"/>
        </w:rPr>
        <w:t xml:space="preserve"> across the following five instances:</w:t>
      </w:r>
    </w:p>
    <w:p w:rsidR="00DC352A" w:rsidRPr="009D279F" w:rsidRDefault="00DC352A" w:rsidP="00DC352A">
      <w:pPr>
        <w:widowControl w:val="0"/>
        <w:autoSpaceDE w:val="0"/>
        <w:autoSpaceDN w:val="0"/>
        <w:adjustRightInd w:val="0"/>
        <w:rPr>
          <w:rFonts w:cs="Times New Roman"/>
          <w:sz w:val="20"/>
          <w:szCs w:val="20"/>
        </w:rPr>
      </w:pPr>
      <w:r w:rsidRPr="009D279F">
        <w:rPr>
          <w:rFonts w:cs="Times New Roman"/>
          <w:sz w:val="20"/>
          <w:szCs w:val="20"/>
        </w:rPr>
        <w:t xml:space="preserve">1. Female stays HIV negative, and becomes pregnant and is successful in giving birth. </w:t>
      </w:r>
    </w:p>
    <w:p w:rsidR="00DC352A" w:rsidRPr="009D279F" w:rsidRDefault="00DC352A" w:rsidP="00DC352A">
      <w:pPr>
        <w:widowControl w:val="0"/>
        <w:autoSpaceDE w:val="0"/>
        <w:autoSpaceDN w:val="0"/>
        <w:adjustRightInd w:val="0"/>
        <w:rPr>
          <w:rFonts w:cs="Times New Roman"/>
          <w:sz w:val="20"/>
          <w:szCs w:val="20"/>
        </w:rPr>
      </w:pPr>
      <w:r w:rsidRPr="009D279F">
        <w:rPr>
          <w:rFonts w:cs="Times New Roman"/>
          <w:sz w:val="20"/>
          <w:szCs w:val="20"/>
        </w:rPr>
        <w:t xml:space="preserve">2. Female becomes HIV positive, and becomes pregnant and is successful in giving birth to an HIV negative infant. </w:t>
      </w:r>
    </w:p>
    <w:p w:rsidR="00DC352A" w:rsidRPr="009D279F" w:rsidRDefault="00DC352A" w:rsidP="00DC352A">
      <w:pPr>
        <w:widowControl w:val="0"/>
        <w:autoSpaceDE w:val="0"/>
        <w:autoSpaceDN w:val="0"/>
        <w:adjustRightInd w:val="0"/>
        <w:rPr>
          <w:rFonts w:cs="Times New Roman"/>
          <w:sz w:val="20"/>
          <w:szCs w:val="20"/>
        </w:rPr>
      </w:pPr>
      <w:r w:rsidRPr="009D279F">
        <w:rPr>
          <w:rFonts w:cs="Times New Roman"/>
          <w:sz w:val="20"/>
          <w:szCs w:val="20"/>
        </w:rPr>
        <w:t xml:space="preserve">3. Female becomes HIV positive, and becomes pregnant and gives birth to an HIV+ infant. </w:t>
      </w:r>
    </w:p>
    <w:p w:rsidR="00DC352A" w:rsidRPr="009D279F" w:rsidRDefault="00DC352A" w:rsidP="00DC352A">
      <w:pPr>
        <w:widowControl w:val="0"/>
        <w:autoSpaceDE w:val="0"/>
        <w:autoSpaceDN w:val="0"/>
        <w:adjustRightInd w:val="0"/>
        <w:rPr>
          <w:rFonts w:cs="Times New Roman"/>
          <w:sz w:val="20"/>
          <w:szCs w:val="20"/>
        </w:rPr>
      </w:pPr>
      <w:r w:rsidRPr="009D279F">
        <w:rPr>
          <w:rFonts w:cs="Times New Roman"/>
          <w:sz w:val="20"/>
          <w:szCs w:val="20"/>
        </w:rPr>
        <w:t xml:space="preserve">4. Female stays HIV negative, and does not become pregnant. </w:t>
      </w:r>
    </w:p>
    <w:p w:rsidR="00DC352A" w:rsidRPr="009D279F" w:rsidRDefault="00DC352A" w:rsidP="00DC352A">
      <w:pPr>
        <w:widowControl w:val="0"/>
        <w:autoSpaceDE w:val="0"/>
        <w:autoSpaceDN w:val="0"/>
        <w:adjustRightInd w:val="0"/>
        <w:rPr>
          <w:b/>
          <w:sz w:val="20"/>
          <w:szCs w:val="20"/>
        </w:rPr>
      </w:pPr>
      <w:r w:rsidRPr="009D279F">
        <w:rPr>
          <w:rFonts w:cs="Times New Roman"/>
          <w:sz w:val="20"/>
          <w:szCs w:val="20"/>
        </w:rPr>
        <w:t xml:space="preserve">5. Female becomes HIV positive, and does not become pregnant. </w:t>
      </w:r>
    </w:p>
    <w:p w:rsidR="00DC352A" w:rsidRDefault="00DC352A">
      <w:pPr>
        <w:rPr>
          <w:b/>
          <w:sz w:val="20"/>
          <w:szCs w:val="20"/>
        </w:rPr>
      </w:pPr>
    </w:p>
    <w:p w:rsidR="00F10A4A" w:rsidRDefault="00DD3F5D">
      <w:pPr>
        <w:rPr>
          <w:b/>
          <w:sz w:val="20"/>
          <w:szCs w:val="20"/>
        </w:rPr>
      </w:pPr>
      <w:r>
        <w:rPr>
          <w:b/>
          <w:sz w:val="20"/>
          <w:szCs w:val="20"/>
        </w:rPr>
        <w:t>Model Parameters</w:t>
      </w:r>
    </w:p>
    <w:p w:rsidR="00353614" w:rsidRPr="00F10A4A" w:rsidRDefault="00353614" w:rsidP="00353614">
      <w:pPr>
        <w:rPr>
          <w:sz w:val="20"/>
          <w:szCs w:val="20"/>
        </w:rPr>
      </w:pPr>
      <w:r w:rsidRPr="00F10A4A">
        <w:rPr>
          <w:sz w:val="20"/>
          <w:szCs w:val="20"/>
          <w:u w:val="single"/>
        </w:rPr>
        <w:t>Tables See here</w:t>
      </w:r>
      <w:r>
        <w:rPr>
          <w:sz w:val="20"/>
          <w:szCs w:val="20"/>
          <w:u w:val="single"/>
        </w:rPr>
        <w:t xml:space="preserve"> for how table needs to be formatted</w:t>
      </w:r>
      <w:r w:rsidRPr="00F10A4A">
        <w:rPr>
          <w:sz w:val="20"/>
          <w:szCs w:val="20"/>
          <w:u w:val="single"/>
        </w:rPr>
        <w:t>:</w:t>
      </w:r>
      <w:r w:rsidRPr="00F10A4A">
        <w:rPr>
          <w:sz w:val="20"/>
          <w:szCs w:val="20"/>
        </w:rPr>
        <w:t xml:space="preserve"> http://www.oxfordjournals.org/our_journals/jid/for_authors/table_guidelines.pdf</w:t>
      </w:r>
    </w:p>
    <w:p w:rsidR="00353614" w:rsidRPr="008A14A5" w:rsidRDefault="008A14A5" w:rsidP="008A14A5">
      <w:pPr>
        <w:pStyle w:val="ListParagraph"/>
        <w:numPr>
          <w:ilvl w:val="0"/>
          <w:numId w:val="7"/>
        </w:numPr>
        <w:rPr>
          <w:sz w:val="20"/>
          <w:szCs w:val="20"/>
        </w:rPr>
      </w:pPr>
      <w:r w:rsidRPr="008A14A5">
        <w:rPr>
          <w:sz w:val="20"/>
          <w:szCs w:val="20"/>
        </w:rPr>
        <w:t>Discuss model parameters and ranges – update from before</w:t>
      </w:r>
    </w:p>
    <w:p w:rsidR="008A14A5" w:rsidRPr="008A14A5" w:rsidRDefault="008A14A5" w:rsidP="008A14A5">
      <w:pPr>
        <w:pStyle w:val="ListParagraph"/>
        <w:numPr>
          <w:ilvl w:val="0"/>
          <w:numId w:val="7"/>
        </w:numPr>
        <w:rPr>
          <w:sz w:val="20"/>
          <w:szCs w:val="20"/>
        </w:rPr>
      </w:pPr>
      <w:r w:rsidRPr="008A14A5">
        <w:rPr>
          <w:sz w:val="20"/>
          <w:szCs w:val="20"/>
        </w:rPr>
        <w:t>Include a table for multiplicative impact</w:t>
      </w:r>
    </w:p>
    <w:p w:rsidR="00353614" w:rsidRDefault="00353614">
      <w:pPr>
        <w:rPr>
          <w:b/>
          <w:sz w:val="20"/>
          <w:szCs w:val="20"/>
        </w:rPr>
      </w:pPr>
    </w:p>
    <w:p w:rsidR="00353614" w:rsidRPr="00F0315C" w:rsidRDefault="00353614" w:rsidP="008A14A5">
      <w:pPr>
        <w:widowControl w:val="0"/>
        <w:autoSpaceDE w:val="0"/>
        <w:autoSpaceDN w:val="0"/>
        <w:adjustRightInd w:val="0"/>
        <w:rPr>
          <w:rFonts w:cs="Times New Roman"/>
          <w:sz w:val="20"/>
          <w:szCs w:val="20"/>
        </w:rPr>
      </w:pPr>
      <w:r w:rsidRPr="00F0315C">
        <w:rPr>
          <w:rFonts w:cs="Times New Roman"/>
          <w:sz w:val="20"/>
          <w:szCs w:val="20"/>
        </w:rPr>
        <w:t xml:space="preserve">Table 1 provides parameter values, their ranges, their sampling </w:t>
      </w:r>
      <w:proofErr w:type="spellStart"/>
      <w:r w:rsidRPr="00F0315C">
        <w:rPr>
          <w:rFonts w:cs="Times New Roman"/>
          <w:sz w:val="20"/>
          <w:szCs w:val="20"/>
        </w:rPr>
        <w:t>pdf</w:t>
      </w:r>
      <w:proofErr w:type="spellEnd"/>
      <w:r w:rsidRPr="00F0315C">
        <w:rPr>
          <w:rFonts w:cs="Times New Roman"/>
          <w:sz w:val="20"/>
          <w:szCs w:val="20"/>
        </w:rPr>
        <w:t xml:space="preserve"> and the reference to literature used to quantify</w:t>
      </w:r>
      <w:r w:rsidR="008A14A5" w:rsidRPr="00F0315C">
        <w:rPr>
          <w:rFonts w:cs="Times New Roman"/>
          <w:sz w:val="20"/>
          <w:szCs w:val="20"/>
        </w:rPr>
        <w:t xml:space="preserve"> t</w:t>
      </w:r>
      <w:r w:rsidRPr="00F0315C">
        <w:rPr>
          <w:rFonts w:cs="Times New Roman"/>
          <w:sz w:val="20"/>
          <w:szCs w:val="20"/>
        </w:rPr>
        <w:t xml:space="preserve">hese. Similarly table 2 provides the values of </w:t>
      </w:r>
      <w:r w:rsidR="00077DCA">
        <w:rPr>
          <w:rFonts w:cs="Times New Roman"/>
          <w:sz w:val="20"/>
          <w:szCs w:val="20"/>
        </w:rPr>
        <w:t>the probability of conception and delivery as a function of age</w:t>
      </w:r>
      <w:r w:rsidRPr="00F0315C">
        <w:rPr>
          <w:rFonts w:cs="Times New Roman"/>
          <w:sz w:val="20"/>
          <w:szCs w:val="20"/>
        </w:rPr>
        <w:t xml:space="preserve"> and how these change with age a of the female as</w:t>
      </w:r>
      <w:r w:rsidR="008A14A5" w:rsidRPr="00F0315C">
        <w:rPr>
          <w:rFonts w:cs="Times New Roman"/>
          <w:sz w:val="20"/>
          <w:szCs w:val="20"/>
        </w:rPr>
        <w:t xml:space="preserve"> </w:t>
      </w:r>
      <w:r w:rsidRPr="00F0315C">
        <w:rPr>
          <w:rFonts w:cs="Times New Roman"/>
          <w:sz w:val="20"/>
          <w:szCs w:val="20"/>
        </w:rPr>
        <w:t xml:space="preserve">given by Van </w:t>
      </w:r>
      <w:proofErr w:type="spellStart"/>
      <w:r w:rsidRPr="00F0315C">
        <w:rPr>
          <w:rFonts w:cs="Times New Roman"/>
          <w:sz w:val="20"/>
          <w:szCs w:val="20"/>
        </w:rPr>
        <w:t>Noord-Zaadstra</w:t>
      </w:r>
      <w:proofErr w:type="spellEnd"/>
      <w:r w:rsidRPr="00F0315C">
        <w:rPr>
          <w:rFonts w:cs="Times New Roman"/>
          <w:sz w:val="20"/>
          <w:szCs w:val="20"/>
        </w:rPr>
        <w:t xml:space="preserve">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at</w:t>
      </w:r>
      <w:proofErr w:type="gramEnd"/>
      <w:r w:rsidRPr="00F0315C">
        <w:rPr>
          <w:rFonts w:cs="Times New Roman"/>
          <w:sz w:val="20"/>
          <w:szCs w:val="20"/>
        </w:rPr>
        <w:t xml:space="preserve">. [1]. The values for </w:t>
      </w:r>
      <w:r w:rsidR="00077DCA">
        <w:rPr>
          <w:rFonts w:cs="Times New Roman"/>
          <w:sz w:val="20"/>
          <w:szCs w:val="20"/>
        </w:rPr>
        <w:t>late stage treatment</w:t>
      </w:r>
      <w:r w:rsidRPr="00F0315C">
        <w:rPr>
          <w:rFonts w:cs="Times New Roman"/>
          <w:sz w:val="20"/>
          <w:szCs w:val="20"/>
        </w:rPr>
        <w:t xml:space="preserve"> were obtained using values given by another</w:t>
      </w:r>
      <w:r w:rsidR="008A14A5" w:rsidRPr="00F0315C">
        <w:rPr>
          <w:rFonts w:cs="Times New Roman"/>
          <w:sz w:val="20"/>
          <w:szCs w:val="20"/>
        </w:rPr>
        <w:t xml:space="preserve"> </w:t>
      </w:r>
      <w:r w:rsidRPr="00F0315C">
        <w:rPr>
          <w:rFonts w:cs="Times New Roman"/>
          <w:sz w:val="20"/>
          <w:szCs w:val="20"/>
        </w:rPr>
        <w:t xml:space="preserve">modeling paper by Smith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al</w:t>
      </w:r>
      <w:proofErr w:type="gramEnd"/>
      <w:r w:rsidRPr="00F0315C">
        <w:rPr>
          <w:rFonts w:cs="Times New Roman"/>
          <w:sz w:val="20"/>
          <w:szCs w:val="20"/>
        </w:rPr>
        <w:t>. [2] as given by their table S2 in the supplementary material. These values</w:t>
      </w:r>
      <w:r w:rsidR="008A14A5" w:rsidRPr="00F0315C">
        <w:rPr>
          <w:rFonts w:cs="Times New Roman"/>
          <w:sz w:val="20"/>
          <w:szCs w:val="20"/>
        </w:rPr>
        <w:t xml:space="preserve"> </w:t>
      </w:r>
      <w:r w:rsidRPr="00F0315C">
        <w:rPr>
          <w:rFonts w:cs="Times New Roman"/>
          <w:sz w:val="20"/>
          <w:szCs w:val="20"/>
        </w:rPr>
        <w:t>were estimated by analyzing viral load data and using relationships obtained by Quinn et.al</w:t>
      </w:r>
      <w:proofErr w:type="gramStart"/>
      <w:r w:rsidRPr="00F0315C">
        <w:rPr>
          <w:rFonts w:cs="Times New Roman"/>
          <w:sz w:val="20"/>
          <w:szCs w:val="20"/>
        </w:rPr>
        <w:t>.[</w:t>
      </w:r>
      <w:proofErr w:type="gramEnd"/>
      <w:r w:rsidRPr="00F0315C">
        <w:rPr>
          <w:rFonts w:cs="Times New Roman"/>
          <w:sz w:val="20"/>
          <w:szCs w:val="20"/>
        </w:rPr>
        <w:t>3] that link viral</w:t>
      </w:r>
      <w:r w:rsidR="008A14A5" w:rsidRPr="00F0315C">
        <w:rPr>
          <w:rFonts w:cs="Times New Roman"/>
          <w:sz w:val="20"/>
          <w:szCs w:val="20"/>
        </w:rPr>
        <w:t xml:space="preserve"> </w:t>
      </w:r>
      <w:r w:rsidRPr="00F0315C">
        <w:rPr>
          <w:rFonts w:cs="Times New Roman"/>
          <w:sz w:val="20"/>
          <w:szCs w:val="20"/>
        </w:rPr>
        <w:t>load to probabili</w:t>
      </w:r>
      <w:r w:rsidR="00077DCA">
        <w:rPr>
          <w:rFonts w:cs="Times New Roman"/>
          <w:sz w:val="20"/>
          <w:szCs w:val="20"/>
        </w:rPr>
        <w:t xml:space="preserve">ties of transmission. The multiplicative value for treatment (i.e., ART) </w:t>
      </w:r>
      <w:bookmarkStart w:id="1" w:name="_GoBack"/>
      <w:bookmarkEnd w:id="1"/>
      <w:r w:rsidRPr="00F0315C">
        <w:rPr>
          <w:rFonts w:cs="Times New Roman"/>
          <w:sz w:val="20"/>
          <w:szCs w:val="20"/>
        </w:rPr>
        <w:t>was estimated by a recent and exciting finding of a 96%</w:t>
      </w:r>
      <w:r w:rsidR="00F0315C">
        <w:rPr>
          <w:rFonts w:cs="Times New Roman"/>
          <w:sz w:val="20"/>
          <w:szCs w:val="20"/>
        </w:rPr>
        <w:t xml:space="preserve"> </w:t>
      </w:r>
      <w:r w:rsidRPr="00F0315C">
        <w:rPr>
          <w:rFonts w:cs="Times New Roman"/>
          <w:sz w:val="20"/>
          <w:szCs w:val="20"/>
        </w:rPr>
        <w:t>overall reduction in HIV transmission in discordant heterosexual couples randomi</w:t>
      </w:r>
      <w:r w:rsidR="008A14A5" w:rsidRPr="00F0315C">
        <w:rPr>
          <w:rFonts w:cs="Times New Roman"/>
          <w:sz w:val="20"/>
          <w:szCs w:val="20"/>
        </w:rPr>
        <w:t xml:space="preserve">zed to early HIV treatment [4]. </w:t>
      </w:r>
      <w:r w:rsidRPr="00F0315C">
        <w:rPr>
          <w:rFonts w:cs="Times New Roman"/>
          <w:sz w:val="20"/>
          <w:szCs w:val="20"/>
        </w:rPr>
        <w:t>This study provides strong evidence for the dramatic effectiveness of antiretroviral therapy (ART) in reducing HIV</w:t>
      </w:r>
      <w:r w:rsidR="008A14A5" w:rsidRPr="00F0315C">
        <w:rPr>
          <w:rFonts w:cs="Times New Roman"/>
          <w:sz w:val="20"/>
          <w:szCs w:val="20"/>
        </w:rPr>
        <w:t xml:space="preserve"> </w:t>
      </w:r>
      <w:r w:rsidRPr="00F0315C">
        <w:rPr>
          <w:rFonts w:cs="Times New Roman"/>
          <w:sz w:val="20"/>
          <w:szCs w:val="20"/>
        </w:rPr>
        <w:t xml:space="preserve">infectiousness. The value for </w:t>
      </w:r>
      <w:proofErr w:type="spellStart"/>
      <w:r w:rsidRPr="00F0315C">
        <w:rPr>
          <w:rFonts w:cs="Times New Roman"/>
          <w:sz w:val="20"/>
          <w:szCs w:val="20"/>
        </w:rPr>
        <w:t>hPrEP</w:t>
      </w:r>
      <w:proofErr w:type="spellEnd"/>
      <w:r w:rsidRPr="00F0315C">
        <w:rPr>
          <w:rFonts w:cs="Times New Roman"/>
          <w:sz w:val="20"/>
          <w:szCs w:val="20"/>
        </w:rPr>
        <w:t xml:space="preserve"> is based on two </w:t>
      </w:r>
      <w:proofErr w:type="spellStart"/>
      <w:r w:rsidRPr="00F0315C">
        <w:rPr>
          <w:rFonts w:cs="Times New Roman"/>
          <w:sz w:val="20"/>
          <w:szCs w:val="20"/>
        </w:rPr>
        <w:t>seperate</w:t>
      </w:r>
      <w:proofErr w:type="spellEnd"/>
      <w:r w:rsidRPr="00F0315C">
        <w:rPr>
          <w:rFonts w:cs="Times New Roman"/>
          <w:sz w:val="20"/>
          <w:szCs w:val="20"/>
        </w:rPr>
        <w:t xml:space="preserve"> studies: the first by </w:t>
      </w:r>
      <w:proofErr w:type="spellStart"/>
      <w:r w:rsidRPr="00F0315C">
        <w:rPr>
          <w:rFonts w:cs="Times New Roman"/>
          <w:sz w:val="20"/>
          <w:szCs w:val="20"/>
        </w:rPr>
        <w:t>Quarraisha</w:t>
      </w:r>
      <w:proofErr w:type="spellEnd"/>
      <w:r w:rsidRPr="00F0315C">
        <w:rPr>
          <w:rFonts w:cs="Times New Roman"/>
          <w:sz w:val="20"/>
          <w:szCs w:val="20"/>
        </w:rPr>
        <w:t xml:space="preserve"> </w:t>
      </w:r>
      <w:proofErr w:type="spellStart"/>
      <w:r w:rsidRPr="00F0315C">
        <w:rPr>
          <w:rFonts w:cs="Times New Roman"/>
          <w:sz w:val="20"/>
          <w:szCs w:val="20"/>
        </w:rPr>
        <w:t>Abdool</w:t>
      </w:r>
      <w:proofErr w:type="spellEnd"/>
      <w:r w:rsidRPr="00F0315C">
        <w:rPr>
          <w:rFonts w:cs="Times New Roman"/>
          <w:sz w:val="20"/>
          <w:szCs w:val="20"/>
        </w:rPr>
        <w:t xml:space="preserve"> </w:t>
      </w:r>
      <w:proofErr w:type="spellStart"/>
      <w:r w:rsidRPr="00F0315C">
        <w:rPr>
          <w:rFonts w:cs="Times New Roman"/>
          <w:sz w:val="20"/>
          <w:szCs w:val="20"/>
        </w:rPr>
        <w:t>Karim</w:t>
      </w:r>
      <w:proofErr w:type="spellEnd"/>
      <w:r w:rsidRPr="00F0315C">
        <w:rPr>
          <w:rFonts w:cs="Times New Roman"/>
          <w:sz w:val="20"/>
          <w:szCs w:val="20"/>
        </w:rPr>
        <w:t xml:space="preserve">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al</w:t>
      </w:r>
      <w:proofErr w:type="gramEnd"/>
      <w:r w:rsidRPr="00F0315C">
        <w:rPr>
          <w:rFonts w:cs="Times New Roman"/>
          <w:sz w:val="20"/>
          <w:szCs w:val="20"/>
        </w:rPr>
        <w:t>.</w:t>
      </w:r>
      <w:r w:rsidR="008A14A5" w:rsidRPr="00F0315C">
        <w:rPr>
          <w:rFonts w:cs="Times New Roman"/>
          <w:sz w:val="20"/>
          <w:szCs w:val="20"/>
        </w:rPr>
        <w:t xml:space="preserve"> </w:t>
      </w:r>
      <w:r w:rsidRPr="00F0315C">
        <w:rPr>
          <w:rFonts w:cs="Times New Roman"/>
          <w:sz w:val="20"/>
          <w:szCs w:val="20"/>
        </w:rPr>
        <w:t xml:space="preserve">showed that </w:t>
      </w:r>
      <w:proofErr w:type="spellStart"/>
      <w:r w:rsidRPr="00F0315C">
        <w:rPr>
          <w:rFonts w:cs="Times New Roman"/>
          <w:sz w:val="20"/>
          <w:szCs w:val="20"/>
        </w:rPr>
        <w:t>Tenofovir</w:t>
      </w:r>
      <w:proofErr w:type="spellEnd"/>
      <w:r w:rsidRPr="00F0315C">
        <w:rPr>
          <w:rFonts w:cs="Times New Roman"/>
          <w:sz w:val="20"/>
          <w:szCs w:val="20"/>
        </w:rPr>
        <w:t xml:space="preserve"> Gel reduced transmission to 39% when used as an </w:t>
      </w:r>
      <w:proofErr w:type="spellStart"/>
      <w:r w:rsidRPr="00F0315C">
        <w:rPr>
          <w:rFonts w:cs="Times New Roman"/>
          <w:sz w:val="20"/>
          <w:szCs w:val="20"/>
        </w:rPr>
        <w:t>aniviral</w:t>
      </w:r>
      <w:proofErr w:type="spellEnd"/>
      <w:r w:rsidRPr="00F0315C">
        <w:rPr>
          <w:rFonts w:cs="Times New Roman"/>
          <w:sz w:val="20"/>
          <w:szCs w:val="20"/>
        </w:rPr>
        <w:t xml:space="preserve"> </w:t>
      </w:r>
      <w:proofErr w:type="spellStart"/>
      <w:r w:rsidRPr="00F0315C">
        <w:rPr>
          <w:rFonts w:cs="Times New Roman"/>
          <w:sz w:val="20"/>
          <w:szCs w:val="20"/>
        </w:rPr>
        <w:t>microbicide</w:t>
      </w:r>
      <w:proofErr w:type="spellEnd"/>
      <w:r w:rsidRPr="00F0315C">
        <w:rPr>
          <w:rFonts w:cs="Times New Roman"/>
          <w:sz w:val="20"/>
          <w:szCs w:val="20"/>
        </w:rPr>
        <w:t xml:space="preserve"> for the </w:t>
      </w:r>
      <w:proofErr w:type="spellStart"/>
      <w:r w:rsidRPr="00F0315C">
        <w:rPr>
          <w:rFonts w:cs="Times New Roman"/>
          <w:sz w:val="20"/>
          <w:szCs w:val="20"/>
        </w:rPr>
        <w:t>preventionof</w:t>
      </w:r>
      <w:proofErr w:type="spellEnd"/>
      <w:r w:rsidRPr="00F0315C">
        <w:rPr>
          <w:rFonts w:cs="Times New Roman"/>
          <w:sz w:val="20"/>
          <w:szCs w:val="20"/>
        </w:rPr>
        <w:t xml:space="preserve"> HIV infection in women [5]; the second is the IPREX study by Myers et. </w:t>
      </w:r>
      <w:proofErr w:type="gramStart"/>
      <w:r w:rsidRPr="00F0315C">
        <w:rPr>
          <w:rFonts w:cs="Times New Roman"/>
          <w:sz w:val="20"/>
          <w:szCs w:val="20"/>
        </w:rPr>
        <w:t>al</w:t>
      </w:r>
      <w:proofErr w:type="gramEnd"/>
      <w:r w:rsidRPr="00F0315C">
        <w:rPr>
          <w:rFonts w:cs="Times New Roman"/>
          <w:sz w:val="20"/>
          <w:szCs w:val="20"/>
        </w:rPr>
        <w:t xml:space="preserve">. where </w:t>
      </w:r>
      <w:proofErr w:type="spellStart"/>
      <w:r w:rsidRPr="00F0315C">
        <w:rPr>
          <w:rFonts w:cs="Times New Roman"/>
          <w:sz w:val="20"/>
          <w:szCs w:val="20"/>
        </w:rPr>
        <w:t>PrEP</w:t>
      </w:r>
      <w:proofErr w:type="spellEnd"/>
      <w:r w:rsidRPr="00F0315C">
        <w:rPr>
          <w:rFonts w:cs="Times New Roman"/>
          <w:sz w:val="20"/>
          <w:szCs w:val="20"/>
        </w:rPr>
        <w:t xml:space="preserve"> was shown to have</w:t>
      </w:r>
      <w:r w:rsidR="00F0315C">
        <w:rPr>
          <w:rFonts w:cs="Times New Roman"/>
          <w:sz w:val="20"/>
          <w:szCs w:val="20"/>
        </w:rPr>
        <w:t xml:space="preserve"> </w:t>
      </w:r>
      <w:r w:rsidRPr="00F0315C">
        <w:rPr>
          <w:rFonts w:cs="Times New Roman"/>
          <w:sz w:val="20"/>
          <w:szCs w:val="20"/>
        </w:rPr>
        <w:t xml:space="preserve">efficacy ranges from 15.4% to 87.5% with peak at 43.8% (Note: </w:t>
      </w:r>
      <w:proofErr w:type="spellStart"/>
      <w:r w:rsidRPr="00F0315C">
        <w:rPr>
          <w:rFonts w:cs="Times New Roman"/>
          <w:sz w:val="20"/>
          <w:szCs w:val="20"/>
        </w:rPr>
        <w:t>hPrEP</w:t>
      </w:r>
      <w:proofErr w:type="spellEnd"/>
      <w:r w:rsidRPr="00F0315C">
        <w:rPr>
          <w:rFonts w:cs="Times New Roman"/>
          <w:sz w:val="20"/>
          <w:szCs w:val="20"/>
        </w:rPr>
        <w:t xml:space="preserve"> = 1 􀀀 _</w:t>
      </w:r>
      <w:proofErr w:type="spellStart"/>
      <w:r w:rsidRPr="00F0315C">
        <w:rPr>
          <w:rFonts w:cs="Times New Roman"/>
          <w:sz w:val="20"/>
          <w:szCs w:val="20"/>
        </w:rPr>
        <w:t>PrEP</w:t>
      </w:r>
      <w:proofErr w:type="spellEnd"/>
      <w:r w:rsidRPr="00F0315C">
        <w:rPr>
          <w:rFonts w:cs="Times New Roman"/>
          <w:sz w:val="20"/>
          <w:szCs w:val="20"/>
        </w:rPr>
        <w:t xml:space="preserve"> , where _</w:t>
      </w:r>
      <w:proofErr w:type="spellStart"/>
      <w:r w:rsidRPr="00F0315C">
        <w:rPr>
          <w:rFonts w:cs="Times New Roman"/>
          <w:sz w:val="20"/>
          <w:szCs w:val="20"/>
        </w:rPr>
        <w:t>PrEP</w:t>
      </w:r>
      <w:proofErr w:type="spellEnd"/>
      <w:r w:rsidRPr="00F0315C">
        <w:rPr>
          <w:rFonts w:cs="Times New Roman"/>
          <w:sz w:val="20"/>
          <w:szCs w:val="20"/>
        </w:rPr>
        <w:t xml:space="preserve"> </w:t>
      </w:r>
      <w:r w:rsidR="008A14A5" w:rsidRPr="00F0315C">
        <w:rPr>
          <w:rFonts w:cs="Times New Roman"/>
          <w:sz w:val="20"/>
          <w:szCs w:val="20"/>
        </w:rPr>
        <w:t xml:space="preserve">represents </w:t>
      </w:r>
      <w:r w:rsidRPr="00F0315C">
        <w:rPr>
          <w:rFonts w:cs="Times New Roman"/>
          <w:sz w:val="20"/>
          <w:szCs w:val="20"/>
        </w:rPr>
        <w:t xml:space="preserve">efficacy) [6]. The value of </w:t>
      </w:r>
      <w:proofErr w:type="spellStart"/>
      <w:r w:rsidRPr="00F0315C">
        <w:rPr>
          <w:rFonts w:cs="Times New Roman"/>
          <w:sz w:val="20"/>
          <w:szCs w:val="20"/>
        </w:rPr>
        <w:t>pMTCT</w:t>
      </w:r>
      <w:proofErr w:type="spellEnd"/>
      <w:r w:rsidRPr="00F0315C">
        <w:rPr>
          <w:rFonts w:cs="Times New Roman"/>
          <w:sz w:val="20"/>
          <w:szCs w:val="20"/>
        </w:rPr>
        <w:t xml:space="preserve"> was found based on a study by Conner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al</w:t>
      </w:r>
      <w:proofErr w:type="gramEnd"/>
      <w:r w:rsidRPr="00F0315C">
        <w:rPr>
          <w:rFonts w:cs="Times New Roman"/>
          <w:sz w:val="20"/>
          <w:szCs w:val="20"/>
        </w:rPr>
        <w:t xml:space="preserve">. [7] and on a study by Cock et. </w:t>
      </w:r>
      <w:proofErr w:type="gramStart"/>
      <w:r w:rsidRPr="00F0315C">
        <w:rPr>
          <w:rFonts w:cs="Times New Roman"/>
          <w:sz w:val="20"/>
          <w:szCs w:val="20"/>
        </w:rPr>
        <w:t>al</w:t>
      </w:r>
      <w:proofErr w:type="gramEnd"/>
      <w:r w:rsidRPr="00F0315C">
        <w:rPr>
          <w:rFonts w:cs="Times New Roman"/>
          <w:sz w:val="20"/>
          <w:szCs w:val="20"/>
        </w:rPr>
        <w:t>.</w:t>
      </w:r>
      <w:r w:rsidR="008A14A5" w:rsidRPr="00F0315C">
        <w:rPr>
          <w:rFonts w:cs="Times New Roman"/>
          <w:sz w:val="20"/>
          <w:szCs w:val="20"/>
        </w:rPr>
        <w:t xml:space="preserve"> </w:t>
      </w:r>
      <w:r w:rsidRPr="00F0315C">
        <w:rPr>
          <w:rFonts w:cs="Times New Roman"/>
          <w:sz w:val="20"/>
          <w:szCs w:val="20"/>
        </w:rPr>
        <w:t>on the prevention of Mother-to-Child HIV transmission (MTCT) in resource-poor countries [8]. The value for the</w:t>
      </w:r>
      <w:r w:rsidR="008A14A5" w:rsidRPr="00F0315C">
        <w:rPr>
          <w:rFonts w:cs="Times New Roman"/>
          <w:sz w:val="20"/>
          <w:szCs w:val="20"/>
        </w:rPr>
        <w:t xml:space="preserve"> </w:t>
      </w:r>
      <w:r w:rsidRPr="00F0315C">
        <w:rPr>
          <w:rFonts w:cs="Times New Roman"/>
          <w:sz w:val="20"/>
          <w:szCs w:val="20"/>
        </w:rPr>
        <w:t xml:space="preserve">reduction factor in MTCT </w:t>
      </w:r>
      <w:proofErr w:type="spellStart"/>
      <w:r w:rsidRPr="00F0315C">
        <w:rPr>
          <w:rFonts w:cs="Times New Roman"/>
          <w:sz w:val="20"/>
          <w:szCs w:val="20"/>
        </w:rPr>
        <w:t>hTxMTCT</w:t>
      </w:r>
      <w:proofErr w:type="spellEnd"/>
      <w:r w:rsidRPr="00F0315C">
        <w:rPr>
          <w:rFonts w:cs="Times New Roman"/>
          <w:sz w:val="20"/>
          <w:szCs w:val="20"/>
        </w:rPr>
        <w:t xml:space="preserve"> was found based on the same study by Conner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al</w:t>
      </w:r>
      <w:proofErr w:type="gramEnd"/>
      <w:r w:rsidRPr="00F0315C">
        <w:rPr>
          <w:rFonts w:cs="Times New Roman"/>
          <w:sz w:val="20"/>
          <w:szCs w:val="20"/>
        </w:rPr>
        <w:t>. [7] and on the study</w:t>
      </w:r>
      <w:r w:rsidR="008A14A5" w:rsidRPr="00F0315C">
        <w:rPr>
          <w:rFonts w:cs="Times New Roman"/>
          <w:sz w:val="20"/>
          <w:szCs w:val="20"/>
        </w:rPr>
        <w:t xml:space="preserve"> </w:t>
      </w:r>
      <w:r w:rsidRPr="00F0315C">
        <w:rPr>
          <w:rFonts w:cs="Times New Roman"/>
          <w:sz w:val="20"/>
          <w:szCs w:val="20"/>
        </w:rPr>
        <w:t xml:space="preserve">by </w:t>
      </w:r>
      <w:proofErr w:type="spellStart"/>
      <w:r w:rsidRPr="00F0315C">
        <w:rPr>
          <w:rFonts w:cs="Times New Roman"/>
          <w:sz w:val="20"/>
          <w:szCs w:val="20"/>
        </w:rPr>
        <w:t>Zutlevics</w:t>
      </w:r>
      <w:proofErr w:type="spellEnd"/>
      <w:r w:rsidRPr="00F0315C">
        <w:rPr>
          <w:rFonts w:cs="Times New Roman"/>
          <w:sz w:val="20"/>
          <w:szCs w:val="20"/>
        </w:rPr>
        <w:t xml:space="preserve"> et. </w:t>
      </w:r>
      <w:proofErr w:type="gramStart"/>
      <w:r w:rsidRPr="00F0315C">
        <w:rPr>
          <w:rFonts w:cs="Times New Roman"/>
          <w:sz w:val="20"/>
          <w:szCs w:val="20"/>
        </w:rPr>
        <w:t>al</w:t>
      </w:r>
      <w:proofErr w:type="gramEnd"/>
      <w:r w:rsidRPr="00F0315C">
        <w:rPr>
          <w:rFonts w:cs="Times New Roman"/>
          <w:sz w:val="20"/>
          <w:szCs w:val="20"/>
        </w:rPr>
        <w:t xml:space="preserve">. that showed risks fall to 1 to 2%. Therefore, when compared to the Cock </w:t>
      </w:r>
      <w:proofErr w:type="gramStart"/>
      <w:r w:rsidRPr="00F0315C">
        <w:rPr>
          <w:rFonts w:cs="Times New Roman"/>
          <w:sz w:val="20"/>
          <w:szCs w:val="20"/>
        </w:rPr>
        <w:t>et</w:t>
      </w:r>
      <w:proofErr w:type="gramEnd"/>
      <w:r w:rsidRPr="00F0315C">
        <w:rPr>
          <w:rFonts w:cs="Times New Roman"/>
          <w:sz w:val="20"/>
          <w:szCs w:val="20"/>
        </w:rPr>
        <w:t xml:space="preserve">. </w:t>
      </w:r>
      <w:proofErr w:type="gramStart"/>
      <w:r w:rsidRPr="00F0315C">
        <w:rPr>
          <w:rFonts w:cs="Times New Roman"/>
          <w:sz w:val="20"/>
          <w:szCs w:val="20"/>
        </w:rPr>
        <w:t>al</w:t>
      </w:r>
      <w:proofErr w:type="gramEnd"/>
      <w:r w:rsidRPr="00F0315C">
        <w:rPr>
          <w:rFonts w:cs="Times New Roman"/>
          <w:sz w:val="20"/>
          <w:szCs w:val="20"/>
        </w:rPr>
        <w:t>. this indicates</w:t>
      </w:r>
      <w:r w:rsidR="008A14A5" w:rsidRPr="00F0315C">
        <w:rPr>
          <w:rFonts w:cs="Times New Roman"/>
          <w:sz w:val="20"/>
          <w:szCs w:val="20"/>
        </w:rPr>
        <w:t xml:space="preserve"> </w:t>
      </w:r>
      <w:r w:rsidRPr="00F0315C">
        <w:rPr>
          <w:rFonts w:cs="Times New Roman"/>
          <w:sz w:val="20"/>
          <w:szCs w:val="20"/>
        </w:rPr>
        <w:t>that the multiplicative reduction factor that multiplies the MTCT probability is between 0.05 and 0.2.</w:t>
      </w:r>
    </w:p>
    <w:p w:rsidR="0053169F" w:rsidRDefault="0053169F">
      <w:pPr>
        <w:rPr>
          <w:b/>
          <w:sz w:val="20"/>
          <w:szCs w:val="20"/>
        </w:rPr>
      </w:pPr>
    </w:p>
    <w:p w:rsidR="0053169F" w:rsidRDefault="0053169F">
      <w:pPr>
        <w:rPr>
          <w:b/>
          <w:sz w:val="20"/>
          <w:szCs w:val="20"/>
        </w:rPr>
      </w:pPr>
      <w:r>
        <w:rPr>
          <w:b/>
          <w:sz w:val="20"/>
          <w:szCs w:val="20"/>
        </w:rPr>
        <w:t>Outcomes and Evaluation</w:t>
      </w:r>
    </w:p>
    <w:p w:rsidR="00F10A4A" w:rsidRDefault="00353614" w:rsidP="00353614">
      <w:pPr>
        <w:pStyle w:val="ListParagraph"/>
        <w:numPr>
          <w:ilvl w:val="0"/>
          <w:numId w:val="2"/>
        </w:numPr>
        <w:rPr>
          <w:sz w:val="20"/>
          <w:szCs w:val="20"/>
        </w:rPr>
      </w:pPr>
      <w:r w:rsidRPr="00353614">
        <w:rPr>
          <w:sz w:val="20"/>
          <w:szCs w:val="20"/>
        </w:rPr>
        <w:t>Outcome of interest</w:t>
      </w:r>
    </w:p>
    <w:p w:rsidR="009D279F" w:rsidRPr="00353614" w:rsidRDefault="009D279F" w:rsidP="00353614">
      <w:pPr>
        <w:pStyle w:val="ListParagraph"/>
        <w:numPr>
          <w:ilvl w:val="0"/>
          <w:numId w:val="2"/>
        </w:numPr>
        <w:rPr>
          <w:sz w:val="20"/>
          <w:szCs w:val="20"/>
        </w:rPr>
      </w:pPr>
      <w:r>
        <w:rPr>
          <w:sz w:val="20"/>
          <w:szCs w:val="20"/>
        </w:rPr>
        <w:t>Optimal versus suboptimal scenario</w:t>
      </w:r>
    </w:p>
    <w:p w:rsidR="00353614" w:rsidRPr="00353614" w:rsidRDefault="00353614" w:rsidP="00353614">
      <w:pPr>
        <w:pStyle w:val="ListParagraph"/>
        <w:numPr>
          <w:ilvl w:val="0"/>
          <w:numId w:val="2"/>
        </w:numPr>
        <w:rPr>
          <w:sz w:val="20"/>
          <w:szCs w:val="20"/>
        </w:rPr>
      </w:pPr>
      <w:r w:rsidRPr="00353614">
        <w:rPr>
          <w:sz w:val="20"/>
          <w:szCs w:val="20"/>
        </w:rPr>
        <w:t>Aggregation from sex-act to annual estimate</w:t>
      </w:r>
    </w:p>
    <w:p w:rsidR="00353614" w:rsidRDefault="00353614">
      <w:pPr>
        <w:rPr>
          <w:b/>
          <w:sz w:val="20"/>
          <w:szCs w:val="20"/>
        </w:rPr>
      </w:pPr>
    </w:p>
    <w:p w:rsidR="00F778F3" w:rsidRDefault="00F778F3">
      <w:pPr>
        <w:rPr>
          <w:b/>
          <w:sz w:val="20"/>
          <w:szCs w:val="20"/>
        </w:rPr>
      </w:pPr>
      <w:r>
        <w:rPr>
          <w:b/>
          <w:sz w:val="20"/>
          <w:szCs w:val="20"/>
        </w:rPr>
        <w:t>Uncertainty Analyses</w:t>
      </w:r>
    </w:p>
    <w:p w:rsidR="00F778F3" w:rsidRPr="00353614" w:rsidRDefault="00353614" w:rsidP="00353614">
      <w:pPr>
        <w:pStyle w:val="ListParagraph"/>
        <w:numPr>
          <w:ilvl w:val="0"/>
          <w:numId w:val="3"/>
        </w:numPr>
        <w:rPr>
          <w:sz w:val="20"/>
          <w:szCs w:val="20"/>
        </w:rPr>
      </w:pPr>
      <w:r w:rsidRPr="00353614">
        <w:rPr>
          <w:sz w:val="20"/>
          <w:szCs w:val="20"/>
        </w:rPr>
        <w:t>Latin Hypercube Sampling</w:t>
      </w:r>
    </w:p>
    <w:p w:rsidR="00353614" w:rsidRPr="00353614" w:rsidRDefault="00353614" w:rsidP="00353614">
      <w:pPr>
        <w:pStyle w:val="ListParagraph"/>
        <w:numPr>
          <w:ilvl w:val="0"/>
          <w:numId w:val="3"/>
        </w:numPr>
        <w:rPr>
          <w:sz w:val="20"/>
          <w:szCs w:val="20"/>
        </w:rPr>
      </w:pPr>
      <w:r w:rsidRPr="00353614">
        <w:rPr>
          <w:sz w:val="20"/>
          <w:szCs w:val="20"/>
        </w:rPr>
        <w:t>Impact of holding parameters at the mean</w:t>
      </w:r>
    </w:p>
    <w:p w:rsidR="00353614" w:rsidRDefault="00353614">
      <w:pPr>
        <w:rPr>
          <w:b/>
          <w:sz w:val="20"/>
          <w:szCs w:val="20"/>
        </w:rPr>
      </w:pPr>
    </w:p>
    <w:p w:rsidR="00F778F3" w:rsidRDefault="00F778F3">
      <w:pPr>
        <w:rPr>
          <w:b/>
          <w:sz w:val="20"/>
          <w:szCs w:val="20"/>
        </w:rPr>
      </w:pPr>
      <w:r>
        <w:rPr>
          <w:b/>
          <w:sz w:val="20"/>
          <w:szCs w:val="20"/>
        </w:rPr>
        <w:t>Sensitivity Analyses</w:t>
      </w:r>
    </w:p>
    <w:p w:rsidR="00DD3F5D" w:rsidRPr="00353614" w:rsidRDefault="00353614" w:rsidP="00353614">
      <w:pPr>
        <w:pStyle w:val="ListParagraph"/>
        <w:numPr>
          <w:ilvl w:val="0"/>
          <w:numId w:val="4"/>
        </w:numPr>
        <w:rPr>
          <w:sz w:val="20"/>
          <w:szCs w:val="20"/>
        </w:rPr>
      </w:pPr>
      <w:r w:rsidRPr="00353614">
        <w:rPr>
          <w:sz w:val="20"/>
          <w:szCs w:val="20"/>
        </w:rPr>
        <w:t xml:space="preserve">Influential Variables </w:t>
      </w:r>
    </w:p>
    <w:p w:rsidR="00353614" w:rsidRPr="00353614" w:rsidRDefault="00353614" w:rsidP="00353614">
      <w:pPr>
        <w:pStyle w:val="ListParagraph"/>
        <w:numPr>
          <w:ilvl w:val="0"/>
          <w:numId w:val="4"/>
        </w:numPr>
        <w:rPr>
          <w:sz w:val="20"/>
          <w:szCs w:val="20"/>
        </w:rPr>
      </w:pPr>
      <w:r w:rsidRPr="00353614">
        <w:rPr>
          <w:sz w:val="20"/>
          <w:szCs w:val="20"/>
        </w:rPr>
        <w:t>Random Forest Analysis and CART</w:t>
      </w:r>
    </w:p>
    <w:p w:rsidR="00F10A4A" w:rsidRDefault="00F10A4A"/>
    <w:p w:rsidR="00F10A4A" w:rsidRPr="00F10A4A" w:rsidRDefault="00F10A4A">
      <w:pPr>
        <w:rPr>
          <w:b/>
        </w:rPr>
      </w:pPr>
      <w:r w:rsidRPr="00F10A4A">
        <w:rPr>
          <w:b/>
        </w:rPr>
        <w:t>Results</w:t>
      </w:r>
    </w:p>
    <w:p w:rsidR="00F10A4A" w:rsidRPr="00F10A4A" w:rsidRDefault="00F10A4A">
      <w:pPr>
        <w:rPr>
          <w:sz w:val="20"/>
          <w:szCs w:val="20"/>
        </w:rPr>
      </w:pPr>
      <w:r w:rsidRPr="00F10A4A">
        <w:rPr>
          <w:sz w:val="20"/>
          <w:szCs w:val="20"/>
          <w:u w:val="single"/>
        </w:rPr>
        <w:t xml:space="preserve">For Figure construction see this: </w:t>
      </w:r>
      <w:hyperlink r:id="rId9" w:history="1">
        <w:r w:rsidRPr="00F10A4A">
          <w:rPr>
            <w:rStyle w:val="Hyperlink"/>
            <w:sz w:val="20"/>
            <w:szCs w:val="20"/>
          </w:rPr>
          <w:t>http://www.oxfordjournals.org/for_authors/figures.html</w:t>
        </w:r>
      </w:hyperlink>
    </w:p>
    <w:p w:rsidR="00F10A4A" w:rsidRDefault="00F10A4A">
      <w:pPr>
        <w:rPr>
          <w:sz w:val="20"/>
          <w:szCs w:val="20"/>
        </w:rPr>
      </w:pPr>
    </w:p>
    <w:p w:rsidR="00353614" w:rsidRPr="008A14A5" w:rsidRDefault="009D279F">
      <w:pPr>
        <w:rPr>
          <w:b/>
          <w:sz w:val="20"/>
          <w:szCs w:val="20"/>
        </w:rPr>
      </w:pPr>
      <w:r w:rsidRPr="008A14A5">
        <w:rPr>
          <w:b/>
          <w:sz w:val="20"/>
          <w:szCs w:val="20"/>
        </w:rPr>
        <w:t>Optimal Scenario Results</w:t>
      </w:r>
    </w:p>
    <w:p w:rsidR="009D279F" w:rsidRPr="008A14A5" w:rsidRDefault="008A14A5" w:rsidP="008A14A5">
      <w:pPr>
        <w:pStyle w:val="ListParagraph"/>
        <w:numPr>
          <w:ilvl w:val="0"/>
          <w:numId w:val="5"/>
        </w:numPr>
        <w:rPr>
          <w:sz w:val="20"/>
          <w:szCs w:val="20"/>
        </w:rPr>
      </w:pPr>
      <w:r w:rsidRPr="008A14A5">
        <w:rPr>
          <w:sz w:val="20"/>
          <w:szCs w:val="20"/>
        </w:rPr>
        <w:t xml:space="preserve">No intervention compared to </w:t>
      </w:r>
      <w:proofErr w:type="spellStart"/>
      <w:r w:rsidRPr="008A14A5">
        <w:rPr>
          <w:sz w:val="20"/>
          <w:szCs w:val="20"/>
        </w:rPr>
        <w:t>PrEP</w:t>
      </w:r>
      <w:proofErr w:type="spellEnd"/>
      <w:r w:rsidRPr="008A14A5">
        <w:rPr>
          <w:sz w:val="20"/>
          <w:szCs w:val="20"/>
        </w:rPr>
        <w:t xml:space="preserve"> and Treatment along</w:t>
      </w:r>
    </w:p>
    <w:p w:rsidR="008A14A5" w:rsidRPr="008A14A5" w:rsidRDefault="008A14A5" w:rsidP="008A14A5">
      <w:pPr>
        <w:pStyle w:val="ListParagraph"/>
        <w:numPr>
          <w:ilvl w:val="0"/>
          <w:numId w:val="5"/>
        </w:numPr>
        <w:rPr>
          <w:sz w:val="20"/>
          <w:szCs w:val="20"/>
        </w:rPr>
      </w:pPr>
      <w:r w:rsidRPr="008A14A5">
        <w:rPr>
          <w:sz w:val="20"/>
          <w:szCs w:val="20"/>
        </w:rPr>
        <w:t xml:space="preserve">Combining </w:t>
      </w:r>
      <w:proofErr w:type="spellStart"/>
      <w:r w:rsidRPr="008A14A5">
        <w:rPr>
          <w:sz w:val="20"/>
          <w:szCs w:val="20"/>
        </w:rPr>
        <w:t>PrEP</w:t>
      </w:r>
      <w:proofErr w:type="spellEnd"/>
      <w:r w:rsidRPr="008A14A5">
        <w:rPr>
          <w:sz w:val="20"/>
          <w:szCs w:val="20"/>
        </w:rPr>
        <w:t xml:space="preserve"> with Treatment</w:t>
      </w:r>
    </w:p>
    <w:p w:rsidR="009D279F" w:rsidRDefault="009D279F">
      <w:pPr>
        <w:rPr>
          <w:sz w:val="20"/>
          <w:szCs w:val="20"/>
        </w:rPr>
      </w:pPr>
    </w:p>
    <w:p w:rsidR="009D279F" w:rsidRPr="008A14A5" w:rsidRDefault="009D279F">
      <w:pPr>
        <w:rPr>
          <w:b/>
          <w:sz w:val="20"/>
          <w:szCs w:val="20"/>
        </w:rPr>
      </w:pPr>
      <w:r w:rsidRPr="008A14A5">
        <w:rPr>
          <w:b/>
          <w:sz w:val="20"/>
          <w:szCs w:val="20"/>
        </w:rPr>
        <w:t>Suboptimal Scenario Results</w:t>
      </w:r>
    </w:p>
    <w:p w:rsidR="008A14A5" w:rsidRPr="008A14A5" w:rsidRDefault="008A14A5" w:rsidP="008A14A5">
      <w:pPr>
        <w:pStyle w:val="ListParagraph"/>
        <w:numPr>
          <w:ilvl w:val="0"/>
          <w:numId w:val="6"/>
        </w:numPr>
        <w:rPr>
          <w:sz w:val="20"/>
          <w:szCs w:val="20"/>
        </w:rPr>
      </w:pPr>
      <w:r w:rsidRPr="008A14A5">
        <w:rPr>
          <w:sz w:val="20"/>
          <w:szCs w:val="20"/>
        </w:rPr>
        <w:t xml:space="preserve">No intervention compared to </w:t>
      </w:r>
      <w:proofErr w:type="spellStart"/>
      <w:r w:rsidRPr="008A14A5">
        <w:rPr>
          <w:sz w:val="20"/>
          <w:szCs w:val="20"/>
        </w:rPr>
        <w:t>PrEP</w:t>
      </w:r>
      <w:proofErr w:type="spellEnd"/>
      <w:r w:rsidRPr="008A14A5">
        <w:rPr>
          <w:sz w:val="20"/>
          <w:szCs w:val="20"/>
        </w:rPr>
        <w:t xml:space="preserve"> and Treatment along</w:t>
      </w:r>
    </w:p>
    <w:p w:rsidR="008A14A5" w:rsidRPr="008A14A5" w:rsidRDefault="008A14A5" w:rsidP="008A14A5">
      <w:pPr>
        <w:pStyle w:val="ListParagraph"/>
        <w:numPr>
          <w:ilvl w:val="0"/>
          <w:numId w:val="6"/>
        </w:numPr>
        <w:rPr>
          <w:sz w:val="20"/>
          <w:szCs w:val="20"/>
        </w:rPr>
      </w:pPr>
      <w:r w:rsidRPr="008A14A5">
        <w:rPr>
          <w:sz w:val="20"/>
          <w:szCs w:val="20"/>
        </w:rPr>
        <w:t xml:space="preserve">Combining </w:t>
      </w:r>
      <w:proofErr w:type="spellStart"/>
      <w:r w:rsidRPr="008A14A5">
        <w:rPr>
          <w:sz w:val="20"/>
          <w:szCs w:val="20"/>
        </w:rPr>
        <w:t>PrEP</w:t>
      </w:r>
      <w:proofErr w:type="spellEnd"/>
      <w:r w:rsidRPr="008A14A5">
        <w:rPr>
          <w:sz w:val="20"/>
          <w:szCs w:val="20"/>
        </w:rPr>
        <w:t xml:space="preserve"> with Treatment</w:t>
      </w:r>
    </w:p>
    <w:p w:rsidR="008A14A5" w:rsidRDefault="008A14A5">
      <w:pPr>
        <w:rPr>
          <w:sz w:val="20"/>
          <w:szCs w:val="20"/>
        </w:rPr>
      </w:pPr>
    </w:p>
    <w:p w:rsidR="009D279F" w:rsidRPr="008A14A5" w:rsidRDefault="009D279F">
      <w:pPr>
        <w:rPr>
          <w:b/>
          <w:sz w:val="20"/>
          <w:szCs w:val="20"/>
        </w:rPr>
      </w:pPr>
      <w:r w:rsidRPr="008A14A5">
        <w:rPr>
          <w:b/>
          <w:sz w:val="20"/>
          <w:szCs w:val="20"/>
        </w:rPr>
        <w:t xml:space="preserve">Optimal versus Suboptimal </w:t>
      </w:r>
    </w:p>
    <w:p w:rsidR="009D279F" w:rsidRDefault="009D279F">
      <w:pPr>
        <w:rPr>
          <w:sz w:val="20"/>
          <w:szCs w:val="20"/>
        </w:rPr>
      </w:pPr>
    </w:p>
    <w:p w:rsidR="009D279F" w:rsidRDefault="009D279F">
      <w:pPr>
        <w:rPr>
          <w:b/>
          <w:sz w:val="20"/>
          <w:szCs w:val="20"/>
        </w:rPr>
      </w:pPr>
      <w:r w:rsidRPr="008A14A5">
        <w:rPr>
          <w:b/>
          <w:sz w:val="20"/>
          <w:szCs w:val="20"/>
        </w:rPr>
        <w:t>Influential Variable Results</w:t>
      </w:r>
    </w:p>
    <w:p w:rsidR="00F0315C" w:rsidRPr="008A14A5" w:rsidRDefault="00F0315C">
      <w:pPr>
        <w:rPr>
          <w:b/>
          <w:sz w:val="20"/>
          <w:szCs w:val="20"/>
        </w:rPr>
      </w:pPr>
      <w:r>
        <w:rPr>
          <w:b/>
          <w:sz w:val="20"/>
          <w:szCs w:val="20"/>
        </w:rPr>
        <w:tab/>
        <w:t>Relative ranking of influential variables across optimal and suboptimal scenarios</w:t>
      </w:r>
    </w:p>
    <w:p w:rsidR="00353614" w:rsidRDefault="00353614">
      <w:pPr>
        <w:rPr>
          <w:sz w:val="20"/>
          <w:szCs w:val="20"/>
        </w:rPr>
      </w:pPr>
    </w:p>
    <w:p w:rsidR="009D279F" w:rsidRPr="008A14A5" w:rsidRDefault="009D279F" w:rsidP="009D279F">
      <w:pPr>
        <w:rPr>
          <w:b/>
          <w:sz w:val="20"/>
          <w:szCs w:val="20"/>
        </w:rPr>
      </w:pPr>
      <w:r w:rsidRPr="008A14A5">
        <w:rPr>
          <w:b/>
          <w:sz w:val="20"/>
          <w:szCs w:val="20"/>
        </w:rPr>
        <w:t xml:space="preserve">Impact of Age and Fertility </w:t>
      </w:r>
    </w:p>
    <w:p w:rsidR="009D279F" w:rsidRPr="00F10A4A" w:rsidRDefault="009D279F">
      <w:pPr>
        <w:rPr>
          <w:sz w:val="20"/>
          <w:szCs w:val="20"/>
        </w:rPr>
      </w:pPr>
    </w:p>
    <w:p w:rsidR="00F0315C" w:rsidRPr="00F0315C" w:rsidRDefault="00F10A4A" w:rsidP="00F0315C">
      <w:pPr>
        <w:rPr>
          <w:b/>
        </w:rPr>
      </w:pPr>
      <w:r w:rsidRPr="00F10A4A">
        <w:rPr>
          <w:b/>
        </w:rPr>
        <w:t>Discussion</w:t>
      </w:r>
    </w:p>
    <w:p w:rsidR="00F0315C" w:rsidRDefault="00F0315C" w:rsidP="00F0315C">
      <w:pPr>
        <w:pStyle w:val="ListParagraph"/>
        <w:numPr>
          <w:ilvl w:val="0"/>
          <w:numId w:val="8"/>
        </w:numPr>
        <w:rPr>
          <w:sz w:val="20"/>
          <w:szCs w:val="20"/>
        </w:rPr>
      </w:pPr>
      <w:r>
        <w:rPr>
          <w:sz w:val="20"/>
          <w:szCs w:val="20"/>
        </w:rPr>
        <w:t>Public Health Implications</w:t>
      </w:r>
    </w:p>
    <w:p w:rsidR="00F0315C" w:rsidRPr="00F0315C" w:rsidRDefault="00F0315C" w:rsidP="00F0315C">
      <w:pPr>
        <w:pStyle w:val="ListParagraph"/>
        <w:numPr>
          <w:ilvl w:val="1"/>
          <w:numId w:val="8"/>
        </w:numPr>
        <w:rPr>
          <w:sz w:val="20"/>
          <w:szCs w:val="20"/>
        </w:rPr>
      </w:pPr>
      <w:r w:rsidRPr="00F0315C">
        <w:rPr>
          <w:sz w:val="20"/>
          <w:szCs w:val="20"/>
        </w:rPr>
        <w:t xml:space="preserve">What does this mean for </w:t>
      </w:r>
      <w:proofErr w:type="spellStart"/>
      <w:r w:rsidRPr="00F0315C">
        <w:rPr>
          <w:sz w:val="20"/>
          <w:szCs w:val="20"/>
        </w:rPr>
        <w:t>PrEP</w:t>
      </w:r>
      <w:proofErr w:type="spellEnd"/>
      <w:r w:rsidRPr="00F0315C">
        <w:rPr>
          <w:sz w:val="20"/>
          <w:szCs w:val="20"/>
        </w:rPr>
        <w:t>?</w:t>
      </w:r>
    </w:p>
    <w:p w:rsidR="00F0315C" w:rsidRPr="00F0315C" w:rsidRDefault="00F0315C" w:rsidP="00F0315C">
      <w:pPr>
        <w:pStyle w:val="ListParagraph"/>
        <w:numPr>
          <w:ilvl w:val="1"/>
          <w:numId w:val="8"/>
        </w:numPr>
        <w:rPr>
          <w:sz w:val="20"/>
          <w:szCs w:val="20"/>
        </w:rPr>
      </w:pPr>
      <w:r w:rsidRPr="00F0315C">
        <w:rPr>
          <w:sz w:val="20"/>
          <w:szCs w:val="20"/>
        </w:rPr>
        <w:t xml:space="preserve">How does it relate to cost (Treatment </w:t>
      </w:r>
      <w:proofErr w:type="spellStart"/>
      <w:r w:rsidRPr="00F0315C">
        <w:rPr>
          <w:sz w:val="20"/>
          <w:szCs w:val="20"/>
        </w:rPr>
        <w:t>vs</w:t>
      </w:r>
      <w:proofErr w:type="spellEnd"/>
      <w:r w:rsidRPr="00F0315C">
        <w:rPr>
          <w:sz w:val="20"/>
          <w:szCs w:val="20"/>
        </w:rPr>
        <w:t xml:space="preserve"> </w:t>
      </w:r>
      <w:proofErr w:type="spellStart"/>
      <w:r w:rsidRPr="00F0315C">
        <w:rPr>
          <w:sz w:val="20"/>
          <w:szCs w:val="20"/>
        </w:rPr>
        <w:t>PrEP</w:t>
      </w:r>
      <w:proofErr w:type="spellEnd"/>
      <w:r w:rsidRPr="00F0315C">
        <w:rPr>
          <w:sz w:val="20"/>
          <w:szCs w:val="20"/>
        </w:rPr>
        <w:t>)?</w:t>
      </w:r>
    </w:p>
    <w:p w:rsidR="00F0315C" w:rsidRPr="00F0315C" w:rsidRDefault="00F0315C" w:rsidP="00F0315C">
      <w:pPr>
        <w:pStyle w:val="ListParagraph"/>
        <w:numPr>
          <w:ilvl w:val="1"/>
          <w:numId w:val="8"/>
        </w:numPr>
        <w:rPr>
          <w:sz w:val="20"/>
          <w:szCs w:val="20"/>
        </w:rPr>
      </w:pPr>
      <w:r w:rsidRPr="00F0315C">
        <w:rPr>
          <w:sz w:val="20"/>
          <w:szCs w:val="20"/>
        </w:rPr>
        <w:t xml:space="preserve">How does this change the age at which </w:t>
      </w:r>
      <w:proofErr w:type="spellStart"/>
      <w:r w:rsidRPr="00F0315C">
        <w:rPr>
          <w:sz w:val="20"/>
          <w:szCs w:val="20"/>
        </w:rPr>
        <w:t>serodiscordant</w:t>
      </w:r>
      <w:proofErr w:type="spellEnd"/>
      <w:r w:rsidRPr="00F0315C">
        <w:rPr>
          <w:sz w:val="20"/>
          <w:szCs w:val="20"/>
        </w:rPr>
        <w:t xml:space="preserve"> couples are targeted?</w:t>
      </w:r>
    </w:p>
    <w:p w:rsidR="00F0315C" w:rsidRPr="00F0315C" w:rsidRDefault="00F0315C" w:rsidP="00F0315C">
      <w:pPr>
        <w:pStyle w:val="ListParagraph"/>
        <w:numPr>
          <w:ilvl w:val="0"/>
          <w:numId w:val="8"/>
        </w:numPr>
        <w:rPr>
          <w:sz w:val="20"/>
          <w:szCs w:val="20"/>
        </w:rPr>
      </w:pPr>
      <w:r w:rsidRPr="00F0315C">
        <w:rPr>
          <w:sz w:val="20"/>
          <w:szCs w:val="20"/>
        </w:rPr>
        <w:t>How could a practitioner use this information? …</w:t>
      </w:r>
      <w:proofErr w:type="gramStart"/>
      <w:r w:rsidRPr="00F0315C">
        <w:rPr>
          <w:sz w:val="20"/>
          <w:szCs w:val="20"/>
        </w:rPr>
        <w:t>the</w:t>
      </w:r>
      <w:proofErr w:type="gramEnd"/>
      <w:r w:rsidRPr="00F0315C">
        <w:rPr>
          <w:sz w:val="20"/>
          <w:szCs w:val="20"/>
        </w:rPr>
        <w:t xml:space="preserve"> prototype tool</w:t>
      </w:r>
    </w:p>
    <w:p w:rsidR="00F0315C" w:rsidRPr="00F0315C" w:rsidRDefault="00F0315C">
      <w:pPr>
        <w:rPr>
          <w:sz w:val="20"/>
          <w:szCs w:val="20"/>
        </w:rPr>
      </w:pPr>
    </w:p>
    <w:p w:rsidR="00F0315C" w:rsidRPr="00F0315C" w:rsidRDefault="00F0315C" w:rsidP="00F0315C">
      <w:pPr>
        <w:pStyle w:val="ListParagraph"/>
        <w:numPr>
          <w:ilvl w:val="0"/>
          <w:numId w:val="8"/>
        </w:numPr>
        <w:rPr>
          <w:sz w:val="20"/>
          <w:szCs w:val="20"/>
        </w:rPr>
      </w:pPr>
      <w:r w:rsidRPr="00F0315C">
        <w:rPr>
          <w:sz w:val="20"/>
          <w:szCs w:val="20"/>
        </w:rPr>
        <w:t>Shortcomings</w:t>
      </w:r>
    </w:p>
    <w:p w:rsidR="00F0315C" w:rsidRPr="00F0315C" w:rsidRDefault="00F0315C" w:rsidP="00F0315C">
      <w:pPr>
        <w:pStyle w:val="ListParagraph"/>
        <w:numPr>
          <w:ilvl w:val="1"/>
          <w:numId w:val="8"/>
        </w:numPr>
        <w:rPr>
          <w:sz w:val="20"/>
          <w:szCs w:val="20"/>
        </w:rPr>
      </w:pPr>
      <w:r w:rsidRPr="00F0315C">
        <w:rPr>
          <w:sz w:val="20"/>
          <w:szCs w:val="20"/>
        </w:rPr>
        <w:t>Simple model</w:t>
      </w:r>
      <w:r>
        <w:rPr>
          <w:sz w:val="20"/>
          <w:szCs w:val="20"/>
        </w:rPr>
        <w:t xml:space="preserve"> limited by input data</w:t>
      </w:r>
    </w:p>
    <w:p w:rsidR="00F0315C" w:rsidRPr="00F0315C" w:rsidRDefault="00F0315C" w:rsidP="00F0315C">
      <w:pPr>
        <w:pStyle w:val="ListParagraph"/>
        <w:numPr>
          <w:ilvl w:val="1"/>
          <w:numId w:val="8"/>
        </w:numPr>
        <w:rPr>
          <w:sz w:val="20"/>
          <w:szCs w:val="20"/>
        </w:rPr>
      </w:pPr>
      <w:r w:rsidRPr="00F0315C">
        <w:rPr>
          <w:sz w:val="20"/>
          <w:szCs w:val="20"/>
        </w:rPr>
        <w:t>Using estimates based upon per sex-act</w:t>
      </w:r>
    </w:p>
    <w:p w:rsidR="00F0315C" w:rsidRPr="00F0315C" w:rsidRDefault="00F0315C" w:rsidP="00F0315C">
      <w:pPr>
        <w:pStyle w:val="ListParagraph"/>
        <w:numPr>
          <w:ilvl w:val="1"/>
          <w:numId w:val="8"/>
        </w:numPr>
        <w:rPr>
          <w:sz w:val="20"/>
          <w:szCs w:val="20"/>
        </w:rPr>
      </w:pPr>
      <w:r w:rsidRPr="00F0315C">
        <w:rPr>
          <w:sz w:val="20"/>
          <w:szCs w:val="20"/>
        </w:rPr>
        <w:t>STIs optimized</w:t>
      </w:r>
    </w:p>
    <w:p w:rsidR="00F0315C" w:rsidRPr="00F0315C" w:rsidRDefault="00F0315C" w:rsidP="00F0315C">
      <w:pPr>
        <w:pStyle w:val="ListParagraph"/>
        <w:numPr>
          <w:ilvl w:val="0"/>
          <w:numId w:val="8"/>
        </w:numPr>
        <w:rPr>
          <w:sz w:val="20"/>
          <w:szCs w:val="20"/>
        </w:rPr>
      </w:pPr>
      <w:r w:rsidRPr="00F0315C">
        <w:rPr>
          <w:sz w:val="20"/>
          <w:szCs w:val="20"/>
        </w:rPr>
        <w:t>Future work</w:t>
      </w:r>
    </w:p>
    <w:p w:rsidR="00F0315C" w:rsidRPr="00F0315C" w:rsidRDefault="00F0315C" w:rsidP="00F0315C">
      <w:pPr>
        <w:pStyle w:val="ListParagraph"/>
        <w:numPr>
          <w:ilvl w:val="1"/>
          <w:numId w:val="8"/>
        </w:numPr>
        <w:rPr>
          <w:sz w:val="20"/>
          <w:szCs w:val="20"/>
        </w:rPr>
      </w:pPr>
      <w:r w:rsidRPr="00F0315C">
        <w:rPr>
          <w:sz w:val="20"/>
          <w:szCs w:val="20"/>
        </w:rPr>
        <w:t>Very large range for STIs</w:t>
      </w:r>
      <w:r>
        <w:rPr>
          <w:sz w:val="20"/>
          <w:szCs w:val="20"/>
        </w:rPr>
        <w:t xml:space="preserve"> difficult to evaluate</w:t>
      </w:r>
    </w:p>
    <w:p w:rsidR="00F0315C" w:rsidRDefault="00F0315C" w:rsidP="00F0315C">
      <w:pPr>
        <w:pStyle w:val="ListParagraph"/>
        <w:numPr>
          <w:ilvl w:val="1"/>
          <w:numId w:val="8"/>
        </w:numPr>
        <w:rPr>
          <w:sz w:val="20"/>
          <w:szCs w:val="20"/>
        </w:rPr>
      </w:pPr>
      <w:r w:rsidRPr="00F0315C">
        <w:rPr>
          <w:sz w:val="20"/>
          <w:szCs w:val="20"/>
        </w:rPr>
        <w:t>Location specific parameters</w:t>
      </w:r>
    </w:p>
    <w:p w:rsidR="00F0315C" w:rsidRPr="00F0315C" w:rsidRDefault="00F0315C" w:rsidP="00F0315C">
      <w:pPr>
        <w:pStyle w:val="ListParagraph"/>
        <w:numPr>
          <w:ilvl w:val="1"/>
          <w:numId w:val="8"/>
        </w:numPr>
        <w:rPr>
          <w:sz w:val="20"/>
          <w:szCs w:val="20"/>
        </w:rPr>
      </w:pPr>
    </w:p>
    <w:p w:rsidR="00F10A4A" w:rsidRDefault="00F10A4A"/>
    <w:p w:rsidR="00F10A4A" w:rsidRPr="00F10A4A" w:rsidRDefault="00F10A4A">
      <w:pPr>
        <w:rPr>
          <w:b/>
        </w:rPr>
      </w:pPr>
      <w:r w:rsidRPr="00F10A4A">
        <w:rPr>
          <w:b/>
        </w:rPr>
        <w:t>Funding (Separate Section)</w:t>
      </w:r>
    </w:p>
    <w:p w:rsidR="00F10A4A" w:rsidRP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w:t>
      </w:r>
      <w:r w:rsidR="008A14A5">
        <w:rPr>
          <w:rFonts w:ascii="Times" w:eastAsia="Times New Roman" w:hAnsi="Times" w:cs="Times New Roman"/>
          <w:sz w:val="20"/>
          <w:szCs w:val="20"/>
        </w:rPr>
        <w:t>T</w:t>
      </w:r>
      <w:r w:rsidRPr="00F10A4A">
        <w:rPr>
          <w:rFonts w:ascii="Times" w:eastAsia="Times New Roman" w:hAnsi="Times" w:cs="Times New Roman"/>
          <w:sz w:val="20"/>
          <w:szCs w:val="20"/>
        </w:rPr>
        <w:t>he</w:t>
      </w:r>
      <w:proofErr w:type="gramEnd"/>
      <w:r w:rsidRPr="00F10A4A">
        <w:rPr>
          <w:rFonts w:ascii="Times" w:eastAsia="Times New Roman" w:hAnsi="Times" w:cs="Times New Roman"/>
          <w:sz w:val="20"/>
          <w:szCs w:val="20"/>
        </w:rPr>
        <w:t xml:space="preserve"> sentence should begin: “This work was supported by …”</w:t>
      </w:r>
    </w:p>
    <w:p w:rsidR="00F10A4A" w:rsidRP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The</w:t>
      </w:r>
      <w:proofErr w:type="gramEnd"/>
      <w:r w:rsidRPr="00F10A4A">
        <w:rPr>
          <w:rFonts w:ascii="Times" w:eastAsia="Times New Roman" w:hAnsi="Times" w:cs="Times New Roman"/>
          <w:sz w:val="20"/>
          <w:szCs w:val="20"/>
        </w:rPr>
        <w:t xml:space="preserve"> full official funding agency name should be given, i.e., “the National Cancer Institute at the National Institutes of Health” or simply “National Institutes of Health” not “NCI” (one of the 27 </w:t>
      </w:r>
      <w:proofErr w:type="spellStart"/>
      <w:r w:rsidRPr="00F10A4A">
        <w:rPr>
          <w:rFonts w:ascii="Times" w:eastAsia="Times New Roman" w:hAnsi="Times" w:cs="Times New Roman"/>
          <w:sz w:val="20"/>
          <w:szCs w:val="20"/>
        </w:rPr>
        <w:t>subinstitutions</w:t>
      </w:r>
      <w:proofErr w:type="spellEnd"/>
      <w:r w:rsidRPr="00F10A4A">
        <w:rPr>
          <w:rFonts w:ascii="Times" w:eastAsia="Times New Roman" w:hAnsi="Times" w:cs="Times New Roman"/>
          <w:sz w:val="20"/>
          <w:szCs w:val="20"/>
        </w:rPr>
        <w:t xml:space="preserve">) or “NCI at NIH.” </w:t>
      </w:r>
      <w:hyperlink r:id="rId10" w:history="1">
        <w:r w:rsidRPr="00F10A4A">
          <w:rPr>
            <w:rFonts w:ascii="Times" w:eastAsia="Times New Roman" w:hAnsi="Times" w:cs="Times New Roman"/>
            <w:color w:val="0000FF"/>
            <w:sz w:val="20"/>
            <w:szCs w:val="20"/>
            <w:u w:val="single"/>
          </w:rPr>
          <w:t>Please go to this Web site for a full RIN-approved list of UK funding agencies</w:t>
        </w:r>
      </w:hyperlink>
      <w:r w:rsidRPr="00F10A4A">
        <w:rPr>
          <w:rFonts w:ascii="Times" w:eastAsia="Times New Roman" w:hAnsi="Times" w:cs="Times New Roman"/>
          <w:sz w:val="20"/>
          <w:szCs w:val="20"/>
        </w:rPr>
        <w:t>.</w:t>
      </w:r>
    </w:p>
    <w:p w:rsidR="00F10A4A" w:rsidRP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Grant</w:t>
      </w:r>
      <w:proofErr w:type="gramEnd"/>
      <w:r w:rsidRPr="00F10A4A">
        <w:rPr>
          <w:rFonts w:ascii="Times" w:eastAsia="Times New Roman" w:hAnsi="Times" w:cs="Times New Roman"/>
          <w:sz w:val="20"/>
          <w:szCs w:val="20"/>
        </w:rPr>
        <w:t xml:space="preserve"> numbers should be complete and accurate and provided in brackets as follows: “[grant number ABX CDXXXXXX]”</w:t>
      </w:r>
    </w:p>
    <w:p w:rsidR="00F10A4A" w:rsidRP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Multiple</w:t>
      </w:r>
      <w:proofErr w:type="gramEnd"/>
      <w:r w:rsidRPr="00F10A4A">
        <w:rPr>
          <w:rFonts w:ascii="Times" w:eastAsia="Times New Roman" w:hAnsi="Times" w:cs="Times New Roman"/>
          <w:sz w:val="20"/>
          <w:szCs w:val="20"/>
        </w:rPr>
        <w:t xml:space="preserve"> grant numbers should be separated by a comma as follows: “[grant numbers ABX CDXXXXXX, EFX GHXXXXXX]”</w:t>
      </w:r>
    </w:p>
    <w:p w:rsidR="00F10A4A" w:rsidRP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Agencies</w:t>
      </w:r>
      <w:proofErr w:type="gramEnd"/>
      <w:r w:rsidRPr="00F10A4A">
        <w:rPr>
          <w:rFonts w:ascii="Times" w:eastAsia="Times New Roman" w:hAnsi="Times" w:cs="Times New Roman"/>
          <w:sz w:val="20"/>
          <w:szCs w:val="20"/>
        </w:rPr>
        <w:t xml:space="preserve"> should be separated by a semicolon (plus “and” before the last funding agency)</w:t>
      </w:r>
    </w:p>
    <w:p w:rsidR="00F10A4A" w:rsidRDefault="00F10A4A" w:rsidP="00F10A4A">
      <w:pPr>
        <w:rPr>
          <w:rFonts w:ascii="Times" w:eastAsia="Times New Roman" w:hAnsi="Times" w:cs="Times New Roman"/>
          <w:sz w:val="20"/>
          <w:szCs w:val="20"/>
        </w:rPr>
      </w:pPr>
      <w:proofErr w:type="gramStart"/>
      <w:r w:rsidRPr="00F10A4A">
        <w:rPr>
          <w:rFonts w:ascii="Times" w:eastAsia="Times New Roman" w:hAnsi="Symbol" w:cs="Times New Roman"/>
          <w:sz w:val="20"/>
          <w:szCs w:val="20"/>
        </w:rPr>
        <w:t></w:t>
      </w:r>
      <w:r w:rsidRPr="00F10A4A">
        <w:rPr>
          <w:rFonts w:ascii="Times" w:eastAsia="Times New Roman" w:hAnsi="Times" w:cs="Times New Roman"/>
          <w:sz w:val="20"/>
          <w:szCs w:val="20"/>
        </w:rPr>
        <w:t xml:space="preserve">  Where</w:t>
      </w:r>
      <w:proofErr w:type="gramEnd"/>
      <w:r w:rsidRPr="00F10A4A">
        <w:rPr>
          <w:rFonts w:ascii="Times" w:eastAsia="Times New Roman" w:hAnsi="Times" w:cs="Times New Roman"/>
          <w:sz w:val="20"/>
          <w:szCs w:val="20"/>
        </w:rPr>
        <w:t xml:space="preserve"> individuals need to be specified for certain sources of funding the following text should be added after the relevant agency or grant number “to [author initials].”</w:t>
      </w:r>
    </w:p>
    <w:p w:rsidR="00F10A4A" w:rsidRPr="00F10A4A" w:rsidRDefault="00F10A4A" w:rsidP="00F10A4A">
      <w:pPr>
        <w:rPr>
          <w:rFonts w:ascii="Times" w:hAnsi="Times"/>
          <w:sz w:val="20"/>
          <w:szCs w:val="20"/>
        </w:rPr>
      </w:pPr>
      <w:r w:rsidRPr="00F10A4A">
        <w:rPr>
          <w:rFonts w:ascii="Times" w:eastAsia="Times New Roman" w:hAnsi="Times" w:cs="Times New Roman"/>
          <w:sz w:val="20"/>
          <w:szCs w:val="20"/>
        </w:rPr>
        <w:t xml:space="preserve">An example is given here: “This work was supported by the National Institutes of Health [P50 CA098252 and CA118790 to R.B.S.R.] </w:t>
      </w:r>
      <w:proofErr w:type="gramStart"/>
      <w:r w:rsidRPr="00F10A4A">
        <w:rPr>
          <w:rFonts w:ascii="Times" w:eastAsia="Times New Roman" w:hAnsi="Times" w:cs="Times New Roman"/>
          <w:sz w:val="20"/>
          <w:szCs w:val="20"/>
        </w:rPr>
        <w:t>and</w:t>
      </w:r>
      <w:proofErr w:type="gramEnd"/>
      <w:r w:rsidRPr="00F10A4A">
        <w:rPr>
          <w:rFonts w:ascii="Times" w:eastAsia="Times New Roman" w:hAnsi="Times" w:cs="Times New Roman"/>
          <w:sz w:val="20"/>
          <w:szCs w:val="20"/>
        </w:rPr>
        <w:t xml:space="preserve"> the Alcohol &amp; Education Research Council [HFY GR667789].”</w:t>
      </w:r>
    </w:p>
    <w:p w:rsidR="00F10A4A" w:rsidRDefault="00F10A4A"/>
    <w:p w:rsidR="00F10A4A" w:rsidRPr="00F10A4A" w:rsidRDefault="00F10A4A">
      <w:pPr>
        <w:rPr>
          <w:b/>
        </w:rPr>
      </w:pPr>
      <w:r w:rsidRPr="00F10A4A">
        <w:rPr>
          <w:b/>
        </w:rPr>
        <w:t>Acknowledgements</w:t>
      </w:r>
    </w:p>
    <w:p w:rsidR="00F10A4A" w:rsidRPr="00F10A4A" w:rsidRDefault="00F10A4A">
      <w:pPr>
        <w:rPr>
          <w:rFonts w:ascii="Times" w:eastAsia="Times New Roman" w:hAnsi="Times" w:cs="Times New Roman"/>
          <w:sz w:val="20"/>
          <w:szCs w:val="20"/>
        </w:rPr>
      </w:pPr>
      <w:r w:rsidRPr="00F10A4A">
        <w:rPr>
          <w:rFonts w:ascii="Times" w:eastAsia="Times New Roman" w:hAnsi="Times" w:cs="Times New Roman"/>
          <w:sz w:val="20"/>
          <w:szCs w:val="20"/>
        </w:rPr>
        <w:t>Acknowledgments and details of non-financial support must be included at the end of the text before references and not in footnotes. Personal Acknowledgment should precede those of institutions or agencies. Please note that acknowledgment of funding bodies and declarations regarding conflict of interest should be given in separate "Funding" and "Conflict of Interests" sections, respectively.</w:t>
      </w:r>
    </w:p>
    <w:p w:rsidR="00F10A4A" w:rsidRDefault="00F10A4A">
      <w:pPr>
        <w:rPr>
          <w:rFonts w:eastAsia="Times New Roman" w:cs="Times New Roman"/>
        </w:rPr>
      </w:pPr>
    </w:p>
    <w:p w:rsidR="00F10A4A" w:rsidRDefault="00F10A4A" w:rsidP="00F10A4A">
      <w:pPr>
        <w:rPr>
          <w:rFonts w:eastAsia="Times New Roman" w:cs="Times New Roman"/>
          <w:b/>
        </w:rPr>
      </w:pPr>
      <w:r w:rsidRPr="00F10A4A">
        <w:rPr>
          <w:rFonts w:eastAsia="Times New Roman" w:cs="Times New Roman"/>
          <w:b/>
        </w:rPr>
        <w:t>References</w:t>
      </w:r>
    </w:p>
    <w:p w:rsidR="00F10A4A" w:rsidRPr="00F10A4A" w:rsidRDefault="00F10A4A" w:rsidP="00F10A4A">
      <w:pPr>
        <w:rPr>
          <w:rFonts w:ascii="Times" w:eastAsia="Times New Roman" w:hAnsi="Times" w:cs="Times New Roman"/>
          <w:b/>
          <w:sz w:val="20"/>
          <w:szCs w:val="20"/>
        </w:rPr>
      </w:pPr>
      <w:r w:rsidRPr="00F10A4A">
        <w:rPr>
          <w:rFonts w:ascii="Times" w:hAnsi="Times"/>
          <w:sz w:val="20"/>
          <w:szCs w:val="20"/>
        </w:rPr>
        <w:t xml:space="preserve">Major Articles are limited to 50 references, and Brief Reports are limited to 15 references. Only works that have been published or accepted for publication can be included in the reference list. Unpublished observations by the authors (authors' unpublished data), personal communications (J. L. Searle, personal communication), and manuscripts submitted for publication (H. Chapin and G. Miller, submitted) should be mentioned parenthetically in the text. Please note that </w:t>
      </w:r>
      <w:proofErr w:type="gramStart"/>
      <w:r w:rsidRPr="00F10A4A">
        <w:rPr>
          <w:rFonts w:ascii="Times" w:hAnsi="Times"/>
          <w:sz w:val="20"/>
          <w:szCs w:val="20"/>
        </w:rPr>
        <w:t>all personal communication must be confirmed in writing by the person mentioned</w:t>
      </w:r>
      <w:proofErr w:type="gramEnd"/>
      <w:r w:rsidRPr="00F10A4A">
        <w:rPr>
          <w:rFonts w:ascii="Times" w:hAnsi="Times"/>
          <w:sz w:val="20"/>
          <w:szCs w:val="20"/>
        </w:rPr>
        <w:t>. Please number references in order of appearance; those cited only or first in tables or figures are numbered according to the order in which the table or figure is cited in the text. Example: If table 2 is cited in the text after reference 25, a new reference cited in table 2 will be reference 26.</w:t>
      </w:r>
    </w:p>
    <w:p w:rsidR="00F10A4A" w:rsidRDefault="00F10A4A" w:rsidP="00F10A4A">
      <w:pPr>
        <w:pStyle w:val="NormalWeb"/>
      </w:pPr>
      <w:r>
        <w:t xml:space="preserve">References must follow the National Library of Medicine format as used in </w:t>
      </w:r>
      <w:hyperlink r:id="rId11" w:history="1">
        <w:r>
          <w:rPr>
            <w:rStyle w:val="Hyperlink"/>
          </w:rPr>
          <w:t>MEDLINE</w:t>
        </w:r>
      </w:hyperlink>
      <w:r>
        <w:t xml:space="preserve"> and </w:t>
      </w:r>
      <w:hyperlink r:id="rId12" w:history="1">
        <w:r>
          <w:rPr>
            <w:rStyle w:val="Hyperlink"/>
          </w:rPr>
          <w:t>Uniform Requirements</w:t>
        </w:r>
      </w:hyperlink>
      <w:r>
        <w:t>. Provide all authors' (or editors') names when there are fewer than 7</w:t>
      </w:r>
      <w:proofErr w:type="gramStart"/>
      <w:r>
        <w:t>;</w:t>
      </w:r>
      <w:proofErr w:type="gramEnd"/>
      <w:r>
        <w:t xml:space="preserve"> for 7 or more, list the first 3 and add "et al." Titles of journals not listed in MEDLINE should be spelled out in full. Reference to a doctoral dissertation should include the author, title, institution, location, year, and publication information, if published. For online resources, include a URL and date accessed. Accuracy of references is the responsibility of the authors.</w:t>
      </w:r>
    </w:p>
    <w:p w:rsidR="00F10A4A" w:rsidRDefault="00F10A4A" w:rsidP="00F10A4A">
      <w:pPr>
        <w:pStyle w:val="NormalWeb"/>
      </w:pPr>
      <w:r>
        <w:t>Examples of the proper format are as follows:</w:t>
      </w:r>
    </w:p>
    <w:p w:rsidR="00F10A4A" w:rsidRDefault="00F10A4A" w:rsidP="00F10A4A">
      <w:pPr>
        <w:pStyle w:val="NormalWeb"/>
      </w:pPr>
      <w:r>
        <w:rPr>
          <w:rStyle w:val="Strong"/>
        </w:rPr>
        <w:t>Journal Article</w:t>
      </w:r>
      <w:r>
        <w:br/>
      </w:r>
      <w:r>
        <w:br/>
      </w:r>
      <w:proofErr w:type="spellStart"/>
      <w:r>
        <w:t>Uherova</w:t>
      </w:r>
      <w:proofErr w:type="spellEnd"/>
      <w:r>
        <w:t xml:space="preserve"> P, </w:t>
      </w:r>
      <w:proofErr w:type="spellStart"/>
      <w:r>
        <w:t>Connick</w:t>
      </w:r>
      <w:proofErr w:type="spellEnd"/>
      <w:r>
        <w:t xml:space="preserve"> E, </w:t>
      </w:r>
      <w:proofErr w:type="spellStart"/>
      <w:r>
        <w:t>MaWhinney</w:t>
      </w:r>
      <w:proofErr w:type="spellEnd"/>
      <w:r>
        <w:t xml:space="preserve"> S, </w:t>
      </w:r>
      <w:proofErr w:type="spellStart"/>
      <w:r>
        <w:t>Schlichtemeier</w:t>
      </w:r>
      <w:proofErr w:type="spellEnd"/>
      <w:r>
        <w:t xml:space="preserve"> R, </w:t>
      </w:r>
      <w:proofErr w:type="spellStart"/>
      <w:r>
        <w:t>Schooley</w:t>
      </w:r>
      <w:proofErr w:type="spellEnd"/>
      <w:r>
        <w:t xml:space="preserve"> RT, </w:t>
      </w:r>
      <w:proofErr w:type="spellStart"/>
      <w:r>
        <w:t>Kuritzkes</w:t>
      </w:r>
      <w:proofErr w:type="spellEnd"/>
      <w:r>
        <w:t xml:space="preserve"> DR. In vitro effect of interleukin-12 on antigen-specific lymphocyte proliferative responses from persons infected with human immunodeficiency virus type 1. J Infect Dis </w:t>
      </w:r>
      <w:r>
        <w:rPr>
          <w:rStyle w:val="Strong"/>
        </w:rPr>
        <w:t>1996</w:t>
      </w:r>
      <w:r>
        <w:t xml:space="preserve">; 174:483-9. </w:t>
      </w:r>
    </w:p>
    <w:p w:rsidR="00F10A4A" w:rsidRDefault="00F10A4A" w:rsidP="00F10A4A">
      <w:pPr>
        <w:pStyle w:val="NormalWeb"/>
      </w:pPr>
      <w:r>
        <w:rPr>
          <w:rStyle w:val="Strong"/>
        </w:rPr>
        <w:t>Book chapter</w:t>
      </w:r>
      <w:r>
        <w:br/>
      </w:r>
      <w:r>
        <w:br/>
        <w:t xml:space="preserve">McIntosh K. Diagnostic virology. In: Fields BN, </w:t>
      </w:r>
      <w:proofErr w:type="spellStart"/>
      <w:r>
        <w:t>Knipe</w:t>
      </w:r>
      <w:proofErr w:type="spellEnd"/>
      <w:r>
        <w:t xml:space="preserve"> DM, </w:t>
      </w:r>
      <w:proofErr w:type="spellStart"/>
      <w:r>
        <w:t>Chanock</w:t>
      </w:r>
      <w:proofErr w:type="spellEnd"/>
      <w:r>
        <w:t xml:space="preserve"> RM, et al., </w:t>
      </w:r>
      <w:proofErr w:type="gramStart"/>
      <w:r>
        <w:t>eds</w:t>
      </w:r>
      <w:proofErr w:type="gramEnd"/>
      <w:r>
        <w:t xml:space="preserve">. Fields virology. </w:t>
      </w:r>
      <w:proofErr w:type="gramStart"/>
      <w:r>
        <w:t xml:space="preserve">2nd ed. </w:t>
      </w:r>
      <w:proofErr w:type="spellStart"/>
      <w:r>
        <w:t>Vol</w:t>
      </w:r>
      <w:proofErr w:type="spellEnd"/>
      <w:r>
        <w:t xml:space="preserve"> 1.</w:t>
      </w:r>
      <w:proofErr w:type="gramEnd"/>
      <w:r>
        <w:t xml:space="preserve"> New York: Raven Press, </w:t>
      </w:r>
      <w:r>
        <w:rPr>
          <w:rStyle w:val="Strong"/>
        </w:rPr>
        <w:t>1990</w:t>
      </w:r>
      <w:r>
        <w:t xml:space="preserve">:411-40. </w:t>
      </w:r>
    </w:p>
    <w:p w:rsidR="00F10A4A" w:rsidRDefault="00F10A4A" w:rsidP="00F10A4A">
      <w:pPr>
        <w:pStyle w:val="NormalWeb"/>
      </w:pPr>
      <w:r>
        <w:rPr>
          <w:rStyle w:val="Strong"/>
        </w:rPr>
        <w:t>Conference program</w:t>
      </w:r>
      <w:r>
        <w:br/>
      </w:r>
      <w:r>
        <w:br/>
        <w:t xml:space="preserve">Lyon DJ, Cheng AFB, </w:t>
      </w:r>
      <w:proofErr w:type="spellStart"/>
      <w:r>
        <w:t>Norrby</w:t>
      </w:r>
      <w:proofErr w:type="spellEnd"/>
      <w:r>
        <w:t xml:space="preserve"> SR. Mechanisms of </w:t>
      </w:r>
      <w:proofErr w:type="spellStart"/>
      <w:r>
        <w:t>cefotaxime</w:t>
      </w:r>
      <w:proofErr w:type="spellEnd"/>
      <w:r>
        <w:t xml:space="preserve"> resistance in blood culture isolates of </w:t>
      </w:r>
      <w:proofErr w:type="spellStart"/>
      <w:r>
        <w:t>Enterobacter</w:t>
      </w:r>
      <w:proofErr w:type="spellEnd"/>
      <w:r>
        <w:t xml:space="preserve"> high prevalence of extended-spectrum β-lactamases [abstract C43]. In: Program and abstracts of the 35th </w:t>
      </w:r>
      <w:proofErr w:type="spellStart"/>
      <w:r>
        <w:t>Interscience</w:t>
      </w:r>
      <w:proofErr w:type="spellEnd"/>
      <w:r>
        <w:t xml:space="preserve"> Conference on Antimicrobial Agents and Chemotherapy (San Francisco). Washington, DC: American Society for Microbiology, </w:t>
      </w:r>
      <w:r>
        <w:rPr>
          <w:rStyle w:val="Strong"/>
        </w:rPr>
        <w:t>1995</w:t>
      </w:r>
      <w:r>
        <w:t xml:space="preserve">:47. </w:t>
      </w:r>
    </w:p>
    <w:p w:rsidR="00F10A4A" w:rsidRDefault="00F10A4A" w:rsidP="00F10A4A">
      <w:pPr>
        <w:pStyle w:val="NormalWeb"/>
      </w:pPr>
      <w:r>
        <w:rPr>
          <w:rStyle w:val="Strong"/>
        </w:rPr>
        <w:t>Internet site</w:t>
      </w:r>
      <w:r>
        <w:br/>
      </w:r>
      <w:r>
        <w:br/>
        <w:t xml:space="preserve">Public Health Service Task Force. Recommendations for the use of antiretroviral drugs in pregnant HIV-1 infected women for maternal health and interventions to reduce perinatal HIV-1 transmission in the United States. Available at: http://www.hivatis.org. Accessed 24 April 2002. </w:t>
      </w:r>
    </w:p>
    <w:p w:rsidR="00F10A4A" w:rsidRDefault="00F10A4A"/>
    <w:sectPr w:rsidR="00F10A4A" w:rsidSect="00F10A4A">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4-06-09T17:07:00Z" w:initials="??">
    <w:p w:rsidR="00077DCA" w:rsidRDefault="00077DCA">
      <w:pPr>
        <w:pStyle w:val="CommentText"/>
      </w:pPr>
      <w:r>
        <w:rPr>
          <w:rStyle w:val="CommentReference"/>
        </w:rPr>
        <w:annotationRef/>
      </w:r>
      <w:r>
        <w:t>Is this outcome the child also is HIV- or a child regardless of HIV status?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DCA" w:rsidRDefault="00077DCA" w:rsidP="009D279F">
      <w:r>
        <w:separator/>
      </w:r>
    </w:p>
  </w:endnote>
  <w:endnote w:type="continuationSeparator" w:id="0">
    <w:p w:rsidR="00077DCA" w:rsidRDefault="00077DCA" w:rsidP="009D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DCA" w:rsidRDefault="00077DCA" w:rsidP="009D279F">
      <w:r>
        <w:separator/>
      </w:r>
    </w:p>
  </w:footnote>
  <w:footnote w:type="continuationSeparator" w:id="0">
    <w:p w:rsidR="00077DCA" w:rsidRDefault="00077DCA" w:rsidP="009D279F">
      <w:r>
        <w:continuationSeparator/>
      </w:r>
    </w:p>
  </w:footnote>
  <w:footnote w:id="1">
    <w:p w:rsidR="00077DCA" w:rsidRDefault="00077DCA">
      <w:pPr>
        <w:pStyle w:val="FootnoteText"/>
      </w:pPr>
      <w:r>
        <w:rPr>
          <w:rStyle w:val="FootnoteReference"/>
        </w:rPr>
        <w:footnoteRef/>
      </w:r>
      <w:r>
        <w:t xml:space="preserve"> </w:t>
      </w:r>
      <w:r w:rsidRPr="009D279F">
        <w:rPr>
          <w:sz w:val="18"/>
          <w:szCs w:val="18"/>
        </w:rPr>
        <w:t>The conception outcome includes both becoming pregnant and delivering the child.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1547"/>
    <w:multiLevelType w:val="hybridMultilevel"/>
    <w:tmpl w:val="FB0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32583"/>
    <w:multiLevelType w:val="hybridMultilevel"/>
    <w:tmpl w:val="9644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A72C1"/>
    <w:multiLevelType w:val="hybridMultilevel"/>
    <w:tmpl w:val="6ACE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76095"/>
    <w:multiLevelType w:val="hybridMultilevel"/>
    <w:tmpl w:val="DAE2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C3121"/>
    <w:multiLevelType w:val="hybridMultilevel"/>
    <w:tmpl w:val="1CFE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B34CB"/>
    <w:multiLevelType w:val="hybridMultilevel"/>
    <w:tmpl w:val="213E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D5A4F"/>
    <w:multiLevelType w:val="hybridMultilevel"/>
    <w:tmpl w:val="B356A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818B4"/>
    <w:multiLevelType w:val="hybridMultilevel"/>
    <w:tmpl w:val="B59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4A"/>
    <w:rsid w:val="00077DCA"/>
    <w:rsid w:val="00353614"/>
    <w:rsid w:val="0053169F"/>
    <w:rsid w:val="008A14A5"/>
    <w:rsid w:val="00953C85"/>
    <w:rsid w:val="009D279F"/>
    <w:rsid w:val="00B37EDC"/>
    <w:rsid w:val="00B60A96"/>
    <w:rsid w:val="00DC352A"/>
    <w:rsid w:val="00DD3F5D"/>
    <w:rsid w:val="00F0315C"/>
    <w:rsid w:val="00F10A4A"/>
    <w:rsid w:val="00F7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79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4A"/>
    <w:rPr>
      <w:color w:val="0000FF"/>
      <w:u w:val="single"/>
    </w:rPr>
  </w:style>
  <w:style w:type="paragraph" w:styleId="NormalWeb">
    <w:name w:val="Normal (Web)"/>
    <w:basedOn w:val="Normal"/>
    <w:uiPriority w:val="99"/>
    <w:semiHidden/>
    <w:unhideWhenUsed/>
    <w:rsid w:val="00F10A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10A4A"/>
    <w:rPr>
      <w:b/>
      <w:bCs/>
    </w:rPr>
  </w:style>
  <w:style w:type="paragraph" w:styleId="ListParagraph">
    <w:name w:val="List Paragraph"/>
    <w:basedOn w:val="Normal"/>
    <w:uiPriority w:val="34"/>
    <w:qFormat/>
    <w:rsid w:val="00DC352A"/>
    <w:pPr>
      <w:ind w:left="720"/>
      <w:contextualSpacing/>
    </w:pPr>
  </w:style>
  <w:style w:type="character" w:styleId="CommentReference">
    <w:name w:val="annotation reference"/>
    <w:basedOn w:val="DefaultParagraphFont"/>
    <w:uiPriority w:val="99"/>
    <w:semiHidden/>
    <w:unhideWhenUsed/>
    <w:rsid w:val="00DC352A"/>
    <w:rPr>
      <w:sz w:val="18"/>
      <w:szCs w:val="18"/>
    </w:rPr>
  </w:style>
  <w:style w:type="paragraph" w:styleId="CommentText">
    <w:name w:val="annotation text"/>
    <w:basedOn w:val="Normal"/>
    <w:link w:val="CommentTextChar"/>
    <w:uiPriority w:val="99"/>
    <w:semiHidden/>
    <w:unhideWhenUsed/>
    <w:rsid w:val="00DC352A"/>
  </w:style>
  <w:style w:type="character" w:customStyle="1" w:styleId="CommentTextChar">
    <w:name w:val="Comment Text Char"/>
    <w:basedOn w:val="DefaultParagraphFont"/>
    <w:link w:val="CommentText"/>
    <w:uiPriority w:val="99"/>
    <w:semiHidden/>
    <w:rsid w:val="00DC352A"/>
  </w:style>
  <w:style w:type="paragraph" w:styleId="CommentSubject">
    <w:name w:val="annotation subject"/>
    <w:basedOn w:val="CommentText"/>
    <w:next w:val="CommentText"/>
    <w:link w:val="CommentSubjectChar"/>
    <w:uiPriority w:val="99"/>
    <w:semiHidden/>
    <w:unhideWhenUsed/>
    <w:rsid w:val="00DC352A"/>
    <w:rPr>
      <w:b/>
      <w:bCs/>
      <w:sz w:val="20"/>
      <w:szCs w:val="20"/>
    </w:rPr>
  </w:style>
  <w:style w:type="character" w:customStyle="1" w:styleId="CommentSubjectChar">
    <w:name w:val="Comment Subject Char"/>
    <w:basedOn w:val="CommentTextChar"/>
    <w:link w:val="CommentSubject"/>
    <w:uiPriority w:val="99"/>
    <w:semiHidden/>
    <w:rsid w:val="00DC352A"/>
    <w:rPr>
      <w:b/>
      <w:bCs/>
      <w:sz w:val="20"/>
      <w:szCs w:val="20"/>
    </w:rPr>
  </w:style>
  <w:style w:type="paragraph" w:styleId="BalloonText">
    <w:name w:val="Balloon Text"/>
    <w:basedOn w:val="Normal"/>
    <w:link w:val="BalloonTextChar"/>
    <w:uiPriority w:val="99"/>
    <w:semiHidden/>
    <w:unhideWhenUsed/>
    <w:rsid w:val="00DC3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52A"/>
    <w:rPr>
      <w:rFonts w:ascii="Lucida Grande" w:hAnsi="Lucida Grande" w:cs="Lucida Grande"/>
      <w:sz w:val="18"/>
      <w:szCs w:val="18"/>
    </w:rPr>
  </w:style>
  <w:style w:type="paragraph" w:styleId="FootnoteText">
    <w:name w:val="footnote text"/>
    <w:basedOn w:val="Normal"/>
    <w:link w:val="FootnoteTextChar"/>
    <w:uiPriority w:val="99"/>
    <w:unhideWhenUsed/>
    <w:rsid w:val="009D279F"/>
  </w:style>
  <w:style w:type="character" w:customStyle="1" w:styleId="FootnoteTextChar">
    <w:name w:val="Footnote Text Char"/>
    <w:basedOn w:val="DefaultParagraphFont"/>
    <w:link w:val="FootnoteText"/>
    <w:uiPriority w:val="99"/>
    <w:rsid w:val="009D279F"/>
  </w:style>
  <w:style w:type="character" w:styleId="FootnoteReference">
    <w:name w:val="footnote reference"/>
    <w:basedOn w:val="DefaultParagraphFont"/>
    <w:uiPriority w:val="99"/>
    <w:unhideWhenUsed/>
    <w:rsid w:val="009D27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4A"/>
    <w:rPr>
      <w:color w:val="0000FF"/>
      <w:u w:val="single"/>
    </w:rPr>
  </w:style>
  <w:style w:type="paragraph" w:styleId="NormalWeb">
    <w:name w:val="Normal (Web)"/>
    <w:basedOn w:val="Normal"/>
    <w:uiPriority w:val="99"/>
    <w:semiHidden/>
    <w:unhideWhenUsed/>
    <w:rsid w:val="00F10A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10A4A"/>
    <w:rPr>
      <w:b/>
      <w:bCs/>
    </w:rPr>
  </w:style>
  <w:style w:type="paragraph" w:styleId="ListParagraph">
    <w:name w:val="List Paragraph"/>
    <w:basedOn w:val="Normal"/>
    <w:uiPriority w:val="34"/>
    <w:qFormat/>
    <w:rsid w:val="00DC352A"/>
    <w:pPr>
      <w:ind w:left="720"/>
      <w:contextualSpacing/>
    </w:pPr>
  </w:style>
  <w:style w:type="character" w:styleId="CommentReference">
    <w:name w:val="annotation reference"/>
    <w:basedOn w:val="DefaultParagraphFont"/>
    <w:uiPriority w:val="99"/>
    <w:semiHidden/>
    <w:unhideWhenUsed/>
    <w:rsid w:val="00DC352A"/>
    <w:rPr>
      <w:sz w:val="18"/>
      <w:szCs w:val="18"/>
    </w:rPr>
  </w:style>
  <w:style w:type="paragraph" w:styleId="CommentText">
    <w:name w:val="annotation text"/>
    <w:basedOn w:val="Normal"/>
    <w:link w:val="CommentTextChar"/>
    <w:uiPriority w:val="99"/>
    <w:semiHidden/>
    <w:unhideWhenUsed/>
    <w:rsid w:val="00DC352A"/>
  </w:style>
  <w:style w:type="character" w:customStyle="1" w:styleId="CommentTextChar">
    <w:name w:val="Comment Text Char"/>
    <w:basedOn w:val="DefaultParagraphFont"/>
    <w:link w:val="CommentText"/>
    <w:uiPriority w:val="99"/>
    <w:semiHidden/>
    <w:rsid w:val="00DC352A"/>
  </w:style>
  <w:style w:type="paragraph" w:styleId="CommentSubject">
    <w:name w:val="annotation subject"/>
    <w:basedOn w:val="CommentText"/>
    <w:next w:val="CommentText"/>
    <w:link w:val="CommentSubjectChar"/>
    <w:uiPriority w:val="99"/>
    <w:semiHidden/>
    <w:unhideWhenUsed/>
    <w:rsid w:val="00DC352A"/>
    <w:rPr>
      <w:b/>
      <w:bCs/>
      <w:sz w:val="20"/>
      <w:szCs w:val="20"/>
    </w:rPr>
  </w:style>
  <w:style w:type="character" w:customStyle="1" w:styleId="CommentSubjectChar">
    <w:name w:val="Comment Subject Char"/>
    <w:basedOn w:val="CommentTextChar"/>
    <w:link w:val="CommentSubject"/>
    <w:uiPriority w:val="99"/>
    <w:semiHidden/>
    <w:rsid w:val="00DC352A"/>
    <w:rPr>
      <w:b/>
      <w:bCs/>
      <w:sz w:val="20"/>
      <w:szCs w:val="20"/>
    </w:rPr>
  </w:style>
  <w:style w:type="paragraph" w:styleId="BalloonText">
    <w:name w:val="Balloon Text"/>
    <w:basedOn w:val="Normal"/>
    <w:link w:val="BalloonTextChar"/>
    <w:uiPriority w:val="99"/>
    <w:semiHidden/>
    <w:unhideWhenUsed/>
    <w:rsid w:val="00DC3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52A"/>
    <w:rPr>
      <w:rFonts w:ascii="Lucida Grande" w:hAnsi="Lucida Grande" w:cs="Lucida Grande"/>
      <w:sz w:val="18"/>
      <w:szCs w:val="18"/>
    </w:rPr>
  </w:style>
  <w:style w:type="paragraph" w:styleId="FootnoteText">
    <w:name w:val="footnote text"/>
    <w:basedOn w:val="Normal"/>
    <w:link w:val="FootnoteTextChar"/>
    <w:uiPriority w:val="99"/>
    <w:unhideWhenUsed/>
    <w:rsid w:val="009D279F"/>
  </w:style>
  <w:style w:type="character" w:customStyle="1" w:styleId="FootnoteTextChar">
    <w:name w:val="Footnote Text Char"/>
    <w:basedOn w:val="DefaultParagraphFont"/>
    <w:link w:val="FootnoteText"/>
    <w:uiPriority w:val="99"/>
    <w:rsid w:val="009D279F"/>
  </w:style>
  <w:style w:type="character" w:styleId="FootnoteReference">
    <w:name w:val="footnote reference"/>
    <w:basedOn w:val="DefaultParagraphFont"/>
    <w:uiPriority w:val="99"/>
    <w:unhideWhenUsed/>
    <w:rsid w:val="009D27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8147">
      <w:bodyDiv w:val="1"/>
      <w:marLeft w:val="0"/>
      <w:marRight w:val="0"/>
      <w:marTop w:val="0"/>
      <w:marBottom w:val="0"/>
      <w:divBdr>
        <w:top w:val="none" w:sz="0" w:space="0" w:color="auto"/>
        <w:left w:val="none" w:sz="0" w:space="0" w:color="auto"/>
        <w:bottom w:val="none" w:sz="0" w:space="0" w:color="auto"/>
        <w:right w:val="none" w:sz="0" w:space="0" w:color="auto"/>
      </w:divBdr>
    </w:div>
    <w:div w:id="174117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lm.nih.gov/tsd/serials/lji.html" TargetMode="External"/><Relationship Id="rId12" Type="http://schemas.openxmlformats.org/officeDocument/2006/relationships/hyperlink" Target="http://www.icmje.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oxfordjournals.org/for_authors/figures.html" TargetMode="External"/><Relationship Id="rId10" Type="http://schemas.openxmlformats.org/officeDocument/2006/relationships/hyperlink" Target="http://www.rin.ac.uk/our-work/research-funding-policy-and-guidance/acknowledgement-funders-journal-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1612</Words>
  <Characters>9191</Characters>
  <Application>Microsoft Macintosh Word</Application>
  <DocSecurity>0</DocSecurity>
  <Lines>76</Lines>
  <Paragraphs>21</Paragraphs>
  <ScaleCrop>false</ScaleCrop>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2014-06-09T20:11:00Z</dcterms:created>
  <dcterms:modified xsi:type="dcterms:W3CDTF">2014-06-09T22:09:00Z</dcterms:modified>
</cp:coreProperties>
</file>