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6656" w14:textId="77777777" w:rsidR="001B51CB" w:rsidRPr="001B51CB" w:rsidRDefault="007B72A3" w:rsidP="001B51CB">
      <w:pPr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"https://www.washingtonpost.com/graphics/2019/investigations/dea-pain-pill-database/?utm_term=.0fc9c6083840" \l "download-resources" </w:instrText>
      </w:r>
      <w:r>
        <w:fldChar w:fldCharType="separate"/>
      </w:r>
      <w:r w:rsidR="001B51CB" w:rsidRPr="001B51CB">
        <w:rPr>
          <w:rFonts w:ascii="Times New Roman" w:eastAsia="Times New Roman" w:hAnsi="Times New Roman" w:cs="Times New Roman"/>
          <w:color w:val="0000FF"/>
          <w:u w:val="single"/>
        </w:rPr>
        <w:t>https://www.washingtonpost.com/graphics/2019/investigations/dea-pain-pill-database/?utm_term=.0fc9c6083840#download-resources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66B4A338" w14:textId="77777777" w:rsidR="00056CDA" w:rsidRDefault="007B72A3"/>
    <w:p w14:paraId="3AE67B1A" w14:textId="77777777" w:rsidR="001B51CB" w:rsidRPr="001B51CB" w:rsidRDefault="007B72A3" w:rsidP="001B51CB">
      <w:pPr>
        <w:rPr>
          <w:rFonts w:ascii="Times New Roman" w:eastAsia="Times New Roman" w:hAnsi="Times New Roman" w:cs="Times New Roman"/>
        </w:rPr>
      </w:pPr>
      <w:hyperlink r:id="rId5" w:history="1">
        <w:r w:rsidR="001B51CB" w:rsidRPr="001B51CB">
          <w:rPr>
            <w:rFonts w:ascii="Times New Roman" w:eastAsia="Times New Roman" w:hAnsi="Times New Roman" w:cs="Times New Roman"/>
            <w:color w:val="0000FF"/>
            <w:u w:val="single"/>
          </w:rPr>
          <w:t>https://www.washingtonpost.com/national/2019/07/18/how-dow</w:t>
        </w:r>
        <w:r w:rsidR="001B51CB" w:rsidRPr="001B51CB">
          <w:rPr>
            <w:rFonts w:ascii="Times New Roman" w:eastAsia="Times New Roman" w:hAnsi="Times New Roman" w:cs="Times New Roman"/>
            <w:color w:val="0000FF"/>
            <w:u w:val="single"/>
          </w:rPr>
          <w:t>n</w:t>
        </w:r>
        <w:r w:rsidR="001B51CB" w:rsidRPr="001B51CB">
          <w:rPr>
            <w:rFonts w:ascii="Times New Roman" w:eastAsia="Times New Roman" w:hAnsi="Times New Roman" w:cs="Times New Roman"/>
            <w:color w:val="0000FF"/>
            <w:u w:val="single"/>
          </w:rPr>
          <w:t>load-use-dea-pain-pills-database/?utm_term=.25187f012871</w:t>
        </w:r>
      </w:hyperlink>
    </w:p>
    <w:p w14:paraId="370D7388" w14:textId="7C5CF609" w:rsidR="001B51CB" w:rsidRDefault="001B51CB"/>
    <w:p w14:paraId="1557A830" w14:textId="5EDC0916" w:rsidR="003C0672" w:rsidRDefault="003C0672"/>
    <w:p w14:paraId="7548086A" w14:textId="77777777" w:rsidR="003C0672" w:rsidRDefault="003C0672" w:rsidP="003C0672">
      <w:pPr>
        <w:spacing w:line="360" w:lineRule="auto"/>
        <w:rPr>
          <w:rFonts w:ascii="Georgia" w:eastAsia="Times New Roman" w:hAnsi="Georgia" w:cs="Times New Roman"/>
          <w:color w:val="2A2A2A"/>
          <w:shd w:val="clear" w:color="auto" w:fill="FFFFFF"/>
        </w:rPr>
      </w:pPr>
      <w:bookmarkStart w:id="0" w:name="OLE_LINK1"/>
      <w:bookmarkStart w:id="1" w:name="OLE_LINK2"/>
      <w:bookmarkStart w:id="2" w:name="_GoBack"/>
      <w:r w:rsidRPr="003C0672">
        <w:rPr>
          <w:rFonts w:ascii="Georgia" w:eastAsia="Times New Roman" w:hAnsi="Georgia" w:cs="Times New Roman"/>
          <w:color w:val="2A2A2A"/>
        </w:rPr>
        <w:t>Back in July, a</w:t>
      </w:r>
      <w:r w:rsidRPr="003C0672">
        <w:rPr>
          <w:rFonts w:ascii="Georgia" w:eastAsia="Times New Roman" w:hAnsi="Georgia" w:cs="Times New Roman"/>
          <w:color w:val="2A2A2A"/>
        </w:rPr>
        <w:t xml:space="preserve"> database maintained by the D</w:t>
      </w:r>
      <w:r w:rsidRPr="003C0672">
        <w:rPr>
          <w:rFonts w:ascii="Georgia" w:eastAsia="Times New Roman" w:hAnsi="Georgia" w:cs="Times New Roman"/>
          <w:color w:val="2A2A2A"/>
        </w:rPr>
        <w:t>EA</w:t>
      </w:r>
      <w:r w:rsidRPr="003C0672">
        <w:rPr>
          <w:rFonts w:ascii="Georgia" w:eastAsia="Times New Roman" w:hAnsi="Georgia" w:cs="Times New Roman"/>
          <w:color w:val="2A2A2A"/>
        </w:rPr>
        <w:t xml:space="preserve"> that tracks the path of every single pain pill sold in the United States</w:t>
      </w:r>
      <w:r w:rsidRPr="003C0672">
        <w:rPr>
          <w:rFonts w:ascii="Georgia" w:eastAsia="Times New Roman" w:hAnsi="Georgia" w:cs="Times New Roman"/>
          <w:color w:val="2A2A2A"/>
        </w:rPr>
        <w:t xml:space="preserve"> </w:t>
      </w:r>
      <w:r>
        <w:rPr>
          <w:rFonts w:ascii="Georgia" w:eastAsia="Times New Roman" w:hAnsi="Georgia" w:cs="Times New Roman"/>
          <w:color w:val="2A2A2A"/>
        </w:rPr>
        <w:t>was</w:t>
      </w:r>
      <w:r w:rsidRPr="003C0672">
        <w:rPr>
          <w:rFonts w:ascii="Georgia" w:eastAsia="Times New Roman" w:hAnsi="Georgia" w:cs="Times New Roman"/>
          <w:color w:val="2A2A2A"/>
        </w:rPr>
        <w:t xml:space="preserve"> made public.</w:t>
      </w:r>
      <w:r>
        <w:rPr>
          <w:rFonts w:ascii="Georgia" w:eastAsia="Times New Roman" w:hAnsi="Georgia" w:cs="Times New Roman"/>
          <w:color w:val="2A2A2A"/>
        </w:rPr>
        <w:t xml:space="preserve"> </w:t>
      </w:r>
      <w:r w:rsidRPr="003C0672">
        <w:rPr>
          <w:rFonts w:ascii="Georgia" w:eastAsia="Times New Roman" w:hAnsi="Georgia" w:cs="Times New Roman"/>
          <w:color w:val="2A2A2A"/>
          <w:shd w:val="clear" w:color="auto" w:fill="FFFFFF"/>
        </w:rPr>
        <w:t>The Post gained access to the DEA’s Administration’s Automation of Reports and Consolidated Orders System (ARCOS) as the result of a court order after a year-long legal battle for access to the database, which the government and the drug industry want to keep secret.</w:t>
      </w:r>
    </w:p>
    <w:p w14:paraId="782A2B23" w14:textId="77777777" w:rsidR="003C0672" w:rsidRDefault="003C0672" w:rsidP="003C0672">
      <w:pPr>
        <w:spacing w:line="360" w:lineRule="auto"/>
        <w:rPr>
          <w:rFonts w:ascii="Georgia" w:eastAsia="Times New Roman" w:hAnsi="Georgia" w:cs="Times New Roman"/>
          <w:color w:val="2A2A2A"/>
          <w:shd w:val="clear" w:color="auto" w:fill="FFFFFF"/>
        </w:rPr>
      </w:pPr>
    </w:p>
    <w:p w14:paraId="74A81797" w14:textId="6777C0BE" w:rsidR="003C0672" w:rsidRPr="003C0672" w:rsidRDefault="003C0672" w:rsidP="003C0672">
      <w:pPr>
        <w:spacing w:line="360" w:lineRule="auto"/>
        <w:rPr>
          <w:rFonts w:ascii="Georgia" w:eastAsia="Times New Roman" w:hAnsi="Georgia" w:cs="Times New Roman"/>
          <w:color w:val="2A2A2A"/>
          <w:shd w:val="clear" w:color="auto" w:fill="FFFFFF"/>
        </w:rPr>
      </w:pPr>
      <w:r w:rsidRPr="003C0672">
        <w:rPr>
          <w:rFonts w:ascii="Georgia" w:eastAsia="Times New Roman" w:hAnsi="Georgia" w:cs="Times New Roman"/>
          <w:color w:val="2A2A2A"/>
        </w:rPr>
        <w:t>The</w:t>
      </w:r>
      <w:r w:rsidRPr="003C0672">
        <w:rPr>
          <w:rFonts w:ascii="Georgia" w:eastAsia="Times New Roman" w:hAnsi="Georgia" w:cs="Times New Roman"/>
          <w:color w:val="2A2A2A"/>
        </w:rPr>
        <w:t>re are roughly</w:t>
      </w:r>
      <w:r w:rsidRPr="003C0672">
        <w:rPr>
          <w:rFonts w:ascii="Georgia" w:eastAsia="Times New Roman" w:hAnsi="Georgia" w:cs="Times New Roman"/>
          <w:color w:val="2A2A2A"/>
        </w:rPr>
        <w:t xml:space="preserve"> 380 million transactions from 2006 through 2012 that are detailed in the database</w:t>
      </w:r>
      <w:r w:rsidRPr="003C0672">
        <w:rPr>
          <w:rFonts w:ascii="Georgia" w:eastAsia="Times New Roman" w:hAnsi="Georgia" w:cs="Times New Roman"/>
          <w:color w:val="2A2A2A"/>
        </w:rPr>
        <w:t>.</w:t>
      </w:r>
      <w:r w:rsidRPr="003C0672">
        <w:rPr>
          <w:rFonts w:ascii="Georgia" w:eastAsia="Times New Roman" w:hAnsi="Georgia" w:cs="Times New Roman"/>
          <w:color w:val="2A2A2A"/>
        </w:rPr>
        <w:t xml:space="preserve"> </w:t>
      </w:r>
      <w:r w:rsidRPr="003C0672">
        <w:rPr>
          <w:rFonts w:ascii="Georgia" w:eastAsia="Times New Roman" w:hAnsi="Georgia" w:cs="Times New Roman"/>
          <w:color w:val="2A2A2A"/>
        </w:rPr>
        <w:t>These</w:t>
      </w:r>
      <w:r w:rsidRPr="003C0672">
        <w:rPr>
          <w:rFonts w:ascii="Georgia" w:eastAsia="Times New Roman" w:hAnsi="Georgia" w:cs="Times New Roman"/>
          <w:color w:val="2A2A2A"/>
        </w:rPr>
        <w:t xml:space="preserve"> shipments of oxycodone and hydrocodone pills</w:t>
      </w:r>
      <w:r w:rsidRPr="003C0672">
        <w:rPr>
          <w:rFonts w:ascii="Georgia" w:eastAsia="Times New Roman" w:hAnsi="Georgia" w:cs="Times New Roman"/>
          <w:color w:val="2A2A2A"/>
        </w:rPr>
        <w:t xml:space="preserve"> </w:t>
      </w:r>
      <w:r w:rsidRPr="003C0672">
        <w:rPr>
          <w:rFonts w:ascii="Georgia" w:eastAsia="Times New Roman" w:hAnsi="Georgia" w:cs="Times New Roman"/>
          <w:color w:val="2A2A2A"/>
        </w:rPr>
        <w:t xml:space="preserve">account for three-quarters of the total opioid pill shipments to pharmacies. The </w:t>
      </w:r>
      <w:r w:rsidRPr="003C0672">
        <w:rPr>
          <w:rFonts w:ascii="Georgia" w:eastAsia="Times New Roman" w:hAnsi="Georgia" w:cs="Times New Roman"/>
          <w:color w:val="2A2A2A"/>
        </w:rPr>
        <w:t xml:space="preserve">Washington </w:t>
      </w:r>
      <w:r w:rsidRPr="003C0672">
        <w:rPr>
          <w:rFonts w:ascii="Georgia" w:eastAsia="Times New Roman" w:hAnsi="Georgia" w:cs="Times New Roman"/>
          <w:color w:val="2A2A2A"/>
        </w:rPr>
        <w:t xml:space="preserve">Post </w:t>
      </w:r>
      <w:r w:rsidRPr="003C0672">
        <w:rPr>
          <w:rFonts w:ascii="Georgia" w:eastAsia="Times New Roman" w:hAnsi="Georgia" w:cs="Times New Roman"/>
          <w:color w:val="2A2A2A"/>
        </w:rPr>
        <w:t>made</w:t>
      </w:r>
      <w:r w:rsidRPr="003C0672">
        <w:rPr>
          <w:rFonts w:ascii="Georgia" w:eastAsia="Times New Roman" w:hAnsi="Georgia" w:cs="Times New Roman"/>
          <w:color w:val="2A2A2A"/>
        </w:rPr>
        <w:t xml:space="preserve"> this data available to help the public understand the impact of years of prescription pill shipments on </w:t>
      </w:r>
      <w:r w:rsidRPr="003C0672">
        <w:rPr>
          <w:rFonts w:ascii="Georgia" w:eastAsia="Times New Roman" w:hAnsi="Georgia" w:cs="Times New Roman"/>
          <w:color w:val="2A2A2A"/>
        </w:rPr>
        <w:t>our</w:t>
      </w:r>
      <w:r w:rsidRPr="003C0672">
        <w:rPr>
          <w:rFonts w:ascii="Georgia" w:eastAsia="Times New Roman" w:hAnsi="Georgia" w:cs="Times New Roman"/>
          <w:color w:val="2A2A2A"/>
        </w:rPr>
        <w:t xml:space="preserve"> communities.</w:t>
      </w:r>
      <w:r w:rsidRPr="003C0672">
        <w:rPr>
          <w:rFonts w:ascii="Helvetica" w:eastAsia="Times New Roman" w:hAnsi="Helvetica" w:cs="Times New Roman"/>
          <w:color w:val="2A2A2A"/>
        </w:rPr>
        <w:t xml:space="preserve"> </w:t>
      </w:r>
    </w:p>
    <w:p w14:paraId="33CB8A1F" w14:textId="77777777" w:rsidR="003C0672" w:rsidRDefault="003C0672" w:rsidP="003C0672">
      <w:pPr>
        <w:spacing w:line="360" w:lineRule="auto"/>
        <w:rPr>
          <w:rFonts w:ascii="Georgia" w:hAnsi="Georgia"/>
        </w:rPr>
      </w:pPr>
    </w:p>
    <w:p w14:paraId="2DF8F60E" w14:textId="1328F195" w:rsidR="003C0672" w:rsidRDefault="003C0672" w:rsidP="003C0672">
      <w:pPr>
        <w:spacing w:line="360" w:lineRule="auto"/>
        <w:rPr>
          <w:rFonts w:ascii="Georgia" w:hAnsi="Georgia"/>
        </w:rPr>
      </w:pPr>
      <w:r w:rsidRPr="003C0672">
        <w:rPr>
          <w:rFonts w:ascii="Georgia" w:hAnsi="Georgia"/>
        </w:rPr>
        <w:t>The</w:t>
      </w:r>
      <w:r>
        <w:rPr>
          <w:rFonts w:ascii="Georgia" w:hAnsi="Georgia"/>
        </w:rPr>
        <w:t>y</w:t>
      </w:r>
      <w:r w:rsidRPr="003C0672">
        <w:rPr>
          <w:rFonts w:ascii="Georgia" w:hAnsi="Georgia"/>
        </w:rPr>
        <w:t xml:space="preserve"> cleaned the data to include only information on shipments of oxycodone and hydrocodone pills. </w:t>
      </w:r>
      <w:r w:rsidRPr="003C0672">
        <w:rPr>
          <w:rFonts w:ascii="Georgia" w:hAnsi="Georgia"/>
        </w:rPr>
        <w:t>Data</w:t>
      </w:r>
      <w:r w:rsidRPr="003C0672">
        <w:rPr>
          <w:rFonts w:ascii="Georgia" w:hAnsi="Georgia"/>
        </w:rPr>
        <w:t xml:space="preserve"> on 10 other opioids </w:t>
      </w:r>
      <w:r w:rsidRPr="003C0672">
        <w:rPr>
          <w:rFonts w:ascii="Georgia" w:hAnsi="Georgia"/>
        </w:rPr>
        <w:t>w</w:t>
      </w:r>
      <w:r>
        <w:rPr>
          <w:rFonts w:ascii="Georgia" w:hAnsi="Georgia"/>
        </w:rPr>
        <w:t>as</w:t>
      </w:r>
      <w:r w:rsidRPr="003C0672">
        <w:rPr>
          <w:rFonts w:ascii="Georgia" w:hAnsi="Georgia"/>
        </w:rPr>
        <w:t xml:space="preserve"> not included </w:t>
      </w:r>
      <w:r w:rsidRPr="003C0672">
        <w:rPr>
          <w:rFonts w:ascii="Georgia" w:hAnsi="Georgia"/>
        </w:rPr>
        <w:t>because they were shipped in much lower quantities. The Post also removed shipments that did not wind up in the hands of consumers, such as shipments from distributors to themselves. </w:t>
      </w:r>
    </w:p>
    <w:p w14:paraId="24C8AF48" w14:textId="41F921F1" w:rsidR="00B836AC" w:rsidRDefault="00B836AC" w:rsidP="003C0672">
      <w:pPr>
        <w:spacing w:line="360" w:lineRule="auto"/>
        <w:rPr>
          <w:rFonts w:ascii="Georgia" w:hAnsi="Georgia"/>
        </w:rPr>
      </w:pPr>
    </w:p>
    <w:p w14:paraId="526AA14F" w14:textId="5C041775" w:rsidR="00B836AC" w:rsidRDefault="00B836AC" w:rsidP="00B836A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We</w:t>
      </w:r>
      <w:r w:rsidRPr="00B836AC">
        <w:rPr>
          <w:rFonts w:ascii="Georgia" w:hAnsi="Georgia"/>
        </w:rPr>
        <w:t xml:space="preserve"> don’t have more recent data</w:t>
      </w:r>
      <w:r>
        <w:rPr>
          <w:rFonts w:ascii="Georgia" w:hAnsi="Georgia"/>
        </w:rPr>
        <w:t xml:space="preserve"> because the</w:t>
      </w:r>
      <w:r w:rsidRPr="00B836AC">
        <w:rPr>
          <w:rFonts w:ascii="Georgia" w:hAnsi="Georgia"/>
        </w:rPr>
        <w:t xml:space="preserve"> DEA only produced data from 2006 through 2014 in the case. 2013 and 2014 data </w:t>
      </w:r>
      <w:proofErr w:type="gramStart"/>
      <w:r w:rsidRPr="00B836AC">
        <w:rPr>
          <w:rFonts w:ascii="Georgia" w:hAnsi="Georgia"/>
        </w:rPr>
        <w:t>exists</w:t>
      </w:r>
      <w:proofErr w:type="gramEnd"/>
      <w:r w:rsidRPr="00B836AC">
        <w:rPr>
          <w:rFonts w:ascii="Georgia" w:hAnsi="Georgia"/>
        </w:rPr>
        <w:t xml:space="preserve">, but </w:t>
      </w:r>
      <w:r>
        <w:rPr>
          <w:rFonts w:ascii="Georgia" w:hAnsi="Georgia"/>
        </w:rPr>
        <w:t xml:space="preserve">access is not yet available </w:t>
      </w:r>
      <w:r w:rsidRPr="00B836AC">
        <w:rPr>
          <w:rFonts w:ascii="Georgia" w:hAnsi="Georgia"/>
        </w:rPr>
        <w:t xml:space="preserve">because of the ongoing court </w:t>
      </w:r>
      <w:r>
        <w:rPr>
          <w:rFonts w:ascii="Georgia" w:hAnsi="Georgia"/>
        </w:rPr>
        <w:t>Ohio</w:t>
      </w:r>
      <w:r w:rsidRPr="00B836AC">
        <w:rPr>
          <w:rFonts w:ascii="Georgia" w:hAnsi="Georgia"/>
        </w:rPr>
        <w:t>. The Post is still fighting for its release.</w:t>
      </w:r>
    </w:p>
    <w:p w14:paraId="2404CA9B" w14:textId="66DD73BF" w:rsidR="00B836AC" w:rsidRDefault="00B836AC" w:rsidP="00B836AC">
      <w:pPr>
        <w:spacing w:line="360" w:lineRule="auto"/>
        <w:rPr>
          <w:rFonts w:ascii="Georgia" w:hAnsi="Georgia"/>
        </w:rPr>
      </w:pPr>
    </w:p>
    <w:p w14:paraId="689AFAFB" w14:textId="69B50CF8" w:rsidR="00B836AC" w:rsidRPr="00B836AC" w:rsidRDefault="00B836AC" w:rsidP="00B836A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Data on opioid overdose deaths was extracted from the CDC’s </w:t>
      </w:r>
      <w:r w:rsidRPr="00B836AC">
        <w:rPr>
          <w:rFonts w:ascii="Georgia" w:hAnsi="Georgia"/>
        </w:rPr>
        <w:t xml:space="preserve">WONDER </w:t>
      </w:r>
      <w:r>
        <w:rPr>
          <w:rFonts w:ascii="Georgia" w:hAnsi="Georgia"/>
        </w:rPr>
        <w:t>(</w:t>
      </w:r>
      <w:r w:rsidRPr="00B836AC">
        <w:rPr>
          <w:rFonts w:ascii="Georgia" w:hAnsi="Georgia"/>
        </w:rPr>
        <w:t>Wide-ranging O</w:t>
      </w:r>
      <w:r>
        <w:rPr>
          <w:rFonts w:ascii="Georgia" w:hAnsi="Georgia"/>
        </w:rPr>
        <w:t>n</w:t>
      </w:r>
      <w:r w:rsidRPr="00B836AC">
        <w:rPr>
          <w:rFonts w:ascii="Georgia" w:hAnsi="Georgia"/>
        </w:rPr>
        <w:t>line Data for Epidemiologic Research</w:t>
      </w:r>
      <w:r>
        <w:rPr>
          <w:rFonts w:ascii="Georgia" w:hAnsi="Georgia"/>
        </w:rPr>
        <w:t xml:space="preserve">) </w:t>
      </w:r>
      <w:r w:rsidRPr="00B836AC">
        <w:rPr>
          <w:rFonts w:ascii="Georgia" w:hAnsi="Georgia"/>
        </w:rPr>
        <w:t>online database</w:t>
      </w:r>
      <w:r>
        <w:rPr>
          <w:rFonts w:ascii="Georgia" w:hAnsi="Georgia"/>
        </w:rPr>
        <w:t>, which</w:t>
      </w:r>
      <w:r w:rsidRPr="00B836AC">
        <w:rPr>
          <w:rFonts w:ascii="Georgia" w:hAnsi="Georgia"/>
        </w:rPr>
        <w:t xml:space="preserve"> utilize</w:t>
      </w:r>
      <w:r>
        <w:rPr>
          <w:rFonts w:ascii="Georgia" w:hAnsi="Georgia"/>
        </w:rPr>
        <w:t>s</w:t>
      </w:r>
      <w:r w:rsidRPr="00B836AC">
        <w:rPr>
          <w:rFonts w:ascii="Georgia" w:hAnsi="Georgia"/>
        </w:rPr>
        <w:t xml:space="preserve"> a</w:t>
      </w:r>
      <w:r>
        <w:rPr>
          <w:rFonts w:ascii="Georgia" w:hAnsi="Georgia"/>
        </w:rPr>
        <w:t xml:space="preserve">n </w:t>
      </w:r>
      <w:r w:rsidRPr="00B836AC">
        <w:rPr>
          <w:rFonts w:ascii="Georgia" w:hAnsi="Georgia"/>
        </w:rPr>
        <w:t>ad-hoc query system for the analysis of public health data.</w:t>
      </w:r>
    </w:p>
    <w:bookmarkEnd w:id="0"/>
    <w:bookmarkEnd w:id="1"/>
    <w:bookmarkEnd w:id="2"/>
    <w:p w14:paraId="58AE659D" w14:textId="77777777" w:rsidR="00B836AC" w:rsidRPr="00B836AC" w:rsidRDefault="00B836AC" w:rsidP="00B836AC">
      <w:pPr>
        <w:spacing w:line="360" w:lineRule="auto"/>
        <w:rPr>
          <w:rFonts w:ascii="Georgia" w:hAnsi="Georgia"/>
        </w:rPr>
      </w:pPr>
    </w:p>
    <w:p w14:paraId="0D97EAA7" w14:textId="77777777" w:rsidR="00B836AC" w:rsidRPr="003C0672" w:rsidRDefault="00B836AC" w:rsidP="003C0672">
      <w:pPr>
        <w:spacing w:line="360" w:lineRule="auto"/>
        <w:rPr>
          <w:rFonts w:ascii="Georgia" w:hAnsi="Georgia"/>
        </w:rPr>
      </w:pPr>
    </w:p>
    <w:p w14:paraId="3A556E0E" w14:textId="77777777" w:rsidR="003C0672" w:rsidRPr="003C0672" w:rsidRDefault="003C0672" w:rsidP="003C0672">
      <w:pPr>
        <w:spacing w:line="360" w:lineRule="auto"/>
        <w:rPr>
          <w:rFonts w:ascii="Georgia" w:hAnsi="Georgia"/>
        </w:rPr>
      </w:pPr>
    </w:p>
    <w:sectPr w:rsidR="003C0672" w:rsidRPr="003C0672" w:rsidSect="008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D1D89"/>
    <w:multiLevelType w:val="multilevel"/>
    <w:tmpl w:val="8D2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CB"/>
    <w:rsid w:val="00125800"/>
    <w:rsid w:val="001B51CB"/>
    <w:rsid w:val="003C0672"/>
    <w:rsid w:val="007B72A3"/>
    <w:rsid w:val="00844733"/>
    <w:rsid w:val="00B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FD89"/>
  <w15:chartTrackingRefBased/>
  <w15:docId w15:val="{61908B0A-39DD-5646-ACDA-F6EBA655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51CB"/>
    <w:rPr>
      <w:color w:val="0000FF"/>
      <w:u w:val="single"/>
    </w:rPr>
  </w:style>
  <w:style w:type="paragraph" w:customStyle="1" w:styleId="pg-bodycopy">
    <w:name w:val="pg-bodycopy"/>
    <w:basedOn w:val="Normal"/>
    <w:rsid w:val="003C06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280">
              <w:marLeft w:val="0"/>
              <w:marRight w:val="0"/>
              <w:marTop w:val="7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national/2019/07/18/how-download-use-dea-pain-pills-database/?utm_term=.25187f0128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2019-07-22T23:33:00Z</dcterms:created>
  <dcterms:modified xsi:type="dcterms:W3CDTF">2019-08-06T15:18:00Z</dcterms:modified>
</cp:coreProperties>
</file>