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keepNext w:val="0"/>
        <w:keepLines w:val="0"/>
        <w:spacing w:before="280"/>
        <w:rPr>
          <w:b w:val="1"/>
          <w:bCs w:val="1"/>
          <w:outline w:val="0"/>
          <w:color w:val="000000"/>
          <w:sz w:val="22"/>
          <w:szCs w:val="22"/>
          <w:u w:color="000000"/>
          <w14:textFill>
            <w14:solidFill>
              <w14:srgbClr w14:val="000000"/>
            </w14:solidFill>
          </w14:textFill>
        </w:rPr>
      </w:pPr>
      <w:bookmarkStart w:name="_msdw5672la2f" w:id="0"/>
      <w:bookmarkEnd w:id="0"/>
      <w:r>
        <w:rPr>
          <w:b w:val="1"/>
          <w:bCs w:val="1"/>
          <w:outline w:val="0"/>
          <w:color w:val="000000"/>
          <w:sz w:val="22"/>
          <w:szCs w:val="22"/>
          <w:u w:color="000000"/>
          <w:rtl w:val="0"/>
          <w14:textFill>
            <w14:solidFill>
              <w14:srgbClr w14:val="000000"/>
            </w14:solidFill>
          </w14:textFill>
        </w:rPr>
        <w:t>L</w:t>
      </w:r>
      <w:r>
        <w:rPr>
          <w:b w:val="1"/>
          <w:bCs w:val="1"/>
          <w:outline w:val="0"/>
          <w:color w:val="000000"/>
          <w:sz w:val="22"/>
          <w:szCs w:val="22"/>
          <w:u w:color="000000"/>
          <w:rtl w:val="0"/>
          <w:lang w:val="en-US"/>
          <w14:textFill>
            <w14:solidFill>
              <w14:srgbClr w14:val="000000"/>
            </w14:solidFill>
          </w14:textFill>
        </w:rPr>
        <w:t>ycopene34 Ortholog Scan</w:t>
      </w:r>
    </w:p>
    <w:p>
      <w:pPr>
        <w:pStyle w:val="Heading 3"/>
        <w:keepNext w:val="0"/>
        <w:keepLines w:val="0"/>
        <w:spacing w:before="280"/>
        <w:ind w:firstLine="720"/>
        <w:rPr>
          <w:outline w:val="0"/>
          <w:color w:val="000000"/>
          <w:sz w:val="22"/>
          <w:szCs w:val="22"/>
          <w:u w:color="000000"/>
          <w14:textFill>
            <w14:solidFill>
              <w14:srgbClr w14:val="000000"/>
            </w14:solidFill>
          </w14:textFill>
        </w:rPr>
      </w:pPr>
      <w:bookmarkStart w:name="_ayhgdb5z60r" w:id="1"/>
      <w:bookmarkEnd w:id="1"/>
      <w:r>
        <w:rPr>
          <w:outline w:val="0"/>
          <w:color w:val="000000"/>
          <w:sz w:val="22"/>
          <w:szCs w:val="22"/>
          <w:u w:color="000000"/>
          <w:rtl w:val="0"/>
          <w14:textFill>
            <w14:solidFill>
              <w14:srgbClr w14:val="000000"/>
            </w14:solidFill>
          </w14:textFill>
        </w:rPr>
        <w:t>T</w:t>
      </w:r>
      <w:r>
        <w:rPr>
          <w:outline w:val="0"/>
          <w:color w:val="000000"/>
          <w:sz w:val="22"/>
          <w:szCs w:val="22"/>
          <w:u w:color="000000"/>
          <w:rtl w:val="0"/>
          <w:lang w:val="en-US"/>
          <w14:textFill>
            <w14:solidFill>
              <w14:srgbClr w14:val="000000"/>
            </w14:solidFill>
          </w14:textFill>
        </w:rPr>
        <w:t xml:space="preserve">his experiment evaluates two </w:t>
      </w:r>
      <w:r>
        <w:rPr>
          <w:i w:val="1"/>
          <w:iCs w:val="1"/>
          <w:outline w:val="0"/>
          <w:color w:val="000000"/>
          <w:sz w:val="22"/>
          <w:szCs w:val="22"/>
          <w:u w:color="000000"/>
          <w:rtl w:val="0"/>
          <w:lang w:val="it-IT"/>
          <w14:textFill>
            <w14:solidFill>
              <w14:srgbClr w14:val="000000"/>
            </w14:solidFill>
          </w14:textFill>
        </w:rPr>
        <w:t>ispA</w:t>
      </w:r>
      <w:r>
        <w:rPr>
          <w:outline w:val="0"/>
          <w:color w:val="000000"/>
          <w:sz w:val="22"/>
          <w:szCs w:val="22"/>
          <w:u w:color="000000"/>
          <w:rtl w:val="0"/>
          <w:lang w:val="en-US"/>
          <w14:textFill>
            <w14:solidFill>
              <w14:srgbClr w14:val="000000"/>
            </w14:solidFill>
          </w14:textFill>
        </w:rPr>
        <w:t xml:space="preserve"> orthologs in the lycopene-producing plasmid pLYC7</w:t>
      </w:r>
      <w:r>
        <w:rPr>
          <w:outline w:val="0"/>
          <w:color w:val="000000"/>
          <w:sz w:val="22"/>
          <w:szCs w:val="22"/>
          <w:u w:color="000000"/>
          <w:rtl w:val="0"/>
          <w:lang w:val="en-US"/>
          <w14:textFill>
            <w14:solidFill>
              <w14:srgbClr w14:val="000000"/>
            </w14:solidFill>
          </w14:textFill>
        </w:rPr>
        <w:t>2</w:t>
      </w:r>
      <w:r>
        <w:rPr>
          <w:outline w:val="0"/>
          <w:color w:val="000000"/>
          <w:sz w:val="22"/>
          <w:szCs w:val="22"/>
          <w:u w:color="000000"/>
          <w:rtl w:val="0"/>
          <w:lang w:val="en-US"/>
          <w14:textFill>
            <w14:solidFill>
              <w14:srgbClr w14:val="000000"/>
            </w14:solidFill>
          </w14:textFill>
        </w:rPr>
        <w:t>, the top-performing construct from lycopene3</w:t>
      </w:r>
      <w:r>
        <w:rPr>
          <w:outline w:val="0"/>
          <w:color w:val="000000"/>
          <w:sz w:val="22"/>
          <w:szCs w:val="22"/>
          <w:u w:color="000000"/>
          <w:rtl w:val="0"/>
          <w:lang w:val="en-US"/>
          <w14:textFill>
            <w14:solidFill>
              <w14:srgbClr w14:val="000000"/>
            </w14:solidFill>
          </w14:textFill>
        </w:rPr>
        <w:t>2</w:t>
      </w:r>
      <w:r>
        <w:rPr>
          <w:outline w:val="0"/>
          <w:color w:val="000000"/>
          <w:sz w:val="22"/>
          <w:szCs w:val="22"/>
          <w:u w:color="000000"/>
          <w:rtl w:val="0"/>
          <w:lang w:val="en-US"/>
          <w14:textFill>
            <w14:solidFill>
              <w14:srgbClr w14:val="000000"/>
            </w14:solidFill>
          </w14:textFill>
        </w:rPr>
        <w:t xml:space="preserve">. The </w:t>
      </w:r>
      <w:r>
        <w:rPr>
          <w:i w:val="1"/>
          <w:iCs w:val="1"/>
          <w:outline w:val="0"/>
          <w:color w:val="000000"/>
          <w:sz w:val="22"/>
          <w:szCs w:val="22"/>
          <w:u w:color="000000"/>
          <w:rtl w:val="0"/>
          <w:lang w:val="it-IT"/>
          <w14:textFill>
            <w14:solidFill>
              <w14:srgbClr w14:val="000000"/>
            </w14:solidFill>
          </w14:textFill>
        </w:rPr>
        <w:t>ispA</w:t>
      </w:r>
      <w:r>
        <w:rPr>
          <w:outline w:val="0"/>
          <w:color w:val="000000"/>
          <w:sz w:val="22"/>
          <w:szCs w:val="22"/>
          <w:u w:color="000000"/>
          <w:rtl w:val="0"/>
          <w:lang w:val="en-US"/>
          <w14:textFill>
            <w14:solidFill>
              <w14:srgbClr w14:val="000000"/>
            </w14:solidFill>
          </w14:textFill>
        </w:rPr>
        <w:t xml:space="preserve"> gene encodes farnesyl diphosphate synthase (FPPS), a key enzyme in the isoprenoid biosynthesis pathway that catalyzes the formation of FPP from isopentenyl pyrophosphate (IPP) and dimethylallyl pyrophosphate (DMAPP) [1]. FPP serves as a central precursor to multiple cellular metabolites, including quinones, dolichols, and carotenoids such as lycopene [2]. In engineered systems, lycopene production acts as a sensitive proxy for pathway flux and FPPS functionality. When </w:t>
      </w:r>
      <w:r>
        <w:rPr>
          <w:i w:val="1"/>
          <w:iCs w:val="1"/>
          <w:outline w:val="0"/>
          <w:color w:val="000000"/>
          <w:sz w:val="22"/>
          <w:szCs w:val="22"/>
          <w:u w:color="000000"/>
          <w:rtl w:val="0"/>
          <w:lang w:val="it-IT"/>
          <w14:textFill>
            <w14:solidFill>
              <w14:srgbClr w14:val="000000"/>
            </w14:solidFill>
          </w14:textFill>
        </w:rPr>
        <w:t>ispA</w:t>
      </w:r>
      <w:r>
        <w:rPr>
          <w:outline w:val="0"/>
          <w:color w:val="000000"/>
          <w:sz w:val="22"/>
          <w:szCs w:val="22"/>
          <w:u w:color="000000"/>
          <w:rtl w:val="0"/>
          <w:lang w:val="en-US"/>
          <w14:textFill>
            <w14:solidFill>
              <w14:srgbClr w14:val="000000"/>
            </w14:solidFill>
          </w14:textFill>
        </w:rPr>
        <w:t xml:space="preserve"> is expressed in a strain co-producing the carotenogenic enzymes </w:t>
      </w:r>
      <w:r>
        <w:rPr>
          <w:i w:val="1"/>
          <w:iCs w:val="1"/>
          <w:outline w:val="0"/>
          <w:color w:val="000000"/>
          <w:sz w:val="22"/>
          <w:szCs w:val="22"/>
          <w:u w:color="000000"/>
          <w:rtl w:val="0"/>
          <w14:textFill>
            <w14:solidFill>
              <w14:srgbClr w14:val="000000"/>
            </w14:solidFill>
          </w14:textFill>
        </w:rPr>
        <w:t>crtE</w:t>
      </w:r>
      <w:r>
        <w:rPr>
          <w:outline w:val="0"/>
          <w:color w:val="000000"/>
          <w:sz w:val="22"/>
          <w:szCs w:val="22"/>
          <w:u w:color="000000"/>
          <w:rtl w:val="0"/>
          <w14:textFill>
            <w14:solidFill>
              <w14:srgbClr w14:val="000000"/>
            </w14:solidFill>
          </w14:textFill>
        </w:rPr>
        <w:t xml:space="preserve">, </w:t>
      </w:r>
      <w:r>
        <w:rPr>
          <w:i w:val="1"/>
          <w:iCs w:val="1"/>
          <w:outline w:val="0"/>
          <w:color w:val="000000"/>
          <w:sz w:val="22"/>
          <w:szCs w:val="22"/>
          <w:u w:color="000000"/>
          <w:rtl w:val="0"/>
          <w14:textFill>
            <w14:solidFill>
              <w14:srgbClr w14:val="000000"/>
            </w14:solidFill>
          </w14:textFill>
        </w:rPr>
        <w:t>crtB</w:t>
      </w:r>
      <w:r>
        <w:rPr>
          <w:outline w:val="0"/>
          <w:color w:val="000000"/>
          <w:sz w:val="22"/>
          <w:szCs w:val="22"/>
          <w:u w:color="000000"/>
          <w:rtl w:val="0"/>
          <w:lang w:val="en-US"/>
          <w14:textFill>
            <w14:solidFill>
              <w14:srgbClr w14:val="000000"/>
            </w14:solidFill>
          </w14:textFill>
        </w:rPr>
        <w:t xml:space="preserve">, and </w:t>
      </w:r>
      <w:r>
        <w:rPr>
          <w:i w:val="1"/>
          <w:iCs w:val="1"/>
          <w:outline w:val="0"/>
          <w:color w:val="000000"/>
          <w:sz w:val="22"/>
          <w:szCs w:val="22"/>
          <w:u w:color="000000"/>
          <w:rtl w:val="0"/>
          <w14:textFill>
            <w14:solidFill>
              <w14:srgbClr w14:val="000000"/>
            </w14:solidFill>
          </w14:textFill>
        </w:rPr>
        <w:t>crtI</w:t>
      </w:r>
      <w:r>
        <w:rPr>
          <w:outline w:val="0"/>
          <w:color w:val="000000"/>
          <w:sz w:val="22"/>
          <w:szCs w:val="22"/>
          <w:u w:color="000000"/>
          <w:rtl w:val="0"/>
          <w:lang w:val="en-US"/>
          <w14:textFill>
            <w14:solidFill>
              <w14:srgbClr w14:val="000000"/>
            </w14:solidFill>
          </w14:textFill>
        </w:rPr>
        <w:t xml:space="preserve">, lycopene accumulates as a red pigment, allowing for visual and spectrophotometric quantification which </w:t>
      </w:r>
      <w:r>
        <w:rPr>
          <w:outline w:val="0"/>
          <w:color w:val="000000"/>
          <w:sz w:val="22"/>
          <w:szCs w:val="22"/>
          <w:u w:color="000000"/>
          <w:rtl w:val="0"/>
          <w:lang w:val="en-US"/>
          <w14:textFill>
            <w14:solidFill>
              <w14:srgbClr w14:val="000000"/>
            </w14:solidFill>
          </w14:textFill>
        </w:rPr>
        <w:t>is</w:t>
      </w:r>
      <w:r>
        <w:rPr>
          <w:outline w:val="0"/>
          <w:color w:val="000000"/>
          <w:sz w:val="22"/>
          <w:szCs w:val="22"/>
          <w:u w:color="000000"/>
          <w:rtl w:val="0"/>
          <w:lang w:val="en-US"/>
          <w14:textFill>
            <w14:solidFill>
              <w14:srgbClr w14:val="000000"/>
            </w14:solidFill>
          </w14:textFill>
        </w:rPr>
        <w:t xml:space="preserve"> used in the assay portion of this experiment.</w:t>
      </w:r>
    </w:p>
    <w:p>
      <w:pPr>
        <w:pStyle w:val="Body"/>
        <w:rPr>
          <w:i w:val="1"/>
          <w:iCs w:val="1"/>
        </w:rPr>
      </w:pPr>
    </w:p>
    <w:p>
      <w:pPr>
        <w:pStyle w:val="Body"/>
      </w:pPr>
      <w:r>
        <w:rPr>
          <w:rtl w:val="0"/>
          <w:lang w:val="en-US"/>
        </w:rPr>
        <w:t xml:space="preserve">Four orthologs were selected: </w:t>
      </w:r>
    </w:p>
    <w:p>
      <w:pPr>
        <w:pStyle w:val="Body"/>
        <w:numPr>
          <w:ilvl w:val="0"/>
          <w:numId w:val="2"/>
        </w:numPr>
        <w:rPr>
          <w:lang w:val="en-US"/>
        </w:rPr>
      </w:pPr>
      <w:r>
        <w:rPr>
          <w:i w:val="1"/>
          <w:iCs w:val="1"/>
          <w:rtl w:val="0"/>
          <w:lang w:val="en-US"/>
        </w:rPr>
        <w:t xml:space="preserve">Enterobacter hormaechei </w:t>
      </w:r>
      <w:r>
        <w:rPr>
          <w:rtl w:val="0"/>
        </w:rPr>
        <w:t>(GenBank: CP115689)</w:t>
      </w:r>
    </w:p>
    <w:p>
      <w:pPr>
        <w:pStyle w:val="Body"/>
        <w:numPr>
          <w:ilvl w:val="0"/>
          <w:numId w:val="2"/>
        </w:numPr>
        <w:rPr>
          <w:lang w:val="en-US"/>
        </w:rPr>
      </w:pPr>
      <w:r>
        <w:rPr>
          <w:i w:val="1"/>
          <w:iCs w:val="1"/>
          <w:rtl w:val="0"/>
          <w:lang w:val="en-US"/>
        </w:rPr>
        <w:t>Citrobacter amalonaticus</w:t>
      </w:r>
      <w:r>
        <w:rPr>
          <w:rtl w:val="0"/>
        </w:rPr>
        <w:t xml:space="preserve"> (CP041362.1)</w:t>
      </w:r>
    </w:p>
    <w:p>
      <w:pPr>
        <w:pStyle w:val="Body"/>
        <w:numPr>
          <w:ilvl w:val="0"/>
          <w:numId w:val="2"/>
        </w:numPr>
        <w:rPr>
          <w:lang w:val="it-IT"/>
        </w:rPr>
      </w:pPr>
      <w:r>
        <w:rPr>
          <w:i w:val="1"/>
          <w:iCs w:val="1"/>
          <w:rtl w:val="0"/>
          <w:lang w:val="it-IT"/>
        </w:rPr>
        <w:t>Salmonella enterica</w:t>
      </w:r>
      <w:r>
        <w:rPr>
          <w:rtl w:val="0"/>
        </w:rPr>
        <w:t xml:space="preserve"> (CP074309.1)</w:t>
      </w:r>
    </w:p>
    <w:p>
      <w:pPr>
        <w:pStyle w:val="Body"/>
        <w:numPr>
          <w:ilvl w:val="0"/>
          <w:numId w:val="2"/>
        </w:numPr>
        <w:rPr>
          <w:lang w:val="it-IT"/>
        </w:rPr>
      </w:pPr>
      <w:r>
        <w:rPr>
          <w:i w:val="1"/>
          <w:iCs w:val="1"/>
          <w:rtl w:val="0"/>
          <w:lang w:val="it-IT"/>
        </w:rPr>
        <w:t xml:space="preserve">Klebsiella electrica </w:t>
      </w:r>
      <w:r>
        <w:rPr>
          <w:rtl w:val="0"/>
        </w:rPr>
        <w:t>(CP112887.1)</w:t>
      </w:r>
    </w:p>
    <w:p>
      <w:pPr>
        <w:pStyle w:val="Body"/>
      </w:pPr>
    </w:p>
    <w:p>
      <w:pPr>
        <w:pStyle w:val="Body"/>
        <w:ind w:firstLine="720"/>
      </w:pPr>
      <w:r>
        <w:rPr>
          <w:rtl w:val="0"/>
          <w:lang w:val="en-US"/>
        </w:rPr>
        <w:t xml:space="preserve">The functionality of the </w:t>
      </w:r>
      <w:r>
        <w:rPr>
          <w:i w:val="1"/>
          <w:iCs w:val="1"/>
          <w:rtl w:val="0"/>
          <w:lang w:val="it-IT"/>
        </w:rPr>
        <w:t>ispA</w:t>
      </w:r>
      <w:r>
        <w:rPr>
          <w:rtl w:val="0"/>
          <w:lang w:val="en-US"/>
        </w:rPr>
        <w:t xml:space="preserve"> gene in E.coli MG155 specifically encodes for farnesyl diphosphate synthase (FPPS), meaning our ortholog search was filtered to only </w:t>
      </w:r>
      <w:r>
        <w:rPr>
          <w:i w:val="1"/>
          <w:iCs w:val="1"/>
          <w:rtl w:val="0"/>
          <w:lang w:val="it-IT"/>
        </w:rPr>
        <w:t>ispA</w:t>
      </w:r>
      <w:r>
        <w:rPr>
          <w:rtl w:val="0"/>
          <w:lang w:val="en-US"/>
        </w:rPr>
        <w:t xml:space="preserve"> genes encoding for this enzyme. The four orthologs selected are a part of the same family as </w:t>
      </w:r>
      <w:r>
        <w:rPr>
          <w:i w:val="1"/>
          <w:iCs w:val="1"/>
          <w:rtl w:val="0"/>
          <w:lang w:val="it-IT"/>
        </w:rPr>
        <w:t>E. coli</w:t>
      </w:r>
      <w:r>
        <w:rPr>
          <w:rtl w:val="0"/>
          <w:lang w:val="en-US"/>
        </w:rPr>
        <w:t xml:space="preserve">, the </w:t>
      </w:r>
      <w:r>
        <w:rPr>
          <w:i w:val="1"/>
          <w:iCs w:val="1"/>
          <w:rtl w:val="0"/>
          <w:lang w:val="en-US"/>
        </w:rPr>
        <w:t>Enterobacteriaceae</w:t>
      </w:r>
      <w:r>
        <w:rPr>
          <w:rtl w:val="0"/>
          <w:lang w:val="en-US"/>
        </w:rPr>
        <w:t xml:space="preserve"> family. The goal of choosing orthologs from this common group of Gram-negative bacteria was to achieve high functionality success in the orthologs, since similar species will likely have smaller mutations. </w:t>
      </w:r>
    </w:p>
    <w:p>
      <w:pPr>
        <w:pStyle w:val="Body"/>
        <w:ind w:firstLine="720"/>
      </w:pPr>
    </w:p>
    <w:p>
      <w:pPr>
        <w:pStyle w:val="Body"/>
        <w:ind w:firstLine="720"/>
      </w:pPr>
      <w:r>
        <w:rPr>
          <w:rtl w:val="0"/>
          <w:lang w:val="en-US"/>
        </w:rPr>
        <w:t xml:space="preserve">Twenty different orthologs from an OrthoDB query from different bacteria families were tested using the BLASTp method for querying and sequence identity against the </w:t>
      </w:r>
      <w:r>
        <w:rPr>
          <w:i w:val="1"/>
          <w:iCs w:val="1"/>
          <w:rtl w:val="0"/>
          <w:lang w:val="it-IT"/>
        </w:rPr>
        <w:t>ispA</w:t>
      </w:r>
      <w:r>
        <w:rPr>
          <w:rtl w:val="0"/>
        </w:rPr>
        <w:t xml:space="preserve"> </w:t>
      </w:r>
      <w:r>
        <w:rPr>
          <w:i w:val="1"/>
          <w:iCs w:val="1"/>
          <w:rtl w:val="0"/>
          <w:lang w:val="it-IT"/>
        </w:rPr>
        <w:t>E.coli MG155</w:t>
      </w:r>
      <w:r>
        <w:rPr>
          <w:rtl w:val="0"/>
          <w:lang w:val="en-US"/>
        </w:rPr>
        <w:t xml:space="preserve"> strain. Out of the queried organisms, the four selected fit the desired range of 70-95% identity matching and matched for the specific coding of FPPS. Since </w:t>
      </w:r>
      <w:r>
        <w:rPr>
          <w:i w:val="1"/>
          <w:iCs w:val="1"/>
          <w:rtl w:val="0"/>
          <w:lang w:val="it-IT"/>
        </w:rPr>
        <w:t>ispA</w:t>
      </w:r>
      <w:r>
        <w:rPr>
          <w:rtl w:val="0"/>
          <w:lang w:val="en-US"/>
        </w:rPr>
        <w:t xml:space="preserve"> is part of a large prenyltransferase family that has undergone extensive gene duplication and functional diversification, homologs can perform similar reactions but with different substrates. It was crucial to ensure our orthologs encoded for the same FPPS enzyme to optimize functionality results.</w:t>
      </w:r>
    </w:p>
    <w:p>
      <w:pPr>
        <w:pStyle w:val="Body"/>
        <w:ind w:firstLine="720"/>
      </w:pPr>
    </w:p>
    <w:p>
      <w:pPr>
        <w:pStyle w:val="Body"/>
      </w:pPr>
      <w:r>
        <w:rPr>
          <w:rtl w:val="0"/>
          <w:lang w:val="en-US"/>
        </w:rPr>
        <w:t xml:space="preserve">The </w:t>
      </w:r>
      <w:r>
        <w:rPr>
          <w:i w:val="1"/>
          <w:iCs w:val="1"/>
          <w:rtl w:val="0"/>
        </w:rPr>
        <w:t xml:space="preserve">K. electrica ispA </w:t>
      </w:r>
      <w:r>
        <w:rPr>
          <w:rtl w:val="0"/>
          <w:lang w:val="en-US"/>
        </w:rPr>
        <w:t xml:space="preserve">gene contains an internal </w:t>
      </w:r>
      <w:r>
        <w:rPr>
          <w:i w:val="1"/>
          <w:iCs w:val="1"/>
          <w:rtl w:val="0"/>
        </w:rPr>
        <w:t>BsaI</w:t>
      </w:r>
      <w:r>
        <w:rPr>
          <w:rtl w:val="0"/>
          <w:lang w:val="en-US"/>
        </w:rPr>
        <w:t xml:space="preserve"> site, which prevents direct cloning via Golden Gate. To address this, a codon-modified version was synthesized using the </w:t>
      </w:r>
      <w:r>
        <w:rPr>
          <w:i w:val="1"/>
          <w:iCs w:val="1"/>
          <w:rtl w:val="0"/>
          <w:lang w:val="en-US"/>
        </w:rPr>
        <w:t>removeSites</w:t>
      </w:r>
      <w:r>
        <w:rPr>
          <w:rtl w:val="0"/>
          <w:lang w:val="en-US"/>
        </w:rPr>
        <w:t xml:space="preserve"> function in C6-Tools and delivered in a gBlock fragment to then be assembled via Gibson. In contrast, the other three genes lack internal restriction sites and were amplified directly from genomic DNA. Both genes were inserted into the pLYC7</w:t>
      </w:r>
      <w:r>
        <w:rPr>
          <w:rtl w:val="0"/>
          <w:lang w:val="en-US"/>
        </w:rPr>
        <w:t>2</w:t>
      </w:r>
      <w:r>
        <w:rPr>
          <w:rtl w:val="0"/>
          <w:lang w:val="en-US"/>
        </w:rPr>
        <w:t xml:space="preserve"> backbone in place of the native </w:t>
      </w:r>
      <w:r>
        <w:rPr>
          <w:i w:val="1"/>
          <w:iCs w:val="1"/>
          <w:rtl w:val="0"/>
          <w:lang w:val="it-IT"/>
        </w:rPr>
        <w:t>E. coli ispA</w:t>
      </w:r>
      <w:r>
        <w:rPr>
          <w:rtl w:val="0"/>
          <w:lang w:val="en-US"/>
        </w:rPr>
        <w:t xml:space="preserve"> to generate new lycopene pathway constructs.</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Constructs:</w:t>
      </w:r>
    </w:p>
    <w:p>
      <w:pPr>
        <w:pStyle w:val="Body"/>
        <w:numPr>
          <w:ilvl w:val="0"/>
          <w:numId w:val="4"/>
        </w:numPr>
      </w:pPr>
      <w:r>
        <w:rPr>
          <w:rtl w:val="0"/>
        </w:rPr>
        <w:t xml:space="preserve">pLYC78: </w:t>
      </w:r>
      <w:r>
        <w:rPr>
          <w:i w:val="1"/>
          <w:iCs w:val="1"/>
          <w:rtl w:val="0"/>
          <w:lang w:val="it-IT"/>
        </w:rPr>
        <w:t>E. hormaechei ispA</w:t>
      </w:r>
      <w:r>
        <w:rPr>
          <w:rtl w:val="0"/>
          <w:lang w:val="en-US"/>
        </w:rPr>
        <w:t xml:space="preserve"> inserted via PCR </w:t>
      </w:r>
    </w:p>
    <w:p>
      <w:pPr>
        <w:pStyle w:val="Body"/>
        <w:numPr>
          <w:ilvl w:val="0"/>
          <w:numId w:val="4"/>
        </w:numPr>
      </w:pPr>
      <w:r>
        <w:rPr>
          <w:rtl w:val="0"/>
        </w:rPr>
        <w:t xml:space="preserve">pLYC79:  </w:t>
      </w:r>
      <w:r>
        <w:rPr>
          <w:i w:val="1"/>
          <w:iCs w:val="1"/>
          <w:rtl w:val="0"/>
          <w:lang w:val="it-IT"/>
        </w:rPr>
        <w:t>C.amalonaticus</w:t>
      </w:r>
      <w:r>
        <w:rPr>
          <w:rtl w:val="0"/>
        </w:rPr>
        <w:t xml:space="preserve"> </w:t>
      </w:r>
      <w:r>
        <w:rPr>
          <w:i w:val="1"/>
          <w:iCs w:val="1"/>
          <w:rtl w:val="0"/>
          <w:lang w:val="it-IT"/>
        </w:rPr>
        <w:t>ispA</w:t>
      </w:r>
      <w:r>
        <w:rPr>
          <w:rtl w:val="0"/>
          <w:lang w:val="en-US"/>
        </w:rPr>
        <w:t xml:space="preserve">, inserted via PCR </w:t>
      </w:r>
    </w:p>
    <w:p>
      <w:pPr>
        <w:pStyle w:val="Body"/>
        <w:numPr>
          <w:ilvl w:val="0"/>
          <w:numId w:val="4"/>
        </w:numPr>
      </w:pPr>
      <w:r>
        <w:rPr>
          <w:rtl w:val="0"/>
        </w:rPr>
        <w:t xml:space="preserve">pLYC80: </w:t>
      </w:r>
      <w:r>
        <w:rPr>
          <w:i w:val="1"/>
          <w:iCs w:val="1"/>
          <w:rtl w:val="0"/>
        </w:rPr>
        <w:t>S. enterica ispA</w:t>
      </w:r>
      <w:r>
        <w:rPr>
          <w:rtl w:val="0"/>
          <w:lang w:val="en-US"/>
        </w:rPr>
        <w:t xml:space="preserve">,  inserted via PCR </w:t>
      </w:r>
    </w:p>
    <w:p>
      <w:pPr>
        <w:pStyle w:val="Body"/>
        <w:numPr>
          <w:ilvl w:val="0"/>
          <w:numId w:val="4"/>
        </w:numPr>
        <w:rPr>
          <w:lang w:val="en-US"/>
        </w:rPr>
      </w:pPr>
      <w:r>
        <w:rPr>
          <w:rtl w:val="0"/>
          <w:lang w:val="en-US"/>
        </w:rPr>
        <w:t xml:space="preserve">pLYC81: codon-modified </w:t>
      </w:r>
      <w:r>
        <w:rPr>
          <w:i w:val="1"/>
          <w:iCs w:val="1"/>
          <w:rtl w:val="0"/>
        </w:rPr>
        <w:t xml:space="preserve">K. electrica ispA </w:t>
      </w:r>
      <w:r>
        <w:rPr>
          <w:rtl w:val="0"/>
          <w:lang w:val="en-US"/>
        </w:rPr>
        <w:t>gBlock</w:t>
      </w:r>
      <w:r>
        <w:rPr>
          <w:i w:val="1"/>
          <w:iCs w:val="1"/>
          <w:rtl w:val="0"/>
        </w:rPr>
        <w:t xml:space="preserve">, </w:t>
      </w:r>
      <w:r>
        <w:rPr>
          <w:rtl w:val="0"/>
          <w:lang w:val="en-US"/>
        </w:rPr>
        <w:t>inserted via Gibson Assembly</w:t>
      </w:r>
    </w:p>
    <w:p>
      <w:pPr>
        <w:pStyle w:val="Body"/>
      </w:pPr>
    </w:p>
    <w:p>
      <w:pPr>
        <w:pStyle w:val="Body"/>
      </w:pPr>
      <w:r>
        <w:rPr>
          <w:rtl w:val="0"/>
          <w:lang w:val="en-US"/>
        </w:rPr>
        <w:t>All constructs were assembled using Golden Gate and transformed into</w:t>
      </w:r>
      <w:r>
        <w:rPr>
          <w:i w:val="1"/>
          <w:iCs w:val="1"/>
          <w:rtl w:val="0"/>
          <w:lang w:val="it-IT"/>
        </w:rPr>
        <w:t xml:space="preserve"> E.coli</w:t>
      </w:r>
      <w:r>
        <w:rPr>
          <w:rtl w:val="0"/>
        </w:rPr>
        <w:t xml:space="preserve"> </w:t>
      </w:r>
      <w:r>
        <w:rPr>
          <w:i w:val="1"/>
          <w:iCs w:val="1"/>
          <w:rtl w:val="0"/>
          <w:lang w:val="de-DE"/>
        </w:rPr>
        <w:t>Mach1</w:t>
      </w:r>
      <w:r>
        <w:rPr>
          <w:rtl w:val="0"/>
          <w:lang w:val="en-US"/>
        </w:rPr>
        <w:t>. Resulting strains were tested for function based on colony pigmentation.</w:t>
      </w:r>
    </w:p>
    <w:p>
      <w:pPr>
        <w:pStyle w:val="Body"/>
        <w:rPr>
          <w:b w:val="1"/>
          <w:bCs w:val="1"/>
        </w:rPr>
      </w:pPr>
    </w:p>
    <w:p>
      <w:pPr>
        <w:pStyle w:val="Body"/>
        <w:rPr>
          <w:b w:val="1"/>
          <w:bCs w:val="1"/>
        </w:rPr>
      </w:pPr>
      <w:r>
        <w:rPr>
          <w:b w:val="1"/>
          <w:bCs w:val="1"/>
          <w:rtl w:val="0"/>
          <w:lang w:val="fr-FR"/>
        </w:rPr>
        <w:t>Assay:</w:t>
      </w:r>
    </w:p>
    <w:p>
      <w:pPr>
        <w:pStyle w:val="Body"/>
        <w:numPr>
          <w:ilvl w:val="0"/>
          <w:numId w:val="6"/>
        </w:numPr>
        <w:spacing w:before="240"/>
        <w:rPr>
          <w:lang w:val="en-US"/>
        </w:rPr>
      </w:pPr>
      <w:r>
        <w:rPr>
          <w:b w:val="1"/>
          <w:bCs w:val="1"/>
          <w:rtl w:val="0"/>
          <w:lang w:val="en-US"/>
        </w:rPr>
        <w:t>Transformation:</w:t>
      </w:r>
    </w:p>
    <w:p>
      <w:pPr>
        <w:pStyle w:val="Body"/>
        <w:numPr>
          <w:ilvl w:val="1"/>
          <w:numId w:val="8"/>
        </w:numPr>
        <w:rPr>
          <w:lang w:val="en-US"/>
        </w:rPr>
      </w:pPr>
      <w:r>
        <w:rPr>
          <w:rtl w:val="0"/>
          <w:lang w:val="en-US"/>
        </w:rPr>
        <w:t xml:space="preserve">The four ortholog minipreps were used to transform into </w:t>
      </w:r>
      <w:r>
        <w:rPr>
          <w:i w:val="1"/>
          <w:iCs w:val="1"/>
          <w:rtl w:val="0"/>
          <w:lang w:val="it-IT"/>
        </w:rPr>
        <w:t>E.coli</w:t>
      </w:r>
      <w:r>
        <w:rPr>
          <w:rtl w:val="0"/>
        </w:rPr>
        <w:t xml:space="preserve"> </w:t>
      </w:r>
      <w:r>
        <w:rPr>
          <w:i w:val="1"/>
          <w:iCs w:val="1"/>
          <w:rtl w:val="0"/>
          <w:lang w:val="de-DE"/>
        </w:rPr>
        <w:t xml:space="preserve">Mach1 </w:t>
      </w:r>
      <w:r>
        <w:rPr>
          <w:rtl w:val="0"/>
          <w:lang w:val="en-US"/>
        </w:rPr>
        <w:t>again to assess against a positive control, the pLYC7</w:t>
      </w:r>
      <w:r>
        <w:rPr>
          <w:rtl w:val="0"/>
          <w:lang w:val="en-US"/>
        </w:rPr>
        <w:t>2</w:t>
      </w:r>
      <w:r>
        <w:rPr>
          <w:rtl w:val="0"/>
          <w:lang w:val="en-US"/>
        </w:rPr>
        <w:t xml:space="preserve"> backbone, and negative control</w:t>
      </w:r>
      <w:r>
        <w:rPr>
          <w:rtl w:val="0"/>
          <w:lang w:val="en-US"/>
        </w:rPr>
        <w:t>,</w:t>
      </w:r>
      <w:r>
        <w:rPr>
          <w:rtl w:val="0"/>
          <w:lang w:val="en-US"/>
        </w:rPr>
        <w:t xml:space="preserve"> unmodified, wild-type </w:t>
      </w:r>
      <w:r>
        <w:rPr>
          <w:i w:val="1"/>
          <w:iCs w:val="1"/>
          <w:rtl w:val="0"/>
          <w:lang w:val="de-DE"/>
        </w:rPr>
        <w:t>Mach1</w:t>
      </w:r>
      <w:r>
        <w:rPr>
          <w:rtl w:val="0"/>
          <w:lang w:val="en-US"/>
        </w:rPr>
        <w:t xml:space="preserve"> cells</w:t>
      </w:r>
    </w:p>
    <w:p>
      <w:pPr>
        <w:pStyle w:val="Body"/>
        <w:numPr>
          <w:ilvl w:val="0"/>
          <w:numId w:val="6"/>
        </w:numPr>
        <w:rPr>
          <w:lang w:val="en-US"/>
        </w:rPr>
      </w:pPr>
      <w:r>
        <w:rPr>
          <w:b w:val="1"/>
          <w:bCs w:val="1"/>
          <w:rtl w:val="0"/>
          <w:lang w:val="en-US"/>
        </w:rPr>
        <w:t>Visual Screening of Lycopene Production:</w:t>
      </w:r>
    </w:p>
    <w:p>
      <w:pPr>
        <w:pStyle w:val="Body"/>
        <w:numPr>
          <w:ilvl w:val="1"/>
          <w:numId w:val="8"/>
        </w:numPr>
        <w:rPr>
          <w:lang w:val="en-US"/>
        </w:rPr>
      </w:pPr>
      <w:r>
        <w:rPr>
          <w:rtl w:val="0"/>
          <w:lang w:val="en-US"/>
        </w:rPr>
        <w:t>Plates to be incubated at 28</w:t>
      </w:r>
      <w:r>
        <w:rPr>
          <w:rtl w:val="0"/>
          <w:lang w:val="it-IT"/>
        </w:rPr>
        <w:t>°</w:t>
      </w:r>
      <w:r>
        <w:rPr>
          <w:rtl w:val="0"/>
          <w:lang w:val="en-US"/>
        </w:rPr>
        <w:t>C for 24 hours to allow lycopene accumulation.</w:t>
      </w:r>
    </w:p>
    <w:p>
      <w:pPr>
        <w:pStyle w:val="Body"/>
        <w:numPr>
          <w:ilvl w:val="1"/>
          <w:numId w:val="8"/>
        </w:numPr>
        <w:rPr>
          <w:lang w:val="en-US"/>
        </w:rPr>
      </w:pPr>
      <w:r>
        <w:rPr>
          <w:rtl w:val="0"/>
          <w:lang w:val="en-US"/>
        </w:rPr>
        <w:t>Observe against a white background under ambient light conditions.</w:t>
      </w:r>
    </w:p>
    <w:p>
      <w:pPr>
        <w:pStyle w:val="Body"/>
        <w:numPr>
          <w:ilvl w:val="1"/>
          <w:numId w:val="8"/>
        </w:numPr>
        <w:rPr>
          <w:lang w:val="en-US"/>
        </w:rPr>
      </w:pPr>
      <w:r>
        <w:rPr>
          <w:rtl w:val="0"/>
          <w:lang w:val="en-US"/>
        </w:rPr>
        <w:t xml:space="preserve">Red or deep pink pigmentation is an indicator of </w:t>
      </w:r>
      <w:r>
        <w:rPr>
          <w:i w:val="1"/>
          <w:iCs w:val="1"/>
          <w:rtl w:val="0"/>
          <w:lang w:val="it-IT"/>
        </w:rPr>
        <w:t>ispA</w:t>
      </w:r>
      <w:r>
        <w:rPr>
          <w:rtl w:val="0"/>
          <w:lang w:val="en-US"/>
        </w:rPr>
        <w:t>-mediated FPP synthesis and lycopene yield.</w:t>
      </w:r>
    </w:p>
    <w:p>
      <w:pPr>
        <w:pStyle w:val="Body"/>
        <w:numPr>
          <w:ilvl w:val="0"/>
          <w:numId w:val="6"/>
        </w:numPr>
        <w:rPr>
          <w:lang w:val="en-US"/>
        </w:rPr>
      </w:pPr>
      <w:r>
        <w:rPr>
          <w:b w:val="1"/>
          <w:bCs w:val="1"/>
          <w:rtl w:val="0"/>
          <w:lang w:val="en-US"/>
        </w:rPr>
        <w:t>Quantitative Lycopene Assay with Spectrophotometry:</w:t>
      </w:r>
    </w:p>
    <w:p>
      <w:pPr>
        <w:pStyle w:val="Body"/>
        <w:numPr>
          <w:ilvl w:val="1"/>
          <w:numId w:val="8"/>
        </w:numPr>
        <w:rPr>
          <w:lang w:val="en-US"/>
        </w:rPr>
      </w:pPr>
      <w:r>
        <w:rPr>
          <w:rtl w:val="0"/>
          <w:lang w:val="en-US"/>
        </w:rPr>
        <w:t xml:space="preserve">Overnight cultures </w:t>
      </w:r>
      <w:r>
        <w:rPr>
          <w:rtl w:val="0"/>
          <w:lang w:val="en-US"/>
        </w:rPr>
        <w:t xml:space="preserve">are </w:t>
      </w:r>
      <w:r>
        <w:rPr>
          <w:rtl w:val="0"/>
          <w:lang w:val="en-US"/>
        </w:rPr>
        <w:t>grown</w:t>
      </w:r>
      <w:r>
        <w:rPr>
          <w:rtl w:val="0"/>
          <w:lang w:val="en-US"/>
        </w:rPr>
        <w:t xml:space="preserve"> in</w:t>
      </w:r>
      <w:r>
        <w:rPr>
          <w:rtl w:val="0"/>
        </w:rPr>
        <w:t xml:space="preserve"> </w:t>
      </w:r>
      <w:r>
        <w:rPr>
          <w:rtl w:val="0"/>
          <w:lang w:val="en-US"/>
        </w:rPr>
        <w:t xml:space="preserve">2XYT </w:t>
      </w:r>
      <w:r>
        <w:rPr>
          <w:rtl w:val="0"/>
          <w:lang w:val="en-US"/>
        </w:rPr>
        <w:t xml:space="preserve">containing </w:t>
      </w:r>
      <w:r>
        <w:rPr>
          <w:rtl w:val="0"/>
          <w:lang w:val="en-US"/>
        </w:rPr>
        <w:t>ampicillin</w:t>
      </w:r>
    </w:p>
    <w:p>
      <w:pPr>
        <w:pStyle w:val="Body"/>
        <w:numPr>
          <w:ilvl w:val="1"/>
          <w:numId w:val="8"/>
        </w:numPr>
        <w:rPr>
          <w:lang w:val="de-DE"/>
        </w:rPr>
      </w:pPr>
      <w:r>
        <w:rPr>
          <w:rtl w:val="0"/>
          <w:lang w:val="de-DE"/>
        </w:rPr>
        <w:t>Cells</w:t>
      </w:r>
      <w:r>
        <w:rPr>
          <w:rtl w:val="0"/>
          <w:lang w:val="en-US"/>
        </w:rPr>
        <w:t xml:space="preserve"> are</w:t>
      </w:r>
      <w:r>
        <w:rPr>
          <w:rtl w:val="0"/>
          <w:lang w:val="en-US"/>
        </w:rPr>
        <w:t xml:space="preserve"> harvested by centrifugation, and lycopene </w:t>
      </w:r>
      <w:r>
        <w:rPr>
          <w:rtl w:val="0"/>
          <w:lang w:val="en-US"/>
        </w:rPr>
        <w:t>is</w:t>
      </w:r>
      <w:r>
        <w:rPr>
          <w:rtl w:val="0"/>
          <w:lang w:val="en-US"/>
        </w:rPr>
        <w:t xml:space="preserve"> extracted using an acetone:ethanol:hexane (1:1:2) mixture.</w:t>
      </w:r>
    </w:p>
    <w:p>
      <w:pPr>
        <w:pStyle w:val="Body"/>
        <w:numPr>
          <w:ilvl w:val="1"/>
          <w:numId w:val="8"/>
        </w:numPr>
        <w:rPr>
          <w:lang w:val="en-US"/>
        </w:rPr>
      </w:pPr>
      <w:r>
        <w:rPr>
          <w:rtl w:val="0"/>
          <w:lang w:val="en-US"/>
        </w:rPr>
        <w:t>After phase separation, collect the top hexane layer and measure at 472 nm using a spectrophotometer [3].</w:t>
      </w:r>
    </w:p>
    <w:p>
      <w:pPr>
        <w:pStyle w:val="Body"/>
        <w:numPr>
          <w:ilvl w:val="1"/>
          <w:numId w:val="8"/>
        </w:numPr>
        <w:rPr>
          <w:lang w:val="en-US"/>
        </w:rPr>
      </w:pPr>
      <w:r>
        <w:rPr>
          <w:rtl w:val="0"/>
          <w:lang w:val="en-US"/>
        </w:rPr>
        <w:t xml:space="preserve">Record OD600 measurements of each culture and normalize lycopene levels </w:t>
      </w:r>
    </w:p>
    <w:p>
      <w:pPr>
        <w:pStyle w:val="Body"/>
        <w:numPr>
          <w:ilvl w:val="0"/>
          <w:numId w:val="6"/>
        </w:numPr>
        <w:rPr>
          <w:lang w:val="en-US"/>
        </w:rPr>
      </w:pPr>
      <w:r>
        <w:rPr>
          <w:b w:val="1"/>
          <w:bCs w:val="1"/>
          <w:rtl w:val="0"/>
          <w:lang w:val="en-US"/>
        </w:rPr>
        <w:t>Data Analysis:</w:t>
      </w:r>
    </w:p>
    <w:p>
      <w:pPr>
        <w:pStyle w:val="Body"/>
        <w:numPr>
          <w:ilvl w:val="1"/>
          <w:numId w:val="8"/>
        </w:numPr>
        <w:rPr>
          <w:lang w:val="en-US"/>
        </w:rPr>
      </w:pPr>
      <w:r>
        <w:rPr>
          <w:rtl w:val="0"/>
          <w:lang w:val="en-US"/>
        </w:rPr>
        <w:t>Absorbance values and OD600 readings were used to calculate normalized lycopene output</w:t>
      </w:r>
    </w:p>
    <w:p>
      <w:pPr>
        <w:pStyle w:val="Body"/>
        <w:numPr>
          <w:ilvl w:val="1"/>
          <w:numId w:val="8"/>
        </w:numPr>
        <w:spacing w:after="240"/>
        <w:rPr>
          <w:lang w:val="en-US"/>
        </w:rPr>
      </w:pPr>
      <w:r>
        <w:rPr>
          <w:rtl w:val="0"/>
          <w:lang w:val="en-US"/>
        </w:rPr>
        <w:t xml:space="preserve">Compare across different </w:t>
      </w:r>
      <w:r>
        <w:rPr>
          <w:i w:val="1"/>
          <w:iCs w:val="1"/>
          <w:rtl w:val="0"/>
          <w:lang w:val="it-IT"/>
        </w:rPr>
        <w:t>ispA</w:t>
      </w:r>
      <w:r>
        <w:rPr>
          <w:rtl w:val="0"/>
          <w:lang w:val="en-US"/>
        </w:rPr>
        <w:t xml:space="preserve"> ortholog constructs.</w:t>
      </w:r>
    </w:p>
    <w:p>
      <w:pPr>
        <w:pStyle w:val="Body"/>
        <w:spacing w:before="240" w:after="240"/>
      </w:pPr>
      <w:r>
        <w:rPr>
          <w:b w:val="1"/>
          <w:bCs w:val="1"/>
          <w:rtl w:val="0"/>
          <w:lang w:val="en-US"/>
        </w:rPr>
        <w:t xml:space="preserve">Next Steps: </w:t>
      </w:r>
      <w:r>
        <w:rPr>
          <w:rtl w:val="0"/>
          <w:lang w:val="en-US"/>
        </w:rPr>
        <w:t>To interpret the results of lycopene production, variation likely reflects differences in enzyme efficiency, expression levels, or stability due to sequence divergence.To improve this ortholog scan for future experiments, more evolutionary diverse orthologs can be picked from different bacterial families</w:t>
      </w:r>
      <w:r>
        <w:rPr>
          <w:rtl w:val="0"/>
          <w:lang w:val="en-US"/>
        </w:rPr>
        <w:t xml:space="preserve"> to express a larger manifold, using a </w:t>
      </w:r>
      <w:r>
        <w:rPr>
          <w:rtl w:val="0"/>
          <w:lang w:val="en-US"/>
        </w:rPr>
        <w:t>lower sequence identity hit</w:t>
      </w:r>
      <w:r>
        <w:rPr>
          <w:rtl w:val="0"/>
          <w:lang w:val="en-US"/>
        </w:rPr>
        <w:t xml:space="preserve"> threshold. </w:t>
      </w:r>
    </w:p>
    <w:p>
      <w:pPr>
        <w:pStyle w:val="Body"/>
        <w:spacing w:before="240" w:after="240"/>
        <w:rPr>
          <w:b w:val="1"/>
          <w:bCs w:val="1"/>
        </w:rPr>
      </w:pPr>
      <w:r>
        <w:rPr>
          <w:b w:val="1"/>
          <w:bCs w:val="1"/>
          <w:rtl w:val="0"/>
          <w:lang w:val="fr-FR"/>
        </w:rPr>
        <w:t>References:</w:t>
      </w:r>
    </w:p>
    <w:p>
      <w:pPr>
        <w:pStyle w:val="Body"/>
        <w:numPr>
          <w:ilvl w:val="0"/>
          <w:numId w:val="10"/>
        </w:numPr>
        <w:spacing w:before="240"/>
        <w:rPr>
          <w:lang w:val="en-US"/>
        </w:rPr>
      </w:pPr>
      <w:r>
        <w:rPr>
          <w:rtl w:val="0"/>
          <w:lang w:val="en-US"/>
        </w:rPr>
        <w:t xml:space="preserve">Fujisaki, S., et al. (1990). Farnesyl diphosphate synthase: the key enzyme for isoprenoid biosynthesis. </w:t>
      </w:r>
      <w:r>
        <w:rPr>
          <w:i w:val="1"/>
          <w:iCs w:val="1"/>
          <w:rtl w:val="0"/>
          <w:lang w:val="it-IT"/>
        </w:rPr>
        <w:t>J Biochem</w:t>
      </w:r>
      <w:r>
        <w:rPr>
          <w:rtl w:val="0"/>
        </w:rPr>
        <w:t>, 108(6), 995</w:t>
      </w:r>
      <w:r>
        <w:rPr>
          <w:rtl w:val="0"/>
        </w:rPr>
        <w:t>–</w:t>
      </w:r>
      <w:r>
        <w:rPr>
          <w:rtl w:val="0"/>
        </w:rPr>
        <w:t>1000.</w:t>
      </w:r>
    </w:p>
    <w:p>
      <w:pPr>
        <w:pStyle w:val="Body"/>
        <w:numPr>
          <w:ilvl w:val="0"/>
          <w:numId w:val="10"/>
        </w:numPr>
        <w:rPr>
          <w:lang w:val="en-US"/>
        </w:rPr>
      </w:pPr>
      <w:r>
        <w:rPr>
          <w:rtl w:val="0"/>
          <w:lang w:val="en-US"/>
        </w:rPr>
        <w:t xml:space="preserve">Rohmer, M. (1999). The discovery of a mevalonate-independent pathway for isoprenoid biosynthesis in bacteria, algae and higher plants. </w:t>
      </w:r>
      <w:r>
        <w:rPr>
          <w:i w:val="1"/>
          <w:iCs w:val="1"/>
          <w:rtl w:val="0"/>
        </w:rPr>
        <w:t>Nat Prod Rep</w:t>
      </w:r>
      <w:r>
        <w:rPr>
          <w:rtl w:val="0"/>
        </w:rPr>
        <w:t>, 16(5), 565</w:t>
      </w:r>
      <w:r>
        <w:rPr>
          <w:rtl w:val="0"/>
        </w:rPr>
        <w:t>–</w:t>
      </w:r>
      <w:r>
        <w:rPr>
          <w:rtl w:val="0"/>
        </w:rPr>
        <w:t>574.</w:t>
      </w:r>
    </w:p>
    <w:p>
      <w:pPr>
        <w:pStyle w:val="Body"/>
        <w:numPr>
          <w:ilvl w:val="0"/>
          <w:numId w:val="10"/>
        </w:numPr>
        <w:spacing w:after="240"/>
        <w:rPr>
          <w:lang w:val="en-US"/>
        </w:rPr>
      </w:pPr>
      <w:r>
        <w:rPr>
          <w:rtl w:val="0"/>
          <w:lang w:val="en-US"/>
        </w:rPr>
        <w:t xml:space="preserve">Kim, S.W., et al. (2016). Lycopene production via metabolically engineered </w:t>
      </w:r>
      <w:r>
        <w:rPr>
          <w:i w:val="1"/>
          <w:iCs w:val="1"/>
          <w:rtl w:val="0"/>
          <w:lang w:val="it-IT"/>
        </w:rPr>
        <w:t>E. coli</w:t>
      </w:r>
      <w:r>
        <w:rPr>
          <w:rtl w:val="0"/>
          <w:lang w:val="en-US"/>
        </w:rPr>
        <w:t xml:space="preserve"> using the MVA pathway. </w:t>
      </w:r>
      <w:r>
        <w:rPr>
          <w:i w:val="1"/>
          <w:iCs w:val="1"/>
          <w:rtl w:val="0"/>
        </w:rPr>
        <w:t>Biotechnol Bioeng</w:t>
      </w:r>
      <w:r>
        <w:rPr>
          <w:rtl w:val="0"/>
        </w:rPr>
        <w:t>, 113(9), 2103</w:t>
      </w:r>
      <w:r>
        <w:rPr>
          <w:rtl w:val="0"/>
        </w:rPr>
        <w:t>–</w:t>
      </w:r>
      <w:r>
        <w:rPr>
          <w:rtl w:val="0"/>
        </w:rPr>
        <w:t>2112.</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0"/>
  </w:abstractNum>
  <w:abstractNum w:abstractNumId="7">
    <w:multiLevelType w:val="hybridMultilevel"/>
    <w:styleLink w:val="Imported Style 3.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3.0">
    <w:name w:val="Imported Style 3.0"/>
    <w:pPr>
      <w:numPr>
        <w:numId w:val="7"/>
      </w:numPr>
    </w:pPr>
  </w:style>
  <w:style w:type="numbering" w:styleId="Imported Style 4">
    <w:name w:val="Imported Style 4"/>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