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Film Studio User Manual</w:t>
      </w:r>
    </w:p>
    <w:p>
      <w:r>
        <w:t>Project preparation, document uploads, casting, production, and delivery</w:t>
      </w:r>
    </w:p>
    <w:p>
      <w:r>
        <w:t>Edition 1 • 6 September 2026 • Based on the current local application</w:t>
      </w:r>
    </w:p>
    <w:p>
      <w:pPr>
        <w:pStyle w:val="Heading2"/>
      </w:pPr>
      <w:r>
        <w:t>Start with three files</w:t>
      </w:r>
    </w:p>
    <w:p>
      <w:r>
        <w:t>For a character-led film, prepare a readable screenplay, a categorized master cast JSON, and a structured Word character bible. These form the recommended production pack. Only the screenplay is necessary to begin writing and scene planning; the other two make cast preparation much more reliable.</w:t>
      </w:r>
    </w:p>
    <w:p>
      <w:r>
        <w:t>You do not need every optional document in this manual before starting. Add the documents that answer a real creative or production question for your film. Uploading a plan does not generate footage, approve a physical look, select a voice, or guarantee a successful render.</w:t>
      </w:r>
    </w:p>
    <w:p>
      <w:pPr>
        <w:pStyle w:val="Heading2"/>
      </w:pPr>
      <w:r>
        <w:t>The working sequence</w:t>
      </w:r>
    </w:p>
    <w:p>
      <w:r>
        <w:t>Create the project → Upload screenplay → Import cast list → Import character bible → Review identities → Add project guidance → Approve looks and voices → Storyboard and Previs → Render and select takes → Assemble → Screen, approve, and export.</w:t>
      </w:r>
    </w:p>
    <w:p>
      <w:pPr>
        <w:pStyle w:val="Heading2"/>
      </w:pPr>
      <w:r>
        <w:t>Inside this manual</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t>Page</w:t>
            </w:r>
          </w:p>
        </w:tc>
        <w:tc>
          <w:tcPr>
            <w:tcW w:type="dxa" w:w="5040"/>
          </w:tcPr>
          <w:p>
            <w:r>
              <w:t>Topic</w:t>
            </w:r>
          </w:p>
        </w:tc>
      </w:tr>
      <w:tr>
        <w:trPr>
          <w:cantSplit/>
        </w:trPr>
        <w:tc>
          <w:tcPr>
            <w:tcW w:type="dxa" w:w="5040"/>
          </w:tcPr>
          <w:p>
            <w:pPr>
              <w:spacing w:after="80"/>
            </w:pPr>
            <w:r>
              <w:rPr>
                <w:sz w:val="19"/>
              </w:rPr>
              <w:t>2</w:t>
            </w:r>
          </w:p>
        </w:tc>
        <w:tc>
          <w:tcPr>
            <w:tcW w:type="dxa" w:w="5040"/>
          </w:tcPr>
          <w:p>
            <w:pPr>
              <w:spacing w:after="80"/>
            </w:pPr>
            <w:r>
              <w:rPr>
                <w:sz w:val="19"/>
              </w:rPr>
              <w:t>Quick start and readiness checks</w:t>
            </w:r>
          </w:p>
        </w:tc>
      </w:tr>
      <w:tr>
        <w:trPr>
          <w:cantSplit/>
        </w:trPr>
        <w:tc>
          <w:tcPr>
            <w:tcW w:type="dxa" w:w="5040"/>
          </w:tcPr>
          <w:p>
            <w:pPr>
              <w:spacing w:after="80"/>
            </w:pPr>
            <w:r>
              <w:rPr>
                <w:sz w:val="19"/>
              </w:rPr>
              <w:t>3</w:t>
            </w:r>
          </w:p>
        </w:tc>
        <w:tc>
          <w:tcPr>
            <w:tcW w:type="dxa" w:w="5040"/>
          </w:tcPr>
          <w:p>
            <w:pPr>
              <w:spacing w:after="80"/>
            </w:pPr>
            <w:r>
              <w:rPr>
                <w:sz w:val="19"/>
              </w:rPr>
              <w:t>Upload destinations and accepted formats</w:t>
            </w:r>
          </w:p>
        </w:tc>
      </w:tr>
      <w:tr>
        <w:trPr>
          <w:cantSplit/>
        </w:trPr>
        <w:tc>
          <w:tcPr>
            <w:tcW w:type="dxa" w:w="5040"/>
          </w:tcPr>
          <w:p>
            <w:pPr>
              <w:spacing w:after="80"/>
            </w:pPr>
            <w:r>
              <w:rPr>
                <w:sz w:val="19"/>
              </w:rPr>
              <w:t>4</w:t>
            </w:r>
          </w:p>
        </w:tc>
        <w:tc>
          <w:tcPr>
            <w:tcW w:type="dxa" w:w="5040"/>
          </w:tcPr>
          <w:p>
            <w:pPr>
              <w:spacing w:after="80"/>
            </w:pPr>
            <w:r>
              <w:rPr>
                <w:sz w:val="19"/>
              </w:rPr>
              <w:t>Master cast JSON</w:t>
            </w:r>
          </w:p>
        </w:tc>
      </w:tr>
      <w:tr>
        <w:trPr>
          <w:cantSplit/>
        </w:trPr>
        <w:tc>
          <w:tcPr>
            <w:tcW w:type="dxa" w:w="5040"/>
          </w:tcPr>
          <w:p>
            <w:pPr>
              <w:spacing w:after="80"/>
            </w:pPr>
            <w:r>
              <w:rPr>
                <w:sz w:val="19"/>
              </w:rPr>
              <w:t>5</w:t>
            </w:r>
          </w:p>
        </w:tc>
        <w:tc>
          <w:tcPr>
            <w:tcW w:type="dxa" w:w="5040"/>
          </w:tcPr>
          <w:p>
            <w:pPr>
              <w:spacing w:after="80"/>
            </w:pPr>
            <w:r>
              <w:rPr>
                <w:sz w:val="19"/>
              </w:rPr>
              <w:t>Word character bible</w:t>
            </w:r>
          </w:p>
        </w:tc>
      </w:tr>
      <w:tr>
        <w:trPr>
          <w:cantSplit/>
        </w:trPr>
        <w:tc>
          <w:tcPr>
            <w:tcW w:type="dxa" w:w="5040"/>
          </w:tcPr>
          <w:p>
            <w:pPr>
              <w:spacing w:after="80"/>
            </w:pPr>
            <w:r>
              <w:rPr>
                <w:sz w:val="19"/>
              </w:rPr>
              <w:t>6</w:t>
            </w:r>
          </w:p>
        </w:tc>
        <w:tc>
          <w:tcPr>
            <w:tcW w:type="dxa" w:w="5040"/>
          </w:tcPr>
          <w:p>
            <w:pPr>
              <w:spacing w:after="80"/>
            </w:pPr>
            <w:r>
              <w:rPr>
                <w:sz w:val="19"/>
              </w:rPr>
              <w:t>Story and visual guidance</w:t>
            </w:r>
          </w:p>
        </w:tc>
      </w:tr>
      <w:tr>
        <w:trPr>
          <w:cantSplit/>
        </w:trPr>
        <w:tc>
          <w:tcPr>
            <w:tcW w:type="dxa" w:w="5040"/>
          </w:tcPr>
          <w:p>
            <w:pPr>
              <w:spacing w:after="80"/>
            </w:pPr>
            <w:r>
              <w:rPr>
                <w:sz w:val="19"/>
              </w:rPr>
              <w:t>7</w:t>
            </w:r>
          </w:p>
        </w:tc>
        <w:tc>
          <w:tcPr>
            <w:tcW w:type="dxa" w:w="5040"/>
          </w:tcPr>
          <w:p>
            <w:pPr>
              <w:spacing w:after="80"/>
            </w:pPr>
            <w:r>
              <w:rPr>
                <w:sz w:val="19"/>
              </w:rPr>
              <w:t>Continuity, locations, wardrobe, props, and timeline</w:t>
            </w:r>
          </w:p>
        </w:tc>
      </w:tr>
      <w:tr>
        <w:trPr>
          <w:cantSplit/>
        </w:trPr>
        <w:tc>
          <w:tcPr>
            <w:tcW w:type="dxa" w:w="5040"/>
          </w:tcPr>
          <w:p>
            <w:pPr>
              <w:spacing w:after="80"/>
            </w:pPr>
            <w:r>
              <w:rPr>
                <w:sz w:val="19"/>
              </w:rPr>
              <w:t>8</w:t>
            </w:r>
          </w:p>
        </w:tc>
        <w:tc>
          <w:tcPr>
            <w:tcW w:type="dxa" w:w="5040"/>
          </w:tcPr>
          <w:p>
            <w:pPr>
              <w:spacing w:after="80"/>
            </w:pPr>
            <w:r>
              <w:rPr>
                <w:sz w:val="19"/>
              </w:rPr>
              <w:t>Casting references, voice, and sound</w:t>
            </w:r>
          </w:p>
        </w:tc>
      </w:tr>
      <w:tr>
        <w:trPr>
          <w:cantSplit/>
        </w:trPr>
        <w:tc>
          <w:tcPr>
            <w:tcW w:type="dxa" w:w="5040"/>
          </w:tcPr>
          <w:p>
            <w:pPr>
              <w:spacing w:after="80"/>
            </w:pPr>
            <w:r>
              <w:rPr>
                <w:sz w:val="19"/>
              </w:rPr>
              <w:t>9</w:t>
            </w:r>
          </w:p>
        </w:tc>
        <w:tc>
          <w:tcPr>
            <w:tcW w:type="dxa" w:w="5040"/>
          </w:tcPr>
          <w:p>
            <w:pPr>
              <w:spacing w:after="80"/>
            </w:pPr>
            <w:r>
              <w:rPr>
                <w:sz w:val="19"/>
              </w:rPr>
              <w:t>Storyboards, Previs, and rendering</w:t>
            </w:r>
          </w:p>
        </w:tc>
      </w:tr>
      <w:tr>
        <w:trPr>
          <w:cantSplit/>
        </w:trPr>
        <w:tc>
          <w:tcPr>
            <w:tcW w:type="dxa" w:w="5040"/>
          </w:tcPr>
          <w:p>
            <w:pPr>
              <w:spacing w:after="80"/>
            </w:pPr>
            <w:r>
              <w:rPr>
                <w:sz w:val="19"/>
              </w:rPr>
              <w:t>10</w:t>
            </w:r>
          </w:p>
        </w:tc>
        <w:tc>
          <w:tcPr>
            <w:tcW w:type="dxa" w:w="5040"/>
          </w:tcPr>
          <w:p>
            <w:pPr>
              <w:spacing w:after="80"/>
            </w:pPr>
            <w:r>
              <w:rPr>
                <w:sz w:val="19"/>
              </w:rPr>
              <w:t>Screening, final delivery, and records</w:t>
            </w:r>
          </w:p>
        </w:tc>
      </w:tr>
      <w:tr>
        <w:trPr>
          <w:cantSplit/>
        </w:trPr>
        <w:tc>
          <w:tcPr>
            <w:tcW w:type="dxa" w:w="5040"/>
          </w:tcPr>
          <w:p>
            <w:pPr>
              <w:spacing w:after="80"/>
            </w:pPr>
            <w:r>
              <w:rPr>
                <w:sz w:val="19"/>
              </w:rPr>
              <w:t>11</w:t>
            </w:r>
          </w:p>
        </w:tc>
        <w:tc>
          <w:tcPr>
            <w:tcW w:type="dxa" w:w="5040"/>
          </w:tcPr>
          <w:p>
            <w:pPr>
              <w:spacing w:after="80"/>
            </w:pPr>
            <w:r>
              <w:rPr>
                <w:sz w:val="19"/>
              </w:rPr>
              <w:t>Revisions and troubleshooting</w:t>
            </w:r>
          </w:p>
        </w:tc>
      </w:tr>
      <w:tr>
        <w:trPr>
          <w:cantSplit/>
        </w:trPr>
        <w:tc>
          <w:tcPr>
            <w:tcW w:type="dxa" w:w="5040"/>
          </w:tcPr>
          <w:p>
            <w:pPr>
              <w:spacing w:after="80"/>
            </w:pPr>
            <w:r>
              <w:rPr>
                <w:sz w:val="19"/>
              </w:rPr>
              <w:t>12</w:t>
            </w:r>
          </w:p>
        </w:tc>
        <w:tc>
          <w:tcPr>
            <w:tcW w:type="dxa" w:w="5040"/>
          </w:tcPr>
          <w:p>
            <w:pPr>
              <w:spacing w:after="80"/>
            </w:pPr>
            <w:r>
              <w:rPr>
                <w:sz w:val="19"/>
              </w:rPr>
              <w:t>Reusable project folder and template index</w:t>
            </w:r>
          </w:p>
        </w:tc>
      </w:tr>
    </w:tbl>
    <w:p>
      <w:r>
        <w:br w:type="page"/>
      </w:r>
    </w:p>
    <w:p>
      <w:pPr>
        <w:pStyle w:val="Heading1"/>
      </w:pPr>
      <w:r>
        <w:t>Quick start for each project</w:t>
      </w:r>
    </w:p>
    <w:p>
      <w:r>
        <w:t>1. Create or select the correct project. Confirm the title before importing anything; your JSON project value must match it.</w:t>
      </w:r>
    </w:p>
    <w:p>
      <w:r>
        <w:t>2. In The Page, upload a UTF-8 TXT or Fountain screenplay, or paste readable screenplay text. Save it and inspect the scene list.</w:t>
      </w:r>
    </w:p>
    <w:p>
      <w:r>
        <w:t>3. Open Character Profiles. Use Upload character bible or profile to import the master cast JSON first, then the Word character bible. Wait for each import to finish.</w:t>
      </w:r>
    </w:p>
    <w:p>
      <w:r>
        <w:t>4. Review the profiles and Cast documents and reference planning panel. Check the first and last named characters, minor roles, background groups, archival entries, aliases, and source conflicts.</w:t>
      </w:r>
    </w:p>
    <w:p>
      <w:r>
        <w:t>5. If the script has changed or cast is missing, use Refresh cast from full script. Review the result; this action can add profiles and reconcile names.</w:t>
      </w:r>
    </w:p>
    <w:p>
      <w:r>
        <w:t>6. In The Study → Bibles, add optional project guidance as Markdown. Use The Study → References for research or reference media.</w:t>
      </w:r>
    </w:p>
    <w:p>
      <w:r>
        <w:t>7. Proceed to Lock character looks. Upload or generate the needed face/body references, review them, then approve each required look. Select and confirm voices where dialogue is required.</w:t>
      </w:r>
    </w:p>
    <w:p>
      <w:r>
        <w:t>8. Build and approve a small test scene through Previs and Screening before committing to the whole film.</w:t>
      </w:r>
    </w:p>
    <w:p>
      <w:pPr>
        <w:pStyle w:val="Heading2"/>
      </w:pPr>
      <w:r>
        <w:t>Ready to start storyboarding</w:t>
      </w:r>
    </w:p>
    <w:p>
      <w:pPr>
        <w:pStyle w:val="ListBullet"/>
      </w:pPr>
      <w:r>
        <w:t>The script is readable and scenes are in the intended order.</w:t>
      </w:r>
    </w:p>
    <w:p>
      <w:pPr>
        <w:pStyle w:val="ListBullet"/>
      </w:pPr>
      <w:r>
        <w:t>Each main character has one intended identity; ambiguous aliases are reviewed.</w:t>
      </w:r>
    </w:p>
    <w:p>
      <w:pPr>
        <w:pStyle w:val="ListBullet"/>
      </w:pPr>
      <w:r>
        <w:t>Appearance recommendations and story facts are distinguishable.</w:t>
      </w:r>
    </w:p>
    <w:p>
      <w:pPr>
        <w:pStyle w:val="ListBullet"/>
      </w:pPr>
      <w:r>
        <w:t>Current scene ages, wardrobe, injuries, and props are clear.</w:t>
      </w:r>
    </w:p>
    <w:p>
      <w:pPr>
        <w:pStyle w:val="ListBullet"/>
      </w:pPr>
      <w:r>
        <w:t>The required looks are approved; voice assignments are deliberate.</w:t>
      </w:r>
    </w:p>
    <w:p>
      <w:pPr>
        <w:pStyle w:val="ListBullet"/>
      </w:pPr>
      <w:r>
        <w:t>A provider is available for your chosen generation mode. Check the app’s current status and available settings.</w:t>
      </w:r>
    </w:p>
    <w:p>
      <w:r>
        <w:t>SIX example: the master cast list sets the roster and casting categories. The Word bible supplies richer creative detail. A difference such as Rayford’s archival status remains a review item until you decide which source governs that use.</w:t>
      </w:r>
    </w:p>
    <w:p>
      <w:r>
        <w:br w:type="page"/>
      </w:r>
    </w:p>
    <w:p>
      <w:pPr>
        <w:pStyle w:val="Heading1"/>
      </w:pPr>
      <w:r>
        <w:t>Where each upload belongs</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t>Material</w:t>
            </w:r>
          </w:p>
        </w:tc>
        <w:tc>
          <w:tcPr>
            <w:tcW w:type="dxa" w:w="3360"/>
          </w:tcPr>
          <w:p>
            <w:r>
              <w:t>Status</w:t>
            </w:r>
          </w:p>
        </w:tc>
        <w:tc>
          <w:tcPr>
            <w:tcW w:type="dxa" w:w="3360"/>
          </w:tcPr>
          <w:p>
            <w:r>
              <w:t>Destination and format</w:t>
            </w:r>
          </w:p>
        </w:tc>
      </w:tr>
      <w:tr>
        <w:trPr>
          <w:cantSplit/>
        </w:trPr>
        <w:tc>
          <w:tcPr>
            <w:tcW w:type="dxa" w:w="3360"/>
          </w:tcPr>
          <w:p>
            <w:pPr>
              <w:spacing w:after="80"/>
            </w:pPr>
            <w:r>
              <w:rPr>
                <w:sz w:val="19"/>
              </w:rPr>
              <w:t>Screenplay</w:t>
            </w:r>
          </w:p>
        </w:tc>
        <w:tc>
          <w:tcPr>
            <w:tcW w:type="dxa" w:w="3360"/>
          </w:tcPr>
          <w:p>
            <w:pPr>
              <w:spacing w:after="80"/>
            </w:pPr>
            <w:r>
              <w:rPr>
                <w:sz w:val="19"/>
              </w:rPr>
              <w:t>Core</w:t>
            </w:r>
          </w:p>
        </w:tc>
        <w:tc>
          <w:tcPr>
            <w:tcW w:type="dxa" w:w="3360"/>
          </w:tcPr>
          <w:p>
            <w:pPr>
              <w:spacing w:after="80"/>
            </w:pPr>
            <w:r>
              <w:rPr>
                <w:sz w:val="19"/>
              </w:rPr>
              <w:t>The Page: TXT or Fountain, or paste text. Use a readable text export for the most dependable path.</w:t>
            </w:r>
          </w:p>
        </w:tc>
      </w:tr>
      <w:tr>
        <w:trPr>
          <w:cantSplit/>
        </w:trPr>
        <w:tc>
          <w:tcPr>
            <w:tcW w:type="dxa" w:w="3360"/>
          </w:tcPr>
          <w:p>
            <w:pPr>
              <w:spacing w:after="80"/>
            </w:pPr>
            <w:r>
              <w:rPr>
                <w:sz w:val="19"/>
              </w:rPr>
              <w:t>Master cast list</w:t>
            </w:r>
          </w:p>
        </w:tc>
        <w:tc>
          <w:tcPr>
            <w:tcW w:type="dxa" w:w="3360"/>
          </w:tcPr>
          <w:p>
            <w:pPr>
              <w:spacing w:after="80"/>
            </w:pPr>
            <w:r>
              <w:rPr>
                <w:sz w:val="19"/>
              </w:rPr>
              <w:t>Core pack</w:t>
            </w:r>
          </w:p>
        </w:tc>
        <w:tc>
          <w:tcPr>
            <w:tcW w:type="dxa" w:w="3360"/>
          </w:tcPr>
          <w:p>
            <w:pPr>
              <w:spacing w:after="80"/>
            </w:pPr>
            <w:r>
              <w:rPr>
                <w:sz w:val="19"/>
              </w:rPr>
              <w:t>The Page → Character Profiles: categorized JSON. Up to 2 MB per file.</w:t>
            </w:r>
          </w:p>
        </w:tc>
      </w:tr>
      <w:tr>
        <w:trPr>
          <w:cantSplit/>
        </w:trPr>
        <w:tc>
          <w:tcPr>
            <w:tcW w:type="dxa" w:w="3360"/>
          </w:tcPr>
          <w:p>
            <w:pPr>
              <w:spacing w:after="80"/>
            </w:pPr>
            <w:r>
              <w:rPr>
                <w:sz w:val="19"/>
              </w:rPr>
              <w:t>Full character bible</w:t>
            </w:r>
          </w:p>
        </w:tc>
        <w:tc>
          <w:tcPr>
            <w:tcW w:type="dxa" w:w="3360"/>
          </w:tcPr>
          <w:p>
            <w:pPr>
              <w:spacing w:after="80"/>
            </w:pPr>
            <w:r>
              <w:rPr>
                <w:sz w:val="19"/>
              </w:rPr>
              <w:t>Core pack</w:t>
            </w:r>
          </w:p>
        </w:tc>
        <w:tc>
          <w:tcPr>
            <w:tcW w:type="dxa" w:w="3360"/>
          </w:tcPr>
          <w:p>
            <w:pPr>
              <w:spacing w:after="80"/>
            </w:pPr>
            <w:r>
              <w:rPr>
                <w:sz w:val="19"/>
              </w:rPr>
              <w:t>Same profile upload: DOCX with Word headings and the labels on page 5. Up to 2 MB.</w:t>
            </w:r>
          </w:p>
        </w:tc>
      </w:tr>
      <w:tr>
        <w:trPr>
          <w:cantSplit/>
        </w:trPr>
        <w:tc>
          <w:tcPr>
            <w:tcW w:type="dxa" w:w="3360"/>
          </w:tcPr>
          <w:p>
            <w:pPr>
              <w:spacing w:after="80"/>
            </w:pPr>
            <w:r>
              <w:rPr>
                <w:sz w:val="19"/>
              </w:rPr>
              <w:t>Story, visual, tone, production rules</w:t>
            </w:r>
          </w:p>
        </w:tc>
        <w:tc>
          <w:tcPr>
            <w:tcW w:type="dxa" w:w="3360"/>
          </w:tcPr>
          <w:p>
            <w:pPr>
              <w:spacing w:after="80"/>
            </w:pPr>
            <w:r>
              <w:rPr>
                <w:sz w:val="19"/>
              </w:rPr>
              <w:t>Recommended as needed</w:t>
            </w:r>
          </w:p>
        </w:tc>
        <w:tc>
          <w:tcPr>
            <w:tcW w:type="dxa" w:w="3360"/>
          </w:tcPr>
          <w:p>
            <w:pPr>
              <w:spacing w:after="80"/>
            </w:pPr>
            <w:r>
              <w:rPr>
                <w:sz w:val="19"/>
              </w:rPr>
              <w:t>The Study → Bibles: UTF-8 .md or .markdown; choose the relevant Bible type. You can also paste content.</w:t>
            </w:r>
          </w:p>
        </w:tc>
      </w:tr>
      <w:tr>
        <w:trPr>
          <w:cantSplit/>
        </w:trPr>
        <w:tc>
          <w:tcPr>
            <w:tcW w:type="dxa" w:w="3360"/>
          </w:tcPr>
          <w:p>
            <w:pPr>
              <w:spacing w:after="80"/>
            </w:pPr>
            <w:r>
              <w:rPr>
                <w:sz w:val="19"/>
              </w:rPr>
              <w:t>Face and full-body references</w:t>
            </w:r>
          </w:p>
        </w:tc>
        <w:tc>
          <w:tcPr>
            <w:tcW w:type="dxa" w:w="3360"/>
          </w:tcPr>
          <w:p>
            <w:pPr>
              <w:spacing w:after="80"/>
            </w:pPr>
            <w:r>
              <w:rPr>
                <w:sz w:val="19"/>
              </w:rPr>
              <w:t>Before look approval</w:t>
            </w:r>
          </w:p>
        </w:tc>
        <w:tc>
          <w:tcPr>
            <w:tcW w:type="dxa" w:w="3360"/>
          </w:tcPr>
          <w:p>
            <w:pPr>
              <w:spacing w:after="80"/>
            </w:pPr>
            <w:r>
              <w:rPr>
                <w:sz w:val="19"/>
              </w:rPr>
              <w:t>The Page → Lock character looks: JPEG, PNG, or WebP; up to 10 MB per image.</w:t>
            </w:r>
          </w:p>
        </w:tc>
      </w:tr>
      <w:tr>
        <w:trPr>
          <w:cantSplit/>
        </w:trPr>
        <w:tc>
          <w:tcPr>
            <w:tcW w:type="dxa" w:w="3360"/>
          </w:tcPr>
          <w:p>
            <w:pPr>
              <w:spacing w:after="80"/>
            </w:pPr>
            <w:r>
              <w:rPr>
                <w:sz w:val="19"/>
              </w:rPr>
              <w:t>Reference films, text, sound</w:t>
            </w:r>
          </w:p>
        </w:tc>
        <w:tc>
          <w:tcPr>
            <w:tcW w:type="dxa" w:w="3360"/>
          </w:tcPr>
          <w:p>
            <w:pPr>
              <w:spacing w:after="80"/>
            </w:pPr>
            <w:r>
              <w:rPr>
                <w:sz w:val="19"/>
              </w:rPr>
              <w:t>Optional</w:t>
            </w:r>
          </w:p>
        </w:tc>
        <w:tc>
          <w:tcPr>
            <w:tcW w:type="dxa" w:w="3360"/>
          </w:tcPr>
          <w:p>
            <w:pPr>
              <w:spacing w:after="80"/>
            </w:pPr>
            <w:r>
              <w:rPr>
                <w:sz w:val="19"/>
              </w:rPr>
              <w:t>The Study → References: PDF, TXT, FDX, MD, MARKDOWN, MP4, MOV, MP3, WAV; or study a film title.</w:t>
            </w:r>
          </w:p>
        </w:tc>
      </w:tr>
      <w:tr>
        <w:trPr>
          <w:cantSplit/>
        </w:trPr>
        <w:tc>
          <w:tcPr>
            <w:tcW w:type="dxa" w:w="3360"/>
          </w:tcPr>
          <w:p>
            <w:pPr>
              <w:spacing w:after="80"/>
            </w:pPr>
            <w:r>
              <w:rPr>
                <w:sz w:val="19"/>
              </w:rPr>
              <w:t>Background groups and archive notes</w:t>
            </w:r>
          </w:p>
        </w:tc>
        <w:tc>
          <w:tcPr>
            <w:tcW w:type="dxa" w:w="3360"/>
          </w:tcPr>
          <w:p>
            <w:pPr>
              <w:spacing w:after="80"/>
            </w:pPr>
            <w:r>
              <w:rPr>
                <w:sz w:val="19"/>
              </w:rPr>
              <w:t>When applicable</w:t>
            </w:r>
          </w:p>
        </w:tc>
        <w:tc>
          <w:tcPr>
            <w:tcW w:type="dxa" w:w="3360"/>
          </w:tcPr>
          <w:p>
            <w:pPr>
              <w:spacing w:after="80"/>
            </w:pPr>
            <w:r>
              <w:rPr>
                <w:sz w:val="19"/>
              </w:rPr>
              <w:t>Include them in the master cast JSON. Review in Cast documents and reference planning.</w:t>
            </w:r>
          </w:p>
        </w:tc>
      </w:tr>
      <w:tr>
        <w:trPr>
          <w:cantSplit/>
        </w:trPr>
        <w:tc>
          <w:tcPr>
            <w:tcW w:type="dxa" w:w="3360"/>
          </w:tcPr>
          <w:p>
            <w:pPr>
              <w:spacing w:after="80"/>
            </w:pPr>
            <w:r>
              <w:rPr>
                <w:sz w:val="19"/>
              </w:rPr>
              <w:t>Shot plans and generation settings</w:t>
            </w:r>
          </w:p>
        </w:tc>
        <w:tc>
          <w:tcPr>
            <w:tcW w:type="dxa" w:w="3360"/>
          </w:tcPr>
          <w:p>
            <w:pPr>
              <w:spacing w:after="80"/>
            </w:pPr>
            <w:r>
              <w:rPr>
                <w:sz w:val="19"/>
              </w:rPr>
              <w:t>Production inputs</w:t>
            </w:r>
          </w:p>
        </w:tc>
        <w:tc>
          <w:tcPr>
            <w:tcW w:type="dxa" w:w="3360"/>
          </w:tcPr>
          <w:p>
            <w:pPr>
              <w:spacing w:after="80"/>
            </w:pPr>
            <w:r>
              <w:rPr>
                <w:sz w:val="19"/>
              </w:rPr>
              <w:t>Enter/review in Previs controls. A planning document does not populate every shot control automatically.</w:t>
            </w:r>
          </w:p>
        </w:tc>
      </w:tr>
      <w:tr>
        <w:trPr>
          <w:cantSplit/>
        </w:trPr>
        <w:tc>
          <w:tcPr>
            <w:tcW w:type="dxa" w:w="3360"/>
          </w:tcPr>
          <w:p>
            <w:pPr>
              <w:spacing w:after="80"/>
            </w:pPr>
            <w:r>
              <w:rPr>
                <w:sz w:val="19"/>
              </w:rPr>
              <w:t>Rights, credits, budget, release paperwork</w:t>
            </w:r>
          </w:p>
        </w:tc>
        <w:tc>
          <w:tcPr>
            <w:tcW w:type="dxa" w:w="3360"/>
          </w:tcPr>
          <w:p>
            <w:pPr>
              <w:spacing w:after="80"/>
            </w:pPr>
            <w:r>
              <w:rPr>
                <w:sz w:val="19"/>
              </w:rPr>
              <w:t>Keep for delivery</w:t>
            </w:r>
          </w:p>
        </w:tc>
        <w:tc>
          <w:tcPr>
            <w:tcW w:type="dxa" w:w="3360"/>
          </w:tcPr>
          <w:p>
            <w:pPr>
              <w:spacing w:after="80"/>
            </w:pPr>
            <w:r>
              <w:rPr>
                <w:sz w:val="19"/>
              </w:rPr>
              <w:t>Retain in your project folder. Use a Markdown summary in Study → Bibles if useful. No dedicated paperwork importer is documented here.</w:t>
            </w:r>
          </w:p>
        </w:tc>
      </w:tr>
    </w:tbl>
    <w:p>
      <w:pPr>
        <w:pStyle w:val="Heading2"/>
      </w:pPr>
      <w:r>
        <w:t>Important format distinctions</w:t>
      </w:r>
    </w:p>
    <w:p>
      <w:r>
        <w:t>The Study Bible uploader does not accept the Word character bible. Use The Page for that DOCX. A PDF uploaded as a Study reference is research material, not automatically a screenplay or a cast list.</w:t>
      </w:r>
    </w:p>
    <w:p>
      <w:r>
        <w:t>The separate Script Ingest picker advertises PDF, FDX, and SBX, but its current file handler reads file text directly. This manual therefore recommends TXT/Fountain for screenplay ingestion; export first rather than relying on a binary PDF or SBX to parse correctly.</w:t>
      </w:r>
    </w:p>
    <w:p>
      <w:r>
        <w:t>Selecting a file may start its upload immediately. Keep the original on disk and choose the project before opening the picker.</w:t>
      </w:r>
    </w:p>
    <w:p>
      <w:r>
        <w:br w:type="page"/>
      </w:r>
    </w:p>
    <w:p>
      <w:pPr>
        <w:pStyle w:val="Heading1"/>
      </w:pPr>
      <w:r>
        <w:t>Prepare the master cast JSON</w:t>
      </w:r>
    </w:p>
    <w:p>
      <w:r>
        <w:t>Use the supplied 02_Master_Cast_List.template.json as the starting structure. Replace its project title and example character, retain the category keys, and use empty arrays for categories you do not need. Validate the JSON before uploading; comments and trailing commas are not valid JSON.</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t>Category</w:t>
            </w:r>
          </w:p>
        </w:tc>
        <w:tc>
          <w:tcPr>
            <w:tcW w:type="dxa" w:w="5040"/>
          </w:tcPr>
          <w:p>
            <w:r>
              <w:t>What belongs here</w:t>
            </w:r>
          </w:p>
        </w:tc>
      </w:tr>
      <w:tr>
        <w:trPr>
          <w:cantSplit/>
        </w:trPr>
        <w:tc>
          <w:tcPr>
            <w:tcW w:type="dxa" w:w="5040"/>
          </w:tcPr>
          <w:p>
            <w:pPr>
              <w:spacing w:after="80"/>
            </w:pPr>
            <w:r>
              <w:rPr>
                <w:sz w:val="19"/>
              </w:rPr>
              <w:t>principal</w:t>
            </w:r>
          </w:p>
        </w:tc>
        <w:tc>
          <w:tcPr>
            <w:tcW w:type="dxa" w:w="5040"/>
          </w:tcPr>
          <w:p>
            <w:pPr>
              <w:spacing w:after="80"/>
            </w:pPr>
            <w:r>
              <w:rPr>
                <w:sz w:val="19"/>
              </w:rPr>
              <w:t>Core ensemble leads.</w:t>
            </w:r>
          </w:p>
        </w:tc>
      </w:tr>
      <w:tr>
        <w:trPr>
          <w:cantSplit/>
        </w:trPr>
        <w:tc>
          <w:tcPr>
            <w:tcW w:type="dxa" w:w="5040"/>
          </w:tcPr>
          <w:p>
            <w:pPr>
              <w:spacing w:after="80"/>
            </w:pPr>
            <w:r>
              <w:rPr>
                <w:sz w:val="19"/>
              </w:rPr>
              <w:t>supporting</w:t>
            </w:r>
          </w:p>
        </w:tc>
        <w:tc>
          <w:tcPr>
            <w:tcW w:type="dxa" w:w="5040"/>
          </w:tcPr>
          <w:p>
            <w:pPr>
              <w:spacing w:after="80"/>
            </w:pPr>
            <w:r>
              <w:rPr>
                <w:sz w:val="19"/>
              </w:rPr>
              <w:t>Major characters who drive the story.</w:t>
            </w:r>
          </w:p>
        </w:tc>
      </w:tr>
      <w:tr>
        <w:trPr>
          <w:cantSplit/>
        </w:trPr>
        <w:tc>
          <w:tcPr>
            <w:tcW w:type="dxa" w:w="5040"/>
          </w:tcPr>
          <w:p>
            <w:pPr>
              <w:spacing w:after="80"/>
            </w:pPr>
            <w:r>
              <w:rPr>
                <w:sz w:val="19"/>
              </w:rPr>
              <w:t>recurring</w:t>
            </w:r>
          </w:p>
        </w:tc>
        <w:tc>
          <w:tcPr>
            <w:tcW w:type="dxa" w:w="5040"/>
          </w:tcPr>
          <w:p>
            <w:pPr>
              <w:spacing w:after="80"/>
            </w:pPr>
            <w:r>
              <w:rPr>
                <w:sz w:val="19"/>
              </w:rPr>
              <w:t>Characters returning across scenes or periods.</w:t>
            </w:r>
          </w:p>
        </w:tc>
      </w:tr>
      <w:tr>
        <w:trPr>
          <w:cantSplit/>
        </w:trPr>
        <w:tc>
          <w:tcPr>
            <w:tcW w:type="dxa" w:w="5040"/>
          </w:tcPr>
          <w:p>
            <w:pPr>
              <w:spacing w:after="80"/>
            </w:pPr>
            <w:r>
              <w:rPr>
                <w:sz w:val="19"/>
              </w:rPr>
              <w:t>featured</w:t>
            </w:r>
          </w:p>
        </w:tc>
        <w:tc>
          <w:tcPr>
            <w:tcW w:type="dxa" w:w="5040"/>
          </w:tcPr>
          <w:p>
            <w:pPr>
              <w:spacing w:after="80"/>
            </w:pPr>
            <w:r>
              <w:rPr>
                <w:sz w:val="19"/>
              </w:rPr>
              <w:t>Named characters with limited but meaningful screen time.</w:t>
            </w:r>
          </w:p>
        </w:tc>
      </w:tr>
      <w:tr>
        <w:trPr>
          <w:cantSplit/>
        </w:trPr>
        <w:tc>
          <w:tcPr>
            <w:tcW w:type="dxa" w:w="5040"/>
          </w:tcPr>
          <w:p>
            <w:pPr>
              <w:spacing w:after="80"/>
            </w:pPr>
            <w:r>
              <w:rPr>
                <w:sz w:val="19"/>
              </w:rPr>
              <w:t>day_players</w:t>
            </w:r>
          </w:p>
        </w:tc>
        <w:tc>
          <w:tcPr>
            <w:tcW w:type="dxa" w:w="5040"/>
          </w:tcPr>
          <w:p>
            <w:pPr>
              <w:spacing w:after="80"/>
            </w:pPr>
            <w:r>
              <w:rPr>
                <w:sz w:val="19"/>
              </w:rPr>
              <w:t>Brief speaking or silent roles; use scene-specific descriptive names.</w:t>
            </w:r>
          </w:p>
        </w:tc>
      </w:tr>
      <w:tr>
        <w:trPr>
          <w:cantSplit/>
        </w:trPr>
        <w:tc>
          <w:tcPr>
            <w:tcW w:type="dxa" w:w="5040"/>
          </w:tcPr>
          <w:p>
            <w:pPr>
              <w:spacing w:after="80"/>
            </w:pPr>
            <w:r>
              <w:rPr>
                <w:sz w:val="19"/>
              </w:rPr>
              <w:t>background_groups</w:t>
            </w:r>
          </w:p>
        </w:tc>
        <w:tc>
          <w:tcPr>
            <w:tcW w:type="dxa" w:w="5040"/>
          </w:tcPr>
          <w:p>
            <w:pPr>
              <w:spacing w:after="80"/>
            </w:pPr>
            <w:r>
              <w:rPr>
                <w:sz w:val="19"/>
              </w:rPr>
              <w:t>Crowds and atmosphere described as groups, not individually named permanent identities.</w:t>
            </w:r>
          </w:p>
        </w:tc>
      </w:tr>
      <w:tr>
        <w:trPr>
          <w:cantSplit/>
        </w:trPr>
        <w:tc>
          <w:tcPr>
            <w:tcW w:type="dxa" w:w="5040"/>
          </w:tcPr>
          <w:p>
            <w:pPr>
              <w:spacing w:after="80"/>
            </w:pPr>
            <w:r>
              <w:rPr>
                <w:sz w:val="19"/>
              </w:rPr>
              <w:t>referenced_or_archival_only</w:t>
            </w:r>
          </w:p>
        </w:tc>
        <w:tc>
          <w:tcPr>
            <w:tcW w:type="dxa" w:w="5040"/>
          </w:tcPr>
          <w:p>
            <w:pPr>
              <w:spacing w:after="80"/>
            </w:pPr>
            <w:r>
              <w:rPr>
                <w:sz w:val="19"/>
              </w:rPr>
              <w:t>Off-screen people, photographs, documents, or historical references; state what asset is actually needed.</w:t>
            </w:r>
          </w:p>
        </w:tc>
      </w:tr>
    </w:tbl>
    <w:p>
      <w:pPr>
        <w:pStyle w:val="Heading2"/>
      </w:pPr>
      <w:r>
        <w:t>Fields to write</w:t>
      </w:r>
    </w:p>
    <w:p>
      <w:r>
        <w:t>Each cast entry needs script_name. Use age_timeline, function (or scene_function for day players), and asset to describe age progression, dramatic purpose, and the reference requirement. Keep these entry values as text in this supported template. Include project, source, purpose, and category_rules at the top level.</w:t>
      </w:r>
    </w:p>
    <w:p>
      <w:pPr>
        <w:pStyle w:val="Heading2"/>
      </w:pPr>
      <w:r>
        <w:t>Identity rules</w:t>
      </w:r>
    </w:p>
    <w:p>
      <w:pPr>
        <w:pStyle w:val="ListBullet"/>
      </w:pPr>
      <w:r>
        <w:t>Use one consistent full name, with the nickname in quotes when appropriate. Keep distinct people who share a surname separate.</w:t>
      </w:r>
    </w:p>
    <w:p>
      <w:pPr>
        <w:pStyle w:val="ListBullet"/>
      </w:pPr>
      <w:r>
        <w:t>Name day players by role and context: “Clinic Nurse” and “Labor Nurse” are clearer than two unrelated “NURSE” entries.</w:t>
      </w:r>
    </w:p>
    <w:p>
      <w:pPr>
        <w:pStyle w:val="ListBullet"/>
      </w:pPr>
      <w:r>
        <w:t>Use separate entries for separately cast individuals. Describe photo-only or collective assets explicitly instead of making one combined persistent identity.</w:t>
      </w:r>
    </w:p>
    <w:p>
      <w:pPr>
        <w:pStyle w:val="ListBullet"/>
      </w:pPr>
      <w:r>
        <w:t>Do not treat a label such as “Persistent locked character” as an approval. It expresses the intended casting need. Approval is a separate app action.</w:t>
      </w:r>
    </w:p>
    <w:p>
      <w:r>
        <w:t>After import, inspect the profile count and names rather than assuming the count must equal every item in the file: background groups, collective/photo assets, and archival material are stored in reference planning. Existing profiles may also be retained.</w:t>
      </w:r>
    </w:p>
    <w:p>
      <w:r>
        <w:br w:type="page"/>
      </w:r>
    </w:p>
    <w:p>
      <w:pPr>
        <w:pStyle w:val="Heading1"/>
      </w:pPr>
      <w:r>
        <w:t>Prepare the Word character bible</w:t>
      </w:r>
    </w:p>
    <w:p>
      <w:r>
        <w:t>Use 03_Character_Bible.template.docx. Word styles matter: each character’s name must use Heading 2. Group headings such as PRINCIPAL or COLE FAMILY use Heading 1. Put global family, timeline, and visual rules before the first character or under a separate Heading 1.</w:t>
      </w:r>
    </w:p>
    <w:p>
      <w:pPr>
        <w:pStyle w:val="Heading2"/>
      </w:pPr>
      <w:r>
        <w:t>Keep these labels exactly</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t>Label</w:t>
            </w:r>
          </w:p>
        </w:tc>
        <w:tc>
          <w:tcPr>
            <w:tcW w:type="dxa" w:w="5040"/>
          </w:tcPr>
          <w:p>
            <w:r>
              <w:t>Write here</w:t>
            </w:r>
          </w:p>
        </w:tc>
      </w:tr>
      <w:tr>
        <w:trPr>
          <w:cantSplit/>
        </w:trPr>
        <w:tc>
          <w:tcPr>
            <w:tcW w:type="dxa" w:w="5040"/>
          </w:tcPr>
          <w:p>
            <w:pPr>
              <w:spacing w:after="80"/>
            </w:pPr>
            <w:r>
              <w:rPr>
                <w:sz w:val="19"/>
              </w:rPr>
              <w:t>Category:</w:t>
            </w:r>
          </w:p>
        </w:tc>
        <w:tc>
          <w:tcPr>
            <w:tcW w:type="dxa" w:w="5040"/>
          </w:tcPr>
          <w:p>
            <w:pPr>
              <w:spacing w:after="80"/>
            </w:pPr>
            <w:r>
              <w:rPr>
                <w:sz w:val="19"/>
              </w:rPr>
              <w:t>The character’s role in your document.</w:t>
            </w:r>
          </w:p>
        </w:tc>
      </w:tr>
      <w:tr>
        <w:trPr>
          <w:cantSplit/>
        </w:trPr>
        <w:tc>
          <w:tcPr>
            <w:tcW w:type="dxa" w:w="5040"/>
          </w:tcPr>
          <w:p>
            <w:pPr>
              <w:spacing w:after="80"/>
            </w:pPr>
            <w:r>
              <w:rPr>
                <w:sz w:val="19"/>
              </w:rPr>
              <w:t>Age / timeline:</w:t>
            </w:r>
          </w:p>
        </w:tc>
        <w:tc>
          <w:tcPr>
            <w:tcW w:type="dxa" w:w="5040"/>
          </w:tcPr>
          <w:p>
            <w:pPr>
              <w:spacing w:after="80"/>
            </w:pPr>
            <w:r>
              <w:rPr>
                <w:sz w:val="19"/>
              </w:rPr>
              <w:t>Age by period; distinguish exact story ages from suggestions.</w:t>
            </w:r>
          </w:p>
        </w:tc>
      </w:tr>
      <w:tr>
        <w:trPr>
          <w:cantSplit/>
        </w:trPr>
        <w:tc>
          <w:tcPr>
            <w:tcW w:type="dxa" w:w="5040"/>
          </w:tcPr>
          <w:p>
            <w:pPr>
              <w:spacing w:after="80"/>
            </w:pPr>
            <w:r>
              <w:rPr>
                <w:sz w:val="19"/>
              </w:rPr>
              <w:t>Story function:</w:t>
            </w:r>
          </w:p>
        </w:tc>
        <w:tc>
          <w:tcPr>
            <w:tcW w:type="dxa" w:w="5040"/>
          </w:tcPr>
          <w:p>
            <w:pPr>
              <w:spacing w:after="80"/>
            </w:pPr>
            <w:r>
              <w:rPr>
                <w:sz w:val="19"/>
              </w:rPr>
              <w:t>Why the character exists in this story.</w:t>
            </w:r>
          </w:p>
        </w:tc>
      </w:tr>
      <w:tr>
        <w:trPr>
          <w:cantSplit/>
        </w:trPr>
        <w:tc>
          <w:tcPr>
            <w:tcW w:type="dxa" w:w="5040"/>
          </w:tcPr>
          <w:p>
            <w:pPr>
              <w:spacing w:after="80"/>
            </w:pPr>
            <w:r>
              <w:rPr>
                <w:sz w:val="19"/>
              </w:rPr>
              <w:t>Appearance / visual lock:</w:t>
            </w:r>
          </w:p>
        </w:tc>
        <w:tc>
          <w:tcPr>
            <w:tcW w:type="dxa" w:w="5040"/>
          </w:tcPr>
          <w:p>
            <w:pPr>
              <w:spacing w:after="80"/>
            </w:pPr>
            <w:r>
              <w:rPr>
                <w:sz w:val="19"/>
              </w:rPr>
              <w:t>Script-established traits and separately labeled production recommendations.</w:t>
            </w:r>
          </w:p>
        </w:tc>
      </w:tr>
      <w:tr>
        <w:trPr>
          <w:cantSplit/>
        </w:trPr>
        <w:tc>
          <w:tcPr>
            <w:tcW w:type="dxa" w:w="5040"/>
          </w:tcPr>
          <w:p>
            <w:pPr>
              <w:spacing w:after="80"/>
            </w:pPr>
            <w:r>
              <w:rPr>
                <w:sz w:val="19"/>
              </w:rPr>
              <w:t>Wardrobe:</w:t>
            </w:r>
          </w:p>
        </w:tc>
        <w:tc>
          <w:tcPr>
            <w:tcW w:type="dxa" w:w="5040"/>
          </w:tcPr>
          <w:p>
            <w:pPr>
              <w:spacing w:after="80"/>
            </w:pPr>
            <w:r>
              <w:rPr>
                <w:sz w:val="19"/>
              </w:rPr>
              <w:t>Baseline clothing and scene/period changes.</w:t>
            </w:r>
          </w:p>
        </w:tc>
      </w:tr>
      <w:tr>
        <w:trPr>
          <w:cantSplit/>
        </w:trPr>
        <w:tc>
          <w:tcPr>
            <w:tcW w:type="dxa" w:w="5040"/>
          </w:tcPr>
          <w:p>
            <w:pPr>
              <w:spacing w:after="80"/>
            </w:pPr>
            <w:r>
              <w:rPr>
                <w:sz w:val="19"/>
              </w:rPr>
              <w:t>Personality / behavior:</w:t>
            </w:r>
          </w:p>
        </w:tc>
        <w:tc>
          <w:tcPr>
            <w:tcW w:type="dxa" w:w="5040"/>
          </w:tcPr>
          <w:p>
            <w:pPr>
              <w:spacing w:after="80"/>
            </w:pPr>
            <w:r>
              <w:rPr>
                <w:sz w:val="19"/>
              </w:rPr>
              <w:t>Temperament, habits, movement, performance boundaries.</w:t>
            </w:r>
          </w:p>
        </w:tc>
      </w:tr>
      <w:tr>
        <w:trPr>
          <w:cantSplit/>
        </w:trPr>
        <w:tc>
          <w:tcPr>
            <w:tcW w:type="dxa" w:w="5040"/>
          </w:tcPr>
          <w:p>
            <w:pPr>
              <w:spacing w:after="80"/>
            </w:pPr>
            <w:r>
              <w:rPr>
                <w:sz w:val="19"/>
              </w:rPr>
              <w:t>Voice / dialogue:</w:t>
            </w:r>
          </w:p>
        </w:tc>
        <w:tc>
          <w:tcPr>
            <w:tcW w:type="dxa" w:w="5040"/>
          </w:tcPr>
          <w:p>
            <w:pPr>
              <w:spacing w:after="80"/>
            </w:pPr>
            <w:r>
              <w:rPr>
                <w:sz w:val="19"/>
              </w:rPr>
              <w:t>Register, rhythm, accent, restraint, and pronunciation needs.</w:t>
            </w:r>
          </w:p>
        </w:tc>
      </w:tr>
      <w:tr>
        <w:trPr>
          <w:cantSplit/>
        </w:trPr>
        <w:tc>
          <w:tcPr>
            <w:tcW w:type="dxa" w:w="5040"/>
          </w:tcPr>
          <w:p>
            <w:pPr>
              <w:spacing w:after="80"/>
            </w:pPr>
            <w:r>
              <w:rPr>
                <w:sz w:val="19"/>
              </w:rPr>
              <w:t>Key relationships:</w:t>
            </w:r>
          </w:p>
        </w:tc>
        <w:tc>
          <w:tcPr>
            <w:tcW w:type="dxa" w:w="5040"/>
          </w:tcPr>
          <w:p>
            <w:pPr>
              <w:spacing w:after="80"/>
            </w:pPr>
            <w:r>
              <w:rPr>
                <w:sz w:val="19"/>
              </w:rPr>
              <w:t>Who matters to this character and why.</w:t>
            </w:r>
          </w:p>
        </w:tc>
      </w:tr>
      <w:tr>
        <w:trPr>
          <w:cantSplit/>
        </w:trPr>
        <w:tc>
          <w:tcPr>
            <w:tcW w:type="dxa" w:w="5040"/>
          </w:tcPr>
          <w:p>
            <w:pPr>
              <w:spacing w:after="80"/>
            </w:pPr>
            <w:r>
              <w:rPr>
                <w:sz w:val="19"/>
              </w:rPr>
              <w:t>Arc:</w:t>
            </w:r>
          </w:p>
        </w:tc>
        <w:tc>
          <w:tcPr>
            <w:tcW w:type="dxa" w:w="5040"/>
          </w:tcPr>
          <w:p>
            <w:pPr>
              <w:spacing w:after="80"/>
            </w:pPr>
            <w:r>
              <w:rPr>
                <w:sz w:val="19"/>
              </w:rPr>
              <w:t>The intended change or lack of change across the film.</w:t>
            </w:r>
          </w:p>
        </w:tc>
      </w:tr>
      <w:tr>
        <w:trPr>
          <w:cantSplit/>
        </w:trPr>
        <w:tc>
          <w:tcPr>
            <w:tcW w:type="dxa" w:w="5040"/>
          </w:tcPr>
          <w:p>
            <w:pPr>
              <w:spacing w:after="80"/>
            </w:pPr>
            <w:r>
              <w:rPr>
                <w:sz w:val="19"/>
              </w:rPr>
              <w:t>Continuity locks:</w:t>
            </w:r>
          </w:p>
        </w:tc>
        <w:tc>
          <w:tcPr>
            <w:tcW w:type="dxa" w:w="5040"/>
          </w:tcPr>
          <w:p>
            <w:pPr>
              <w:spacing w:after="80"/>
            </w:pPr>
            <w:r>
              <w:rPr>
                <w:sz w:val="19"/>
              </w:rPr>
              <w:t>Facts that must not drift; include when an injury or change begins.</w:t>
            </w:r>
          </w:p>
        </w:tc>
      </w:tr>
      <w:tr>
        <w:trPr>
          <w:cantSplit/>
        </w:trPr>
        <w:tc>
          <w:tcPr>
            <w:tcW w:type="dxa" w:w="5040"/>
          </w:tcPr>
          <w:p>
            <w:pPr>
              <w:spacing w:after="80"/>
            </w:pPr>
            <w:r>
              <w:rPr>
                <w:sz w:val="19"/>
              </w:rPr>
              <w:t>Image generation prompt:</w:t>
            </w:r>
          </w:p>
        </w:tc>
        <w:tc>
          <w:tcPr>
            <w:tcW w:type="dxa" w:w="5040"/>
          </w:tcPr>
          <w:p>
            <w:pPr>
              <w:spacing w:after="80"/>
            </w:pPr>
            <w:r>
              <w:rPr>
                <w:sz w:val="19"/>
              </w:rPr>
              <w:t>A concrete portrait description consistent with the above.</w:t>
            </w:r>
          </w:p>
        </w:tc>
      </w:tr>
    </w:tbl>
    <w:p>
      <w:pPr>
        <w:pStyle w:val="Heading2"/>
      </w:pPr>
      <w:r>
        <w:t>What import does</w:t>
      </w:r>
    </w:p>
    <w:p>
      <w:r>
        <w:t>Recognized structured documents are read without an AI extraction call. Appearance, personality, relationships, and image prompts fill empty profile fields. Voice direction can fill an empty voice-style prompt. Wardrobe, arc, continuity notes, and complete source wording remain available in the profile’s Character bible disclosure.</w:t>
      </w:r>
    </w:p>
    <w:p>
      <w:r>
        <w:t>Non-empty profile edits and approved looks are preserved. Re-uploading a revised bible does not necessarily replace an existing Look field: compare the imported source with the editable profile and make your intended revision. Text saying “locked” never automatically approves an image or assigns a voice.</w:t>
      </w:r>
    </w:p>
    <w:p>
      <w:r>
        <w:br w:type="page"/>
      </w:r>
    </w:p>
    <w:p>
      <w:pPr>
        <w:pStyle w:val="Heading1"/>
      </w:pPr>
      <w:r>
        <w:t>Add story and visual guidance</w:t>
      </w:r>
    </w:p>
    <w:p>
      <w:r>
        <w:t>Use The Study → Bibles for project rules and The Study → References for examples and research. The provided Markdown templates are separate from the Word bible; they help organize project knowledge and department guidance.</w:t>
      </w:r>
    </w:p>
    <w:p>
      <w:pPr>
        <w:pStyle w:val="Heading2"/>
      </w:pPr>
      <w:r>
        <w:t>Story and world bible — recommended</w:t>
      </w:r>
    </w:p>
    <w:p>
      <w:r>
        <w:t>Choose Story. Document the logline, premise, setting, period, central conflict, emotional intention, character relationships, world rules, ending, and unresolved questions. Identify the governing script draft. Keep summaries consistent with the screenplay; do not silently rewrite scenes inside a supporting document.</w:t>
      </w:r>
    </w:p>
    <w:p>
      <w:pPr>
        <w:pStyle w:val="Heading2"/>
      </w:pPr>
      <w:r>
        <w:t>Visual and tone bible — recommended</w:t>
      </w:r>
    </w:p>
    <w:p>
      <w:r>
        <w:t>Choose Visual or Tone. Describe framing, camera distance and movement, lighting, color, texture, locations, recurring motifs, pacing, and what the film should avoid. Explain what each choice makes the audience feel. A short, specific set of rules is more usable than a long collection of disconnected adjectives.</w:t>
      </w:r>
    </w:p>
    <w:p>
      <w:pPr>
        <w:pStyle w:val="Heading2"/>
      </w:pPr>
      <w:r>
        <w:t>Reference research — optional</w:t>
      </w:r>
    </w:p>
    <w:p>
      <w:r>
        <w:t>In References, study a film title with the relevant focus or upload one of the accepted reference formats. State what you want to study: lighting, rhythm, sound, narrative, or a particular scene technique. A title study or uploaded reference is guidance; it is not permission to reproduce a source or proof that it is available as production media.</w:t>
      </w:r>
    </w:p>
    <w:p>
      <w:pPr>
        <w:pStyle w:val="Heading2"/>
      </w:pPr>
      <w:r>
        <w:t>Keep guidance usable</w:t>
      </w:r>
    </w:p>
    <w:p>
      <w:pPr>
        <w:pStyle w:val="ListBullet"/>
      </w:pPr>
      <w:r>
        <w:t>Give each file a project title, draft/date, and clear purpose.</w:t>
      </w:r>
    </w:p>
    <w:p>
      <w:pPr>
        <w:pStyle w:val="ListBullet"/>
      </w:pPr>
      <w:r>
        <w:t>Use headings and short, specific statements. Separate confirmed facts, proposals, and open questions.</w:t>
      </w:r>
    </w:p>
    <w:p>
      <w:pPr>
        <w:pStyle w:val="ListBullet"/>
      </w:pPr>
      <w:r>
        <w:t>After upload, review the organized knowledge. Use Knowledge maintenance and department context when you need to inspect/rebuild its index or inspect department context.</w:t>
      </w:r>
    </w:p>
    <w:p>
      <w:pPr>
        <w:pStyle w:val="ListBullet"/>
      </w:pPr>
      <w:r>
        <w:t>Carry important rules into the relevant shot, scene, or character controls and inspect the output. A stored document is not a guarantee that every generated frame will obey every note.</w:t>
      </w:r>
    </w:p>
    <w:p>
      <w:r>
        <w:t>These uploads are project-specific. Confirm the active project each time; a reference saved to one film should not be assumed to guide another.</w:t>
      </w:r>
    </w:p>
    <w:p>
      <w:r>
        <w:br w:type="page"/>
      </w:r>
    </w:p>
    <w:p>
      <w:pPr>
        <w:pStyle w:val="Heading1"/>
      </w:pPr>
      <w:r>
        <w:t>Track continuity and production details</w:t>
      </w:r>
    </w:p>
    <w:p>
      <w:r>
        <w:t>Use the production-continuity Markdown template in The Study → Bibles with type Production. Split it into multiple files only when the project becomes difficult to navigate.</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t>Section</w:t>
            </w:r>
          </w:p>
        </w:tc>
        <w:tc>
          <w:tcPr>
            <w:tcW w:type="dxa" w:w="5040"/>
          </w:tcPr>
          <w:p>
            <w:r>
              <w:t>Minimum useful contents</w:t>
            </w:r>
          </w:p>
        </w:tc>
      </w:tr>
      <w:tr>
        <w:trPr>
          <w:cantSplit/>
        </w:trPr>
        <w:tc>
          <w:tcPr>
            <w:tcW w:type="dxa" w:w="5040"/>
          </w:tcPr>
          <w:p>
            <w:pPr>
              <w:spacing w:after="80"/>
            </w:pPr>
            <w:r>
              <w:rPr>
                <w:sz w:val="19"/>
              </w:rPr>
              <w:t>Timeline and age</w:t>
            </w:r>
          </w:p>
        </w:tc>
        <w:tc>
          <w:tcPr>
            <w:tcW w:type="dxa" w:w="5040"/>
          </w:tcPr>
          <w:p>
            <w:pPr>
              <w:spacing w:after="80"/>
            </w:pPr>
            <w:r>
              <w:rPr>
                <w:sz w:val="19"/>
              </w:rPr>
              <w:t>Story date, scene/sequence, character age, flashback/epilogue status, and which appearance version applies.</w:t>
            </w:r>
          </w:p>
        </w:tc>
      </w:tr>
      <w:tr>
        <w:trPr>
          <w:cantSplit/>
        </w:trPr>
        <w:tc>
          <w:tcPr>
            <w:tcW w:type="dxa" w:w="5040"/>
          </w:tcPr>
          <w:p>
            <w:pPr>
              <w:spacing w:after="80"/>
            </w:pPr>
            <w:r>
              <w:rPr>
                <w:sz w:val="19"/>
              </w:rPr>
              <w:t>Location and set</w:t>
            </w:r>
          </w:p>
        </w:tc>
        <w:tc>
          <w:tcPr>
            <w:tcW w:type="dxa" w:w="5040"/>
          </w:tcPr>
          <w:p>
            <w:pPr>
              <w:spacing w:after="80"/>
            </w:pPr>
            <w:r>
              <w:rPr>
                <w:sz w:val="19"/>
              </w:rPr>
              <w:t>Location name, geography, entrances, time of day, lighting sources, recurring set details, and changes.</w:t>
            </w:r>
          </w:p>
        </w:tc>
      </w:tr>
      <w:tr>
        <w:trPr>
          <w:cantSplit/>
        </w:trPr>
        <w:tc>
          <w:tcPr>
            <w:tcW w:type="dxa" w:w="5040"/>
          </w:tcPr>
          <w:p>
            <w:pPr>
              <w:spacing w:after="80"/>
            </w:pPr>
            <w:r>
              <w:rPr>
                <w:sz w:val="19"/>
              </w:rPr>
              <w:t>Wardrobe and makeup</w:t>
            </w:r>
          </w:p>
        </w:tc>
        <w:tc>
          <w:tcPr>
            <w:tcW w:type="dxa" w:w="5040"/>
          </w:tcPr>
          <w:p>
            <w:pPr>
              <w:spacing w:after="80"/>
            </w:pPr>
            <w:r>
              <w:rPr>
                <w:sz w:val="19"/>
              </w:rPr>
              <w:t>Character, scene, outfit, hair, accessories, wear, damage, and when changes begin/end.</w:t>
            </w:r>
          </w:p>
        </w:tc>
      </w:tr>
      <w:tr>
        <w:trPr>
          <w:cantSplit/>
        </w:trPr>
        <w:tc>
          <w:tcPr>
            <w:tcW w:type="dxa" w:w="5040"/>
          </w:tcPr>
          <w:p>
            <w:pPr>
              <w:spacing w:after="80"/>
            </w:pPr>
            <w:r>
              <w:rPr>
                <w:sz w:val="19"/>
              </w:rPr>
              <w:t>Props</w:t>
            </w:r>
          </w:p>
        </w:tc>
        <w:tc>
          <w:tcPr>
            <w:tcW w:type="dxa" w:w="5040"/>
          </w:tcPr>
          <w:p>
            <w:pPr>
              <w:spacing w:after="80"/>
            </w:pPr>
            <w:r>
              <w:rPr>
                <w:sz w:val="19"/>
              </w:rPr>
              <w:t>Prop owner, visual description, who holds it, scene of introduction, transfers, damage, and removal.</w:t>
            </w:r>
          </w:p>
        </w:tc>
      </w:tr>
      <w:tr>
        <w:trPr>
          <w:cantSplit/>
        </w:trPr>
        <w:tc>
          <w:tcPr>
            <w:tcW w:type="dxa" w:w="5040"/>
          </w:tcPr>
          <w:p>
            <w:pPr>
              <w:spacing w:after="80"/>
            </w:pPr>
            <w:r>
              <w:rPr>
                <w:sz w:val="19"/>
              </w:rPr>
              <w:t>Injuries and movement</w:t>
            </w:r>
          </w:p>
        </w:tc>
        <w:tc>
          <w:tcPr>
            <w:tcW w:type="dxa" w:w="5040"/>
          </w:tcPr>
          <w:p>
            <w:pPr>
              <w:spacing w:after="80"/>
            </w:pPr>
            <w:r>
              <w:rPr>
                <w:sz w:val="19"/>
              </w:rPr>
              <w:t>Body area, onset scene, severity as established in story, gait/gesture implications, healing or persistence.</w:t>
            </w:r>
          </w:p>
        </w:tc>
      </w:tr>
      <w:tr>
        <w:trPr>
          <w:cantSplit/>
        </w:trPr>
        <w:tc>
          <w:tcPr>
            <w:tcW w:type="dxa" w:w="5040"/>
          </w:tcPr>
          <w:p>
            <w:pPr>
              <w:spacing w:after="80"/>
            </w:pPr>
            <w:r>
              <w:rPr>
                <w:sz w:val="19"/>
              </w:rPr>
              <w:t>Background and archive</w:t>
            </w:r>
          </w:p>
        </w:tc>
        <w:tc>
          <w:tcPr>
            <w:tcW w:type="dxa" w:w="5040"/>
          </w:tcPr>
          <w:p>
            <w:pPr>
              <w:spacing w:after="80"/>
            </w:pPr>
            <w:r>
              <w:rPr>
                <w:sz w:val="19"/>
              </w:rPr>
              <w:t>Crowd role, scene, required variety, and any portrait/photo/document asset that must be created separately.</w:t>
            </w:r>
          </w:p>
        </w:tc>
      </w:tr>
    </w:tbl>
    <w:p>
      <w:pPr>
        <w:pStyle w:val="Heading2"/>
      </w:pPr>
      <w:r>
        <w:t>Timeline versions need an explicit plan</w:t>
      </w:r>
    </w:p>
    <w:p>
      <w:r>
        <w:t>For a character shown at different ages, keep one identity and document the period-specific appearance. For SIX, the 2018 and 2026 descriptions are different versions of the same people. The bible can state those requirements, but it does not automatically create and approve a separate reference for every age.</w:t>
      </w:r>
    </w:p>
    <w:p>
      <w:r>
        <w:t>Use the version/staging controls available for the target scene and verify the actual reference being used. If the current screen cannot hold all required approved age variants, retain separately named source images and confirm the chosen reference before generating that period’s shots. Do not replace a locked look casually to serve another scene.</w:t>
      </w:r>
    </w:p>
    <w:p>
      <w:pPr>
        <w:pStyle w:val="Heading2"/>
      </w:pPr>
      <w:r>
        <w:t>Before rendering each scene</w:t>
      </w:r>
    </w:p>
    <w:p>
      <w:pPr>
        <w:pStyle w:val="ListBullet"/>
      </w:pPr>
      <w:r>
        <w:t>Check story date and character ages.</w:t>
      </w:r>
    </w:p>
    <w:p>
      <w:pPr>
        <w:pStyle w:val="ListBullet"/>
      </w:pPr>
      <w:r>
        <w:t>Check which injuries, props, and wardrobe changes are active.</w:t>
      </w:r>
    </w:p>
    <w:p>
      <w:pPr>
        <w:pStyle w:val="ListBullet"/>
      </w:pPr>
      <w:r>
        <w:t>Check spatial geography and screen direction across adjacent shots.</w:t>
      </w:r>
    </w:p>
    <w:p>
      <w:pPr>
        <w:pStyle w:val="ListBullet"/>
      </w:pPr>
      <w:r>
        <w:t>Compare returning locations and motifs with previously approved frames.</w:t>
      </w:r>
    </w:p>
    <w:p>
      <w:pPr>
        <w:pStyle w:val="ListBullet"/>
      </w:pPr>
      <w:r>
        <w:t>Resolve contradictions in the source documents before paying to reproduce them across a sequence.</w:t>
      </w:r>
    </w:p>
    <w:p>
      <w:r>
        <w:br w:type="page"/>
      </w:r>
    </w:p>
    <w:p>
      <w:pPr>
        <w:pStyle w:val="Heading1"/>
      </w:pPr>
      <w:r>
        <w:t>Prepare looks voices and sound</w:t>
      </w:r>
    </w:p>
    <w:p>
      <w:pPr>
        <w:pStyle w:val="Heading2"/>
      </w:pPr>
      <w:r>
        <w:t>Character image references</w:t>
      </w:r>
    </w:p>
    <w:p>
      <w:r>
        <w:t>In The Page → Lock character looks, use the face and full-body reference controls. Upload JPEG, PNG, or WebP images up to 10 MB each, or use available casting-generation options. Use a clear face view and a readable body silhouette, with enough consistency to judge whether both depict the intended person.</w:t>
      </w:r>
    </w:p>
    <w:p>
      <w:r>
        <w:t>1. Review the editable profile against the bible and the scene period.</w:t>
      </w:r>
    </w:p>
    <w:p>
      <w:r>
        <w:t>2. Upload/generate the required references and inspect facial identity, body, age, hair, and distinguishing traits.</w:t>
      </w:r>
    </w:p>
    <w:p>
      <w:r>
        <w:t>3. Approve only the look you intend production to use. Keep creator approval separate from the bible’s “lock” wording.</w:t>
      </w:r>
    </w:p>
    <w:p>
      <w:r>
        <w:t>4. Use Revise look before changing an approved appearance, then review and approve the replacement.</w:t>
      </w:r>
    </w:p>
    <w:p>
      <w:pPr>
        <w:pStyle w:val="Heading2"/>
      </w:pPr>
      <w:r>
        <w:t>Voice direction and assignment</w:t>
      </w:r>
    </w:p>
    <w:p>
      <w:r>
        <w:t>The Word bible’s Voice / dialogue field describes performance. It does not create audio or choose a voice ID. Use the character voice controls to select the available provider/voice, test pronunciation and delivery, and save the assignment. Keep scene dialogue accurate; a voice-style note is not a replacement for the spoken lines.</w:t>
      </w:r>
    </w:p>
    <w:p>
      <w:pPr>
        <w:pStyle w:val="Heading2"/>
      </w:pPr>
      <w:r>
        <w:t>Sound and music brief — optional but useful</w:t>
      </w:r>
    </w:p>
    <w:p>
      <w:r>
        <w:t>Upload the sound brief Markdown to The Study → Bibles as Production or Tone. Specify dialogue priorities, ambience, music entry/exit, emotional purpose, where silence matters, recurring sounds, and prohibited treatments. Reference MP3/WAV files can go in The Study → References for study; that does not automatically place them in the final soundtrack.</w:t>
      </w:r>
    </w:p>
    <w:p>
      <w:r>
        <w:t>Use Previs audio-generation controls and Screening audio direction where available. If a production path requests an audio URL or local source, it needs a concrete, usable file/source. A written music brief alone cannot satisfy that requirement. Do not assume scene assembly adds new dialogue, score, or sound effects.</w:t>
      </w:r>
    </w:p>
    <w:p>
      <w:r>
        <w:br w:type="page"/>
      </w:r>
    </w:p>
    <w:p>
      <w:pPr>
        <w:pStyle w:val="Heading1"/>
      </w:pPr>
      <w:r>
        <w:t>Move from planning to production</w:t>
      </w:r>
    </w:p>
    <w:p>
      <w:r>
        <w:t>You do not need to upload a separate shot-list document to begin. Plan and review the actual scene and shot controls in Previs. Keep an optional shot-planning Markdown document as guidance, then verify the operational controls against it.</w:t>
      </w:r>
    </w:p>
    <w:p>
      <w:r>
        <w:t>1. Plan the shot: choose the scene and shot, define intention, framing, action, and relevant detail. Use planning assistance when useful.</w:t>
      </w:r>
    </w:p>
    <w:p>
      <w:r>
        <w:t>2. Create the frame: generate or revise the storyboard frame, inspect it, and build the scene blueprint.</w:t>
      </w:r>
    </w:p>
    <w:p>
      <w:r>
        <w:t>3. Review continuity and approve the blueprint when it is ready. Review the required per-shot readiness information.</w:t>
      </w:r>
    </w:p>
    <w:p>
      <w:r>
        <w:t>4. Direct the action: confirm the render prompt, duration, provider, quality, and audio choices. A written plan does not automatically set these values.</w:t>
      </w:r>
    </w:p>
    <w:p>
      <w:r>
        <w:t>5. Render a take: submit deliberately and inspect the job state. Generation is distinct from navigation, review, or assembly.</w:t>
      </w:r>
    </w:p>
    <w:p>
      <w:r>
        <w:t>6. Review takes: watch the result for story intention, identity, movement, continuity, and audio. Revise the relevant input when a problem is visible.</w:t>
      </w:r>
    </w:p>
    <w:p>
      <w:r>
        <w:t>7. Assemble the scene: use the intended completed takes and inspect the resulting scene before continuing.</w:t>
      </w:r>
    </w:p>
    <w:p>
      <w:pPr>
        <w:pStyle w:val="Heading2"/>
      </w:pPr>
      <w:r>
        <w:t>A useful first production test</w:t>
      </w:r>
    </w:p>
    <w:p>
      <w:r>
        <w:t>Choose one short scene that exercises your most important requirements: a recurring character, dialogue if required, a meaningful action, and a continuity detail. Confirm the entire route from profile and reference to playable scene. A working test catches missing sources or incorrect assumptions before the whole project depends on them.</w:t>
      </w:r>
    </w:p>
    <w:p>
      <w:pPr>
        <w:pStyle w:val="Heading2"/>
      </w:pPr>
      <w:r>
        <w:t>When a render fails</w:t>
      </w:r>
    </w:p>
    <w:p>
      <w:r>
        <w:t>Read the displayed error and job status. Fix the missing input, provider availability, or contradictory request before retrying. Inspect previous attempts and confirm the current target shot. Do not repeatedly submit the same failing request or assume a new storyboard frame repaired an already rendered take.</w:t>
      </w:r>
    </w:p>
    <w:p>
      <w:r>
        <w:t>Provider availability, costs, generation duration, and available models can change. Use the app’s current options and provider status. This manual does not promise a price, render time, or automatic feature-film result.</w:t>
      </w:r>
    </w:p>
    <w:p>
      <w:r>
        <w:br w:type="page"/>
      </w:r>
    </w:p>
    <w:p>
      <w:pPr>
        <w:pStyle w:val="Heading1"/>
      </w:pPr>
      <w:r>
        <w:t>Screen approve and deliver</w:t>
      </w:r>
    </w:p>
    <w:p>
      <w:r>
        <w:t>1. Open Screening and watch the relevant shot, scene, or whole-film output. Confirm which scope the player is showing.</w:t>
      </w:r>
    </w:p>
    <w:p>
      <w:r>
        <w:t>2. Use the take-selection controls to save intended choices. Where no explicit choice exists, current behavior may use the latest completed take; review those defaults.</w:t>
      </w:r>
    </w:p>
    <w:p>
      <w:r>
        <w:t>3. Prepare/assemble the full film from saved scene outputs. Assembly reuses existing footage and audio; it does not generate a new soundtrack.</w:t>
      </w:r>
    </w:p>
    <w:p>
      <w:r>
        <w:t>4. Watch the assembled film from beginning to end. Inspect sound, shot order, continuity, titles/credits if present, and the final frame.</w:t>
      </w:r>
    </w:p>
    <w:p>
      <w:r>
        <w:t>5. Approve the output actually selected in the player. Earlier approvals remain attached to their earlier outputs.</w:t>
      </w:r>
    </w:p>
    <w:p>
      <w:r>
        <w:t>6. For the movie file, select Watch full film and download the film MP4. Download preview MP4 retrieves the current preview, which may be only a scene or shot.</w:t>
      </w:r>
    </w:p>
    <w:p>
      <w:r>
        <w:t>7. Use the final package/export-manifest controls when needed. The JSON manifest contains delivery metadata and media links; it is not the video file.</w:t>
      </w:r>
    </w:p>
    <w:p>
      <w:pPr>
        <w:pStyle w:val="Heading2"/>
      </w:pPr>
      <w:r>
        <w:t>Keep a delivery brief and records</w:t>
      </w:r>
    </w:p>
    <w:p>
      <w:r>
        <w:t>Use the delivery-and-credits Markdown template as a production note or keep it externally. Record intended use, runtime target, requested aspect ratio/resolution, final filename, credit wording, subtitle needs, and delivery date. These are requirements to check, not settings guaranteed to be applied by uploading the document.</w:t>
      </w:r>
    </w:p>
    <w:p>
      <w:r>
        <w:t>Keep your actual permissions, music/asset licenses, releases, and credit approvals with the project files. A brief or rights-status field is not a replacement for the underlying record. This manual documents the app workflow, not legal clearance advice.</w:t>
      </w:r>
    </w:p>
    <w:p>
      <w:pPr>
        <w:pStyle w:val="Heading2"/>
      </w:pPr>
      <w:r>
        <w:t>Final handoff checklist</w:t>
      </w:r>
    </w:p>
    <w:p>
      <w:pPr>
        <w:pStyle w:val="ListBullet"/>
      </w:pPr>
      <w:r>
        <w:t>The final MP4 opens and plays through with the intended audio.</w:t>
      </w:r>
    </w:p>
    <w:p>
      <w:pPr>
        <w:pStyle w:val="ListBullet"/>
      </w:pPr>
      <w:r>
        <w:t>The export matches the approved cut; changed take choices have been reassembled.</w:t>
      </w:r>
    </w:p>
    <w:p>
      <w:pPr>
        <w:pStyle w:val="ListBullet"/>
      </w:pPr>
      <w:r>
        <w:t>The intended aspect ratio and resolution are verified on the output.</w:t>
      </w:r>
    </w:p>
    <w:p>
      <w:pPr>
        <w:pStyle w:val="ListBullet"/>
      </w:pPr>
      <w:r>
        <w:t>Credits and any required captions/subtitles are checked. If the app lacks a required finishing control, complete that step in your finishing editor.</w:t>
      </w:r>
    </w:p>
    <w:p>
      <w:pPr>
        <w:pStyle w:val="ListBullet"/>
      </w:pPr>
      <w:r>
        <w:t>The screenplay draft, cast documents, approved references, and final deliverables are saved together.</w:t>
      </w:r>
    </w:p>
    <w:p>
      <w:r>
        <w:br w:type="page"/>
      </w:r>
    </w:p>
    <w:p>
      <w:pPr>
        <w:pStyle w:val="Heading1"/>
      </w:pPr>
      <w:r>
        <w:t>Revisions and common problems</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t>Problem</w:t>
            </w:r>
          </w:p>
        </w:tc>
        <w:tc>
          <w:tcPr>
            <w:tcW w:type="dxa" w:w="5040"/>
          </w:tcPr>
          <w:p>
            <w:r>
              <w:t>What to do</w:t>
            </w:r>
          </w:p>
        </w:tc>
      </w:tr>
      <w:tr>
        <w:trPr>
          <w:cantSplit/>
        </w:trPr>
        <w:tc>
          <w:tcPr>
            <w:tcW w:type="dxa" w:w="5040"/>
          </w:tcPr>
          <w:p>
            <w:pPr>
              <w:spacing w:after="80"/>
            </w:pPr>
            <w:r>
              <w:rPr>
                <w:sz w:val="19"/>
              </w:rPr>
              <w:t>Wrong project or title mismatch</w:t>
            </w:r>
          </w:p>
        </w:tc>
        <w:tc>
          <w:tcPr>
            <w:tcW w:type="dxa" w:w="5040"/>
          </w:tcPr>
          <w:p>
            <w:pPr>
              <w:spacing w:after="80"/>
            </w:pPr>
            <w:r>
              <w:rPr>
                <w:sz w:val="19"/>
              </w:rPr>
              <w:t>Select the intended film. Make the JSON project value match its title; do not rename the project merely to hide an accidental wrong-file upload.</w:t>
            </w:r>
          </w:p>
        </w:tc>
      </w:tr>
      <w:tr>
        <w:trPr>
          <w:cantSplit/>
        </w:trPr>
        <w:tc>
          <w:tcPr>
            <w:tcW w:type="dxa" w:w="5040"/>
          </w:tcPr>
          <w:p>
            <w:pPr>
              <w:spacing w:after="80"/>
            </w:pPr>
            <w:r>
              <w:rPr>
                <w:sz w:val="19"/>
              </w:rPr>
              <w:t>Bible upload fails</w:t>
            </w:r>
          </w:p>
        </w:tc>
        <w:tc>
          <w:tcPr>
            <w:tcW w:type="dxa" w:w="5040"/>
          </w:tcPr>
          <w:p>
            <w:pPr>
              <w:spacing w:after="80"/>
            </w:pPr>
            <w:r>
              <w:rPr>
                <w:sz w:val="19"/>
              </w:rPr>
              <w:t>Use DOCX in The Page and Markdown in The Study. Check the 2 MB profile-upload limit, readable text, and required headings/labels.</w:t>
            </w:r>
          </w:p>
        </w:tc>
      </w:tr>
      <w:tr>
        <w:trPr>
          <w:cantSplit/>
        </w:trPr>
        <w:tc>
          <w:tcPr>
            <w:tcW w:type="dxa" w:w="5040"/>
          </w:tcPr>
          <w:p>
            <w:pPr>
              <w:spacing w:after="80"/>
            </w:pPr>
            <w:r>
              <w:rPr>
                <w:sz w:val="19"/>
              </w:rPr>
              <w:t>Only part of a Word bible appears</w:t>
            </w:r>
          </w:p>
        </w:tc>
        <w:tc>
          <w:tcPr>
            <w:tcW w:type="dxa" w:w="5040"/>
          </w:tcPr>
          <w:p>
            <w:pPr>
              <w:spacing w:after="80"/>
            </w:pPr>
            <w:r>
              <w:rPr>
                <w:sz w:val="19"/>
              </w:rPr>
              <w:t>Use Heading 2 for every character and the exact field labels. Review all source sections and the reference area. Unstructured documents may use AI extraction instead of the deterministic path.</w:t>
            </w:r>
          </w:p>
        </w:tc>
      </w:tr>
      <w:tr>
        <w:trPr>
          <w:cantSplit/>
        </w:trPr>
        <w:tc>
          <w:tcPr>
            <w:tcW w:type="dxa" w:w="5040"/>
          </w:tcPr>
          <w:p>
            <w:pPr>
              <w:spacing w:after="80"/>
            </w:pPr>
            <w:r>
              <w:rPr>
                <w:sz w:val="19"/>
              </w:rPr>
              <w:t>Duplicate or missing characters</w:t>
            </w:r>
          </w:p>
        </w:tc>
        <w:tc>
          <w:tcPr>
            <w:tcW w:type="dxa" w:w="5040"/>
          </w:tcPr>
          <w:p>
            <w:pPr>
              <w:spacing w:after="80"/>
            </w:pPr>
            <w:r>
              <w:rPr>
                <w:sz w:val="19"/>
              </w:rPr>
              <w:t>Review full names and nicknames, refresh from the full script, and inspect unresolved matches. Ambiguous shared names must not be guessed.</w:t>
            </w:r>
          </w:p>
        </w:tc>
      </w:tr>
      <w:tr>
        <w:trPr>
          <w:cantSplit/>
        </w:trPr>
        <w:tc>
          <w:tcPr>
            <w:tcW w:type="dxa" w:w="5040"/>
          </w:tcPr>
          <w:p>
            <w:pPr>
              <w:spacing w:after="80"/>
            </w:pPr>
            <w:r>
              <w:rPr>
                <w:sz w:val="19"/>
              </w:rPr>
              <w:t>Old profile detail remains after re-upload</w:t>
            </w:r>
          </w:p>
        </w:tc>
        <w:tc>
          <w:tcPr>
            <w:tcW w:type="dxa" w:w="5040"/>
          </w:tcPr>
          <w:p>
            <w:pPr>
              <w:spacing w:after="80"/>
            </w:pPr>
            <w:r>
              <w:rPr>
                <w:sz w:val="19"/>
              </w:rPr>
              <w:t>The importer preserves non-empty edits. Compare the new bible source with the profile, then edit the intended field. Revise an approved look before changing its appearance.</w:t>
            </w:r>
          </w:p>
        </w:tc>
      </w:tr>
      <w:tr>
        <w:trPr>
          <w:cantSplit/>
        </w:trPr>
        <w:tc>
          <w:tcPr>
            <w:tcW w:type="dxa" w:w="5040"/>
          </w:tcPr>
          <w:p>
            <w:pPr>
              <w:spacing w:after="80"/>
            </w:pPr>
            <w:r>
              <w:rPr>
                <w:sz w:val="19"/>
              </w:rPr>
              <w:t>“Locked” in the file but no approved look</w:t>
            </w:r>
          </w:p>
        </w:tc>
        <w:tc>
          <w:tcPr>
            <w:tcW w:type="dxa" w:w="5040"/>
          </w:tcPr>
          <w:p>
            <w:pPr>
              <w:spacing w:after="80"/>
            </w:pPr>
            <w:r>
              <w:rPr>
                <w:sz w:val="19"/>
              </w:rPr>
              <w:t>Approve the physical reference in Lock character looks. Source wording alone cannot approve it.</w:t>
            </w:r>
          </w:p>
        </w:tc>
      </w:tr>
      <w:tr>
        <w:trPr>
          <w:cantSplit/>
        </w:trPr>
        <w:tc>
          <w:tcPr>
            <w:tcW w:type="dxa" w:w="5040"/>
          </w:tcPr>
          <w:p>
            <w:pPr>
              <w:spacing w:after="80"/>
            </w:pPr>
            <w:r>
              <w:rPr>
                <w:sz w:val="19"/>
              </w:rPr>
              <w:t>Voice or music is absent</w:t>
            </w:r>
          </w:p>
        </w:tc>
        <w:tc>
          <w:tcPr>
            <w:tcW w:type="dxa" w:w="5040"/>
          </w:tcPr>
          <w:p>
            <w:pPr>
              <w:spacing w:after="80"/>
            </w:pPr>
            <w:r>
              <w:rPr>
                <w:sz w:val="19"/>
              </w:rPr>
              <w:t>Check saved voice assignment, generation settings, and actual audio sources. Study audio/reference uploads and written prompts are not final soundtrack placement.</w:t>
            </w:r>
          </w:p>
        </w:tc>
      </w:tr>
      <w:tr>
        <w:trPr>
          <w:cantSplit/>
        </w:trPr>
        <w:tc>
          <w:tcPr>
            <w:tcW w:type="dxa" w:w="5040"/>
          </w:tcPr>
          <w:p>
            <w:pPr>
              <w:spacing w:after="80"/>
            </w:pPr>
            <w:r>
              <w:rPr>
                <w:sz w:val="19"/>
              </w:rPr>
              <w:t>Wrong age, wardrobe, or injury</w:t>
            </w:r>
          </w:p>
        </w:tc>
        <w:tc>
          <w:tcPr>
            <w:tcW w:type="dxa" w:w="5040"/>
          </w:tcPr>
          <w:p>
            <w:pPr>
              <w:spacing w:after="80"/>
            </w:pPr>
            <w:r>
              <w:rPr>
                <w:sz w:val="19"/>
              </w:rPr>
              <w:t>Check the scene period, reference/staging choice, and operational shot prompt. Re-render the affected take after correcting the source.</w:t>
            </w:r>
          </w:p>
        </w:tc>
      </w:tr>
      <w:tr>
        <w:trPr>
          <w:cantSplit/>
        </w:trPr>
        <w:tc>
          <w:tcPr>
            <w:tcW w:type="dxa" w:w="5040"/>
          </w:tcPr>
          <w:p>
            <w:pPr>
              <w:spacing w:after="80"/>
            </w:pPr>
            <w:r>
              <w:rPr>
                <w:sz w:val="19"/>
              </w:rPr>
              <w:t>The download is only one scene</w:t>
            </w:r>
          </w:p>
        </w:tc>
        <w:tc>
          <w:tcPr>
            <w:tcW w:type="dxa" w:w="5040"/>
          </w:tcPr>
          <w:p>
            <w:pPr>
              <w:spacing w:after="80"/>
            </w:pPr>
            <w:r>
              <w:rPr>
                <w:sz w:val="19"/>
              </w:rPr>
              <w:t>Select Watch full film and confirm a full-film output exists before downloading.</w:t>
            </w:r>
          </w:p>
        </w:tc>
      </w:tr>
      <w:tr>
        <w:trPr>
          <w:cantSplit/>
        </w:trPr>
        <w:tc>
          <w:tcPr>
            <w:tcW w:type="dxa" w:w="5040"/>
          </w:tcPr>
          <w:p>
            <w:pPr>
              <w:spacing w:after="80"/>
            </w:pPr>
            <w:r>
              <w:rPr>
                <w:sz w:val="19"/>
              </w:rPr>
              <w:t>The export is JSON</w:t>
            </w:r>
          </w:p>
        </w:tc>
        <w:tc>
          <w:tcPr>
            <w:tcW w:type="dxa" w:w="5040"/>
          </w:tcPr>
          <w:p>
            <w:pPr>
              <w:spacing w:after="80"/>
            </w:pPr>
            <w:r>
              <w:rPr>
                <w:sz w:val="19"/>
              </w:rPr>
              <w:t>You downloaded the manifest. Use the MP4 download for the video.</w:t>
            </w:r>
          </w:p>
        </w:tc>
      </w:tr>
    </w:tbl>
    <w:p>
      <w:pPr>
        <w:pStyle w:val="Heading2"/>
      </w:pPr>
      <w:r>
        <w:t>A disciplined revision loop</w:t>
      </w:r>
    </w:p>
    <w:p>
      <w:r>
        <w:t>Save a new draft filename → identify what changed → import/update the relevant source → review affected identities and scenes → revise approvals where needed → re-render only affected takes → reassemble → screen and approve the new output.</w:t>
      </w:r>
    </w:p>
    <w:p>
      <w:r>
        <w:t>Back up source files and important outputs. Do not assume a new document silently replaces all downstream generations. The creator makes the final decisions; advisory notes do not remove that responsibility.</w:t>
      </w:r>
    </w:p>
    <w:p>
      <w:r>
        <w:br w:type="page"/>
      </w:r>
    </w:p>
    <w:p>
      <w:pPr>
        <w:pStyle w:val="Heading1"/>
      </w:pPr>
      <w:r>
        <w:t>Reusable project folder and templates</w:t>
      </w:r>
    </w:p>
    <w:p>
      <w:r>
        <w:t>Duplicate the supplied template pack for each film. Replace every REPLACE marker and instructional placeholder before uploading. Keep filenames versioned, for example Harbor_Character_Bible_v02_2026-09-06.docx. The filename can vary; the JSON category keys and Word headings/labels should stay consistent.</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t>File in the pack</w:t>
            </w:r>
          </w:p>
        </w:tc>
        <w:tc>
          <w:tcPr>
            <w:tcW w:type="dxa" w:w="5040"/>
          </w:tcPr>
          <w:p>
            <w:r>
              <w:t>Use and destination</w:t>
            </w:r>
          </w:p>
        </w:tc>
      </w:tr>
      <w:tr>
        <w:trPr>
          <w:cantSplit/>
        </w:trPr>
        <w:tc>
          <w:tcPr>
            <w:tcW w:type="dxa" w:w="5040"/>
          </w:tcPr>
          <w:p>
            <w:pPr>
              <w:spacing w:after="80"/>
            </w:pPr>
            <w:r>
              <w:rPr>
                <w:sz w:val="19"/>
              </w:rPr>
              <w:t>00_Project_Checklist.md</w:t>
            </w:r>
          </w:p>
        </w:tc>
        <w:tc>
          <w:tcPr>
            <w:tcW w:type="dxa" w:w="5040"/>
          </w:tcPr>
          <w:p>
            <w:pPr>
              <w:spacing w:after="80"/>
            </w:pPr>
            <w:r>
              <w:rPr>
                <w:sz w:val="19"/>
              </w:rPr>
              <w:t>Your working checklist. Keep externally; optional Production Bible.</w:t>
            </w:r>
          </w:p>
        </w:tc>
      </w:tr>
      <w:tr>
        <w:trPr>
          <w:cantSplit/>
        </w:trPr>
        <w:tc>
          <w:tcPr>
            <w:tcW w:type="dxa" w:w="5040"/>
          </w:tcPr>
          <w:p>
            <w:pPr>
              <w:spacing w:after="80"/>
            </w:pPr>
            <w:r>
              <w:rPr>
                <w:sz w:val="19"/>
              </w:rPr>
              <w:t>01_Screenplay.template.fountain</w:t>
            </w:r>
          </w:p>
        </w:tc>
        <w:tc>
          <w:tcPr>
            <w:tcW w:type="dxa" w:w="5040"/>
          </w:tcPr>
          <w:p>
            <w:pPr>
              <w:spacing w:after="80"/>
            </w:pPr>
            <w:r>
              <w:rPr>
                <w:sz w:val="19"/>
              </w:rPr>
              <w:t>Readable screenplay skeleton. The Page after replacing sample material.</w:t>
            </w:r>
          </w:p>
        </w:tc>
      </w:tr>
      <w:tr>
        <w:trPr>
          <w:cantSplit/>
        </w:trPr>
        <w:tc>
          <w:tcPr>
            <w:tcW w:type="dxa" w:w="5040"/>
          </w:tcPr>
          <w:p>
            <w:pPr>
              <w:spacing w:after="80"/>
            </w:pPr>
            <w:r>
              <w:rPr>
                <w:sz w:val="19"/>
              </w:rPr>
              <w:t>02_Master_Cast_List.template.json</w:t>
            </w:r>
          </w:p>
        </w:tc>
        <w:tc>
          <w:tcPr>
            <w:tcW w:type="dxa" w:w="5040"/>
          </w:tcPr>
          <w:p>
            <w:pPr>
              <w:spacing w:after="80"/>
            </w:pPr>
            <w:r>
              <w:rPr>
                <w:sz w:val="19"/>
              </w:rPr>
              <w:t>Official cast structure. The Page → Character Profiles.</w:t>
            </w:r>
          </w:p>
        </w:tc>
      </w:tr>
      <w:tr>
        <w:trPr>
          <w:cantSplit/>
        </w:trPr>
        <w:tc>
          <w:tcPr>
            <w:tcW w:type="dxa" w:w="5040"/>
          </w:tcPr>
          <w:p>
            <w:pPr>
              <w:spacing w:after="80"/>
            </w:pPr>
            <w:r>
              <w:rPr>
                <w:sz w:val="19"/>
              </w:rPr>
              <w:t>03_Character_Bible.template.docx</w:t>
            </w:r>
          </w:p>
        </w:tc>
        <w:tc>
          <w:tcPr>
            <w:tcW w:type="dxa" w:w="5040"/>
          </w:tcPr>
          <w:p>
            <w:pPr>
              <w:spacing w:after="80"/>
            </w:pPr>
            <w:r>
              <w:rPr>
                <w:sz w:val="19"/>
              </w:rPr>
              <w:t>Named character sections. Same profile uploader, after JSON.</w:t>
            </w:r>
          </w:p>
        </w:tc>
      </w:tr>
      <w:tr>
        <w:trPr>
          <w:cantSplit/>
        </w:trPr>
        <w:tc>
          <w:tcPr>
            <w:tcW w:type="dxa" w:w="5040"/>
          </w:tcPr>
          <w:p>
            <w:pPr>
              <w:spacing w:after="80"/>
            </w:pPr>
            <w:r>
              <w:rPr>
                <w:sz w:val="19"/>
              </w:rPr>
              <w:t>04_Story_World_Bible.template.md</w:t>
            </w:r>
          </w:p>
        </w:tc>
        <w:tc>
          <w:tcPr>
            <w:tcW w:type="dxa" w:w="5040"/>
          </w:tcPr>
          <w:p>
            <w:pPr>
              <w:spacing w:after="80"/>
            </w:pPr>
            <w:r>
              <w:rPr>
                <w:sz w:val="19"/>
              </w:rPr>
              <w:t>Story and world rules. Study → Bibles → Story.</w:t>
            </w:r>
          </w:p>
        </w:tc>
      </w:tr>
      <w:tr>
        <w:trPr>
          <w:cantSplit/>
        </w:trPr>
        <w:tc>
          <w:tcPr>
            <w:tcW w:type="dxa" w:w="5040"/>
          </w:tcPr>
          <w:p>
            <w:pPr>
              <w:spacing w:after="80"/>
            </w:pPr>
            <w:r>
              <w:rPr>
                <w:sz w:val="19"/>
              </w:rPr>
              <w:t>05_Visual_Tone_Bible.template.md</w:t>
            </w:r>
          </w:p>
        </w:tc>
        <w:tc>
          <w:tcPr>
            <w:tcW w:type="dxa" w:w="5040"/>
          </w:tcPr>
          <w:p>
            <w:pPr>
              <w:spacing w:after="80"/>
            </w:pPr>
            <w:r>
              <w:rPr>
                <w:sz w:val="19"/>
              </w:rPr>
              <w:t>Visual grammar and tone. Study → Bibles → Visual or Tone.</w:t>
            </w:r>
          </w:p>
        </w:tc>
      </w:tr>
      <w:tr>
        <w:trPr>
          <w:cantSplit/>
        </w:trPr>
        <w:tc>
          <w:tcPr>
            <w:tcW w:type="dxa" w:w="5040"/>
          </w:tcPr>
          <w:p>
            <w:pPr>
              <w:spacing w:after="80"/>
            </w:pPr>
            <w:r>
              <w:rPr>
                <w:sz w:val="19"/>
              </w:rPr>
              <w:t>06_Production_Continuity.template.md</w:t>
            </w:r>
          </w:p>
        </w:tc>
        <w:tc>
          <w:tcPr>
            <w:tcW w:type="dxa" w:w="5040"/>
          </w:tcPr>
          <w:p>
            <w:pPr>
              <w:spacing w:after="80"/>
            </w:pPr>
            <w:r>
              <w:rPr>
                <w:sz w:val="19"/>
              </w:rPr>
              <w:t>Timeline, locations, wardrobe, props, injuries. Study → Bibles → Production.</w:t>
            </w:r>
          </w:p>
        </w:tc>
      </w:tr>
      <w:tr>
        <w:trPr>
          <w:cantSplit/>
        </w:trPr>
        <w:tc>
          <w:tcPr>
            <w:tcW w:type="dxa" w:w="5040"/>
          </w:tcPr>
          <w:p>
            <w:pPr>
              <w:spacing w:after="80"/>
            </w:pPr>
            <w:r>
              <w:rPr>
                <w:sz w:val="19"/>
              </w:rPr>
              <w:t>07_Sound_Voice_Brief.template.md</w:t>
            </w:r>
          </w:p>
        </w:tc>
        <w:tc>
          <w:tcPr>
            <w:tcW w:type="dxa" w:w="5040"/>
          </w:tcPr>
          <w:p>
            <w:pPr>
              <w:spacing w:after="80"/>
            </w:pPr>
            <w:r>
              <w:rPr>
                <w:sz w:val="19"/>
              </w:rPr>
              <w:t>Voice/performance, music, ambience, silence. Study → Bibles → Production or Tone.</w:t>
            </w:r>
          </w:p>
        </w:tc>
      </w:tr>
      <w:tr>
        <w:trPr>
          <w:cantSplit/>
        </w:trPr>
        <w:tc>
          <w:tcPr>
            <w:tcW w:type="dxa" w:w="5040"/>
          </w:tcPr>
          <w:p>
            <w:pPr>
              <w:spacing w:after="80"/>
            </w:pPr>
            <w:r>
              <w:rPr>
                <w:sz w:val="19"/>
              </w:rPr>
              <w:t>08_Shot_Planning.template.md</w:t>
            </w:r>
          </w:p>
        </w:tc>
        <w:tc>
          <w:tcPr>
            <w:tcW w:type="dxa" w:w="5040"/>
          </w:tcPr>
          <w:p>
            <w:pPr>
              <w:spacing w:after="80"/>
            </w:pPr>
            <w:r>
              <w:rPr>
                <w:sz w:val="19"/>
              </w:rPr>
              <w:t>Optional shot-planning aid. Study → Bibles → Production; enter operational choices in Previs.</w:t>
            </w:r>
          </w:p>
        </w:tc>
      </w:tr>
      <w:tr>
        <w:trPr>
          <w:cantSplit/>
        </w:trPr>
        <w:tc>
          <w:tcPr>
            <w:tcW w:type="dxa" w:w="5040"/>
          </w:tcPr>
          <w:p>
            <w:pPr>
              <w:spacing w:after="80"/>
            </w:pPr>
            <w:r>
              <w:rPr>
                <w:sz w:val="19"/>
              </w:rPr>
              <w:t>09_Delivery_Credits.template.md</w:t>
            </w:r>
          </w:p>
        </w:tc>
        <w:tc>
          <w:tcPr>
            <w:tcW w:type="dxa" w:w="5040"/>
          </w:tcPr>
          <w:p>
            <w:pPr>
              <w:spacing w:after="80"/>
            </w:pPr>
            <w:r>
              <w:rPr>
                <w:sz w:val="19"/>
              </w:rPr>
              <w:t>Delivery requirements and credit checklist. Keep externally; optional Production Bible.</w:t>
            </w:r>
          </w:p>
        </w:tc>
      </w:tr>
      <w:tr>
        <w:trPr>
          <w:cantSplit/>
        </w:trPr>
        <w:tc>
          <w:tcPr>
            <w:tcW w:type="dxa" w:w="5040"/>
          </w:tcPr>
          <w:p>
            <w:pPr>
              <w:spacing w:after="80"/>
            </w:pPr>
            <w:r>
              <w:rPr>
                <w:sz w:val="19"/>
              </w:rPr>
              <w:t>10_Asset_Register.template.md</w:t>
            </w:r>
          </w:p>
        </w:tc>
        <w:tc>
          <w:tcPr>
            <w:tcW w:type="dxa" w:w="5040"/>
          </w:tcPr>
          <w:p>
            <w:pPr>
              <w:spacing w:after="80"/>
            </w:pPr>
            <w:r>
              <w:rPr>
                <w:sz w:val="19"/>
              </w:rPr>
              <w:t>Inventory of reference/production assets and their sources. Keep externally; optional Production Bible.</w:t>
            </w:r>
          </w:p>
        </w:tc>
      </w:tr>
    </w:tbl>
    <w:p>
      <w:pPr>
        <w:pStyle w:val="Heading2"/>
      </w:pPr>
      <w:r>
        <w:t>Suggested folders</w:t>
      </w:r>
    </w:p>
    <w:p>
      <w:r>
        <w:t>01_Script / 02_Cast_and_Bible / 03_Project_Guidance / 04_Reference_Images / 05_Reference_Media / 06_Production_Audio / 07_Exports / 08_Permissions_and_Credits / 09_Archive</w:t>
      </w:r>
    </w:p>
    <w:p>
      <w:pPr>
        <w:pStyle w:val="Heading2"/>
      </w:pPr>
      <w:r>
        <w:t>What this edition covers</w:t>
      </w:r>
    </w:p>
    <w:p>
      <w:r>
        <w:t>This manual follows the local application’s current Page, Study, Previs, and Screening controls and the structured importer added for your SIX documents. Button labels and available features may evolve. Preserve this edition with your project and update its checklist when the app workflow changes.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AI Film Studio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172A36"/>
      <w:sz w:val="46"/>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Calibri" w:hAnsi="Calibri"/>
      <w:b/>
      <w:bCs/>
      <w:color w:val="172A36"/>
      <w:sz w:val="28"/>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ascii="Calibri" w:hAnsi="Calibri"/>
      <w:b/>
      <w:bCs/>
      <w:color w:val="172A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