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15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 2 этап</w:t>
      </w:r>
    </w:p>
    <w:p>
      <w:pPr>
        <w:pStyle w:val="Subtitle"/>
      </w:pPr>
      <w:r>
        <w:t xml:space="preserve">Архитектура компьютера и операционные системы</w:t>
      </w:r>
    </w:p>
    <w:p>
      <w:pPr>
        <w:pStyle w:val="Author"/>
      </w:pPr>
      <w:r>
        <w:t xml:space="preserve">Бессонов Андрей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прохождение второго этапа внешнего курса «Введение в Linux» и закрепление практических навыков работы с удалёнными серверами, передачей файлов, справочной информацией о программах, управлением процессами, многопоточными приложениями и использованием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Необходимо пройти задания второго этапа внешнего курса и подготовить отчёт по всем выполненным активностям. Для каждого тестового вопроса и практического задания требуется привести:</w:t>
      </w:r>
    </w:p>
    <w:p>
      <w:pPr>
        <w:pStyle w:val="Compact"/>
        <w:numPr>
          <w:ilvl w:val="0"/>
          <w:numId w:val="1001"/>
        </w:numPr>
      </w:pPr>
      <w:r>
        <w:t xml:space="preserve">скриншот с формулировкой задания;</w:t>
      </w:r>
    </w:p>
    <w:p>
      <w:pPr>
        <w:pStyle w:val="Compact"/>
        <w:numPr>
          <w:ilvl w:val="0"/>
          <w:numId w:val="1001"/>
        </w:numPr>
      </w:pPr>
      <w:r>
        <w:t xml:space="preserve">скриншот, подтверждающий успешное прохождение;</w:t>
      </w:r>
    </w:p>
    <w:p>
      <w:pPr>
        <w:pStyle w:val="Compact"/>
        <w:numPr>
          <w:ilvl w:val="0"/>
          <w:numId w:val="1001"/>
        </w:numPr>
      </w:pPr>
      <w:r>
        <w:t xml:space="preserve">краткое пояснение по выбору ответа или выполнению задания.</w:t>
      </w:r>
    </w:p>
    <w:p>
      <w:r>
        <w:pict>
          <v:rect style="width:0;height:1.5pt" o:hralign="center" o:hrstd="t" o:hr="t"/>
        </w:pict>
      </w:r>
    </w:p>
    <w:bookmarkEnd w:id="10"/>
    <w:bookmarkStart w:id="113" w:name="выполнение-второго-этапа"/>
    <w:p>
      <w:pPr>
        <w:pStyle w:val="Heading1"/>
      </w:pPr>
      <w:r>
        <w:t xml:space="preserve">3. Выполнение второго этапа</w:t>
      </w:r>
    </w:p>
    <w:p>
      <w:r>
        <w:pict>
          <v:rect style="width:0;height:1.5pt" o:hralign="center" o:hrstd="t" o:hr="t"/>
        </w:pict>
      </w:r>
    </w:p>
    <w:bookmarkStart w:id="19" w:name="знакомство-с-сервером"/>
    <w:p>
      <w:pPr>
        <w:pStyle w:val="Heading2"/>
      </w:pPr>
      <w:r>
        <w:t xml:space="preserve">3.1 Знакомство с сервером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удалённый сервер можно использовать для хранения общедоступных и конфиденциальных данных, хранения больших объёмов информации, а также для выполнения сложных вычислений (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001"/>
          <w:p>
            <w:pPr>
              <w:pStyle w:val="Compact"/>
              <w:jc w:val="center"/>
            </w:pPr>
            <w:r>
              <w:drawing>
                <wp:inline>
                  <wp:extent cx="4267200" cy="17991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99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Задание о назначении удалённого сервера</w:t>
            </w:r>
          </w:p>
          <w:bookmarkEnd w:id="14"/>
        </w:tc>
      </w:tr>
    </w:tbl>
    <w:p>
      <w:pPr>
        <w:pStyle w:val="BodyText"/>
      </w:pPr>
      <w:r>
        <w:t xml:space="preserve">В задании требовалось выбрать все подходящие варианты использования удалённого сервера. Были отмечены все перечисленные пункты, поскольку сервер действительно может применяться и для хранения данных, и для выполнения вычислительных задач.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без опаски по интернету можно пересылать открытый ключ</w:t>
      </w:r>
      <w:r>
        <w:t xml:space="preserve"> </w:t>
      </w:r>
      <w:r>
        <w:rPr>
          <w:rStyle w:val="VerbatimChar"/>
        </w:rPr>
        <w:t xml:space="preserve">id_rsa.pub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002"/>
          <w:p>
            <w:pPr>
              <w:pStyle w:val="Compact"/>
              <w:jc w:val="center"/>
            </w:pPr>
            <w:r>
              <w:drawing>
                <wp:inline>
                  <wp:extent cx="4267200" cy="1918712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18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Выбор ключа, который можно пересылать по интернету</w:t>
            </w:r>
          </w:p>
          <w:bookmarkEnd w:id="18"/>
        </w:tc>
      </w:tr>
    </w:tbl>
    <w:p>
      <w:pPr>
        <w:pStyle w:val="BodyText"/>
      </w:pPr>
      <w:r>
        <w:t xml:space="preserve">В задании нужно было определить, какой из ключей пары</w:t>
      </w:r>
      <w:r>
        <w:t xml:space="preserve"> </w:t>
      </w:r>
      <w:r>
        <w:rPr>
          <w:rStyle w:val="VerbatimChar"/>
        </w:rPr>
        <w:t xml:space="preserve">ssh-keygen</w:t>
      </w:r>
      <w:r>
        <w:t xml:space="preserve"> </w:t>
      </w:r>
      <w:r>
        <w:t xml:space="preserve">можно передавать другим пользователям. Безопасно передавать именно открытый ключ</w:t>
      </w:r>
      <w:r>
        <w:t xml:space="preserve"> </w:t>
      </w:r>
      <w:r>
        <w:rPr>
          <w:rStyle w:val="VerbatimChar"/>
        </w:rPr>
        <w:t xml:space="preserve">id_rsa.pub</w:t>
      </w:r>
      <w:r>
        <w:t xml:space="preserve">, так как закрытый ключ</w:t>
      </w:r>
      <w:r>
        <w:t xml:space="preserve"> </w:t>
      </w:r>
      <w:r>
        <w:rPr>
          <w:rStyle w:val="VerbatimChar"/>
        </w:rPr>
        <w:t xml:space="preserve">id_rsa</w:t>
      </w:r>
      <w:r>
        <w:t xml:space="preserve"> </w:t>
      </w:r>
      <w:r>
        <w:t xml:space="preserve">должен оставаться только у владельца.</w:t>
      </w:r>
    </w:p>
    <w:p>
      <w:r>
        <w:pict>
          <v:rect style="width:0;height:1.5pt" o:hralign="center" o:hrstd="t" o:hr="t"/>
        </w:pict>
      </w:r>
    </w:p>
    <w:bookmarkEnd w:id="19"/>
    <w:bookmarkStart w:id="32" w:name="обмен-файлами"/>
    <w:p>
      <w:pPr>
        <w:pStyle w:val="Heading2"/>
      </w:pPr>
      <w:r>
        <w:t xml:space="preserve">3.2 Обмен файлами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для копирования каталога</w:t>
      </w:r>
      <w:r>
        <w:t xml:space="preserve"> </w:t>
      </w:r>
      <w:r>
        <w:rPr>
          <w:rStyle w:val="VerbatimChar"/>
        </w:rPr>
        <w:t xml:space="preserve">stepic</w:t>
      </w:r>
      <w:r>
        <w:t xml:space="preserve"> </w:t>
      </w:r>
      <w:r>
        <w:t xml:space="preserve">на сервер вместе со всем содержимым и подкаталогами подходит команда</w:t>
      </w:r>
      <w:r>
        <w:t xml:space="preserve"> </w:t>
      </w:r>
      <w:r>
        <w:rPr>
          <w:rStyle w:val="VerbatimChar"/>
        </w:rPr>
        <w:t xml:space="preserve">scp -r stepic username@server:~/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4267200" cy="1813817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13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Выбор команды для копирования каталога на сервер</w:t>
            </w:r>
          </w:p>
          <w:bookmarkEnd w:id="23"/>
        </w:tc>
      </w:tr>
    </w:tbl>
    <w:p>
      <w:pPr>
        <w:pStyle w:val="BodyText"/>
      </w:pPr>
      <w:r>
        <w:t xml:space="preserve">В этом задании требовалось выбрать корректную команду для рекурсивного копирования каталога на сервер. Подходит именно</w:t>
      </w:r>
      <w:r>
        <w:t xml:space="preserve"> </w:t>
      </w:r>
      <w:r>
        <w:rPr>
          <w:rStyle w:val="VerbatimChar"/>
        </w:rPr>
        <w:t xml:space="preserve">scp -r</w:t>
      </w:r>
      <w:r>
        <w:t xml:space="preserve">, поскольку ключ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отвечает за передачу директории вместе со всеми вложенными файлами и папками.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проблему при установке программы через</w:t>
      </w:r>
      <w:r>
        <w:t xml:space="preserve"> </w:t>
      </w:r>
      <w:r>
        <w:rPr>
          <w:rStyle w:val="VerbatimChar"/>
        </w:rPr>
        <w:t xml:space="preserve">sudo apt-get install program</w:t>
      </w:r>
      <w:r>
        <w:t xml:space="preserve"> </w:t>
      </w:r>
      <w:r>
        <w:t xml:space="preserve">могут устранить проверка интернет-соединения, его настройка при отсутствии и команда</w:t>
      </w:r>
      <w:r>
        <w:t xml:space="preserve"> </w:t>
      </w:r>
      <w:r>
        <w:rPr>
          <w:rStyle w:val="VerbatimChar"/>
        </w:rPr>
        <w:t xml:space="preserve">sudo apt-get update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4267200" cy="2214831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14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Выбор действий при проблеме с установкой пакета</w:t>
            </w:r>
          </w:p>
          <w:bookmarkEnd w:id="27"/>
        </w:tc>
      </w:tr>
    </w:tbl>
    <w:p>
      <w:pPr>
        <w:pStyle w:val="BodyText"/>
      </w:pPr>
      <w:r>
        <w:t xml:space="preserve">Если пакет не удаётся найти или скачать, сначала нужно проверить наличие доступа к сети, затем при необходимости восстановить соединение и обновить сведения о пакетах при помощи</w:t>
      </w:r>
      <w:r>
        <w:t xml:space="preserve"> </w:t>
      </w:r>
      <w:r>
        <w:rPr>
          <w:rStyle w:val="VerbatimChar"/>
        </w:rPr>
        <w:t xml:space="preserve">sudo apt-get update</w:t>
      </w:r>
      <w:r>
        <w:t xml:space="preserve">. Именно эти действия и были выбраны.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программу FileZilla можно использовать для просмотра содержимого каталогов на локальном компьютере и на сервере, а также для копирования файлов с сервера на компьютер (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5"/>
          <w:p>
            <w:pPr>
              <w:pStyle w:val="Compact"/>
              <w:jc w:val="center"/>
            </w:pPr>
            <w:r>
              <w:drawing>
                <wp:inline>
                  <wp:extent cx="4267200" cy="192281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22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Выбор возможностей программы FileZilla</w:t>
            </w:r>
          </w:p>
          <w:bookmarkEnd w:id="31"/>
        </w:tc>
      </w:tr>
    </w:tbl>
    <w:p>
      <w:pPr>
        <w:pStyle w:val="BodyText"/>
      </w:pPr>
      <w:r>
        <w:t xml:space="preserve">В задании требовалось отметить функции FileZilla. Эта программа действительно предназначена для работы с файлами и каталогами на локальной и удалённой стороне, а также для передачи файлов между ними.</w:t>
      </w:r>
    </w:p>
    <w:p>
      <w:r>
        <w:pict>
          <v:rect style="width:0;height:1.5pt" o:hralign="center" o:hrstd="t" o:hr="t"/>
        </w:pict>
      </w:r>
    </w:p>
    <w:bookmarkEnd w:id="32"/>
    <w:bookmarkStart w:id="49" w:name="запуск-приложений"/>
    <w:p>
      <w:pPr>
        <w:pStyle w:val="Heading2"/>
      </w:pPr>
      <w:r>
        <w:t xml:space="preserve">3.3 Запуск приложений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при необходимости запуска на сервере программы, которой нужен экран, можно либо найти терминальную версию программы, либо настроить сервер на поддержку вывода графической информации (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6"/>
          <w:p>
            <w:pPr>
              <w:pStyle w:val="Compact"/>
              <w:jc w:val="center"/>
            </w:pPr>
            <w:r>
              <w:drawing>
                <wp:inline>
                  <wp:extent cx="4267200" cy="183438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34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Выбор решений для запуска графической программы на сервере</w:t>
            </w:r>
          </w:p>
          <w:bookmarkEnd w:id="36"/>
        </w:tc>
      </w:tr>
    </w:tbl>
    <w:p>
      <w:pPr>
        <w:pStyle w:val="BodyText"/>
      </w:pPr>
      <w:r>
        <w:t xml:space="preserve">В задании рассматривалась ситуация, когда программа требует графический интерфейс. Наиболее разумные варианты — использовать консольную версию приложения или настроить вывод графики с удалённого сервера.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справочную информацию о программе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 </w:t>
      </w:r>
      <w:r>
        <w:t xml:space="preserve">обычно можно получить с помощью команд</w:t>
      </w:r>
      <w:r>
        <w:t xml:space="preserve"> </w:t>
      </w:r>
      <w:r>
        <w:rPr>
          <w:rStyle w:val="VerbatimChar"/>
        </w:rPr>
        <w:t xml:space="preserve">program --help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 program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7"/>
          <w:p>
            <w:pPr>
              <w:pStyle w:val="Compact"/>
              <w:jc w:val="center"/>
            </w:pPr>
            <w:r>
              <w:drawing>
                <wp:inline>
                  <wp:extent cx="4267200" cy="210985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09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Выбор способов получения справки о программе</w:t>
            </w:r>
          </w:p>
          <w:bookmarkEnd w:id="40"/>
        </w:tc>
      </w:tr>
    </w:tbl>
    <w:p>
      <w:pPr>
        <w:pStyle w:val="BodyText"/>
      </w:pPr>
      <w:r>
        <w:t xml:space="preserve">Для большинства программ в Linux краткая справка вызывается через параметр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, а более полная документация — через</w:t>
      </w:r>
      <w:r>
        <w:t xml:space="preserve"> </w:t>
      </w:r>
      <w:r>
        <w:rPr>
          <w:rStyle w:val="VerbatimChar"/>
        </w:rPr>
        <w:t xml:space="preserve">man</w:t>
      </w:r>
      <w:r>
        <w:t xml:space="preserve">. Поэтому именно эти варианты были выбраны.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Изучил справку по программе FastQC и указал, что на вход она может принимать форматы</w:t>
      </w:r>
      <w:r>
        <w:t xml:space="preserve"> </w:t>
      </w:r>
      <w:r>
        <w:rPr>
          <w:rStyle w:val="VerbatimChar"/>
        </w:rPr>
        <w:t xml:space="preserve">fastq</w:t>
      </w:r>
      <w:r>
        <w:t xml:space="preserve">,</w:t>
      </w:r>
      <w:r>
        <w:t xml:space="preserve"> </w:t>
      </w:r>
      <w:r>
        <w:rPr>
          <w:rStyle w:val="VerbatimChar"/>
        </w:rPr>
        <w:t xml:space="preserve">bam_mapped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sam_mapped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bam</w:t>
      </w:r>
      <w:r>
        <w:t xml:space="preserve">,</w:t>
      </w:r>
      <w:r>
        <w:t xml:space="preserve"> </w:t>
      </w:r>
      <w:r>
        <w:rPr>
          <w:rStyle w:val="VerbatimChar"/>
        </w:rPr>
        <w:t xml:space="preserve">sam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8"/>
          <w:p>
            <w:pPr>
              <w:pStyle w:val="Compact"/>
              <w:jc w:val="center"/>
            </w:pPr>
            <w:r>
              <w:drawing>
                <wp:inline>
                  <wp:extent cx="4267200" cy="398741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987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Определение форматов входных данных FastQC</w:t>
            </w:r>
          </w:p>
          <w:bookmarkEnd w:id="44"/>
        </w:tc>
      </w:tr>
    </w:tbl>
    <w:p>
      <w:pPr>
        <w:pStyle w:val="BodyText"/>
      </w:pPr>
      <w:r>
        <w:t xml:space="preserve">В этом задании нужно было ознакомиться со справкой FastQC и определить поддерживаемые форматы данных. По результатам изучения были выбраны форматы, связанные с чтениями и выравниваниями, которые программа действительно умеет анализировать.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Изучил справку по ClustalW и ввёл команду</w:t>
      </w:r>
      <w:r>
        <w:t xml:space="preserve"> </w:t>
      </w:r>
      <w:r>
        <w:rPr>
          <w:rStyle w:val="VerbatimChar"/>
        </w:rPr>
        <w:t xml:space="preserve">clustalw -align -infile=test.fasta</w:t>
      </w:r>
      <w:r>
        <w:t xml:space="preserve"> </w:t>
      </w:r>
      <w:r>
        <w:t xml:space="preserve">для выполнения множественного выравнивания файла</w:t>
      </w:r>
      <w:r>
        <w:t xml:space="preserve"> </w:t>
      </w:r>
      <w:r>
        <w:rPr>
          <w:rStyle w:val="VerbatimChar"/>
        </w:rPr>
        <w:t xml:space="preserve">test.fasta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9"/>
          <w:p>
            <w:pPr>
              <w:pStyle w:val="Compact"/>
              <w:jc w:val="center"/>
            </w:pPr>
            <w:r>
              <w:drawing>
                <wp:inline>
                  <wp:extent cx="4267200" cy="358708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587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Ввод команды запуска ClustalW для множественного выравнивания</w:t>
            </w:r>
          </w:p>
          <w:bookmarkEnd w:id="48"/>
        </w:tc>
      </w:tr>
    </w:tbl>
    <w:p>
      <w:pPr>
        <w:pStyle w:val="BodyText"/>
      </w:pPr>
      <w:r>
        <w:t xml:space="preserve">В задании требовалось не просто запустить программу, а указать минимально необходимую команду, которая явно задаёт выполнение множественного выравнивания. Для этого была использована опция</w:t>
      </w:r>
      <w:r>
        <w:t xml:space="preserve"> </w:t>
      </w:r>
      <w:r>
        <w:rPr>
          <w:rStyle w:val="VerbatimChar"/>
        </w:rPr>
        <w:t xml:space="preserve">-align</w:t>
      </w:r>
      <w:r>
        <w:t xml:space="preserve"> </w:t>
      </w:r>
      <w:r>
        <w:t xml:space="preserve">и указан входной файл через</w:t>
      </w:r>
      <w:r>
        <w:t xml:space="preserve"> </w:t>
      </w:r>
      <w:r>
        <w:rPr>
          <w:rStyle w:val="VerbatimChar"/>
        </w:rPr>
        <w:t xml:space="preserve">-infile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66" w:name="контроль-запускаемых-программ"/>
    <w:p>
      <w:pPr>
        <w:pStyle w:val="Heading2"/>
      </w:pPr>
      <w:r>
        <w:t xml:space="preserve">3.4 Контроль запускаемых программ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после последовательности действий</w:t>
      </w:r>
      <w:r>
        <w:t xml:space="preserve"> </w:t>
      </w:r>
      <w:r>
        <w:rPr>
          <w:rStyle w:val="VerbatimChar"/>
        </w:rPr>
        <w:t xml:space="preserve">fg %1</w:t>
      </w:r>
      <w:r>
        <w:t xml:space="preserve">,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,</w:t>
      </w:r>
      <w:r>
        <w:t xml:space="preserve"> </w:t>
      </w:r>
      <w:r>
        <w:rPr>
          <w:rStyle w:val="VerbatimChar"/>
        </w:rPr>
        <w:t xml:space="preserve">fg %2</w:t>
      </w:r>
      <w:r>
        <w:t xml:space="preserve">,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информация будет показана только о программах</w:t>
      </w:r>
      <w:r>
        <w:t xml:space="preserve"> </w:t>
      </w:r>
      <w:r>
        <w:rPr>
          <w:rStyle w:val="VerbatimChar"/>
        </w:rPr>
        <w:t xml:space="preserve">program2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program3</w:t>
      </w:r>
      <w:r>
        <w:t xml:space="preserve"> </w:t>
      </w:r>
      <w:r>
        <w:t xml:space="preserve">(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10"/>
          <w:p>
            <w:pPr>
              <w:pStyle w:val="Compact"/>
              <w:jc w:val="center"/>
            </w:pPr>
            <w:r>
              <w:drawing>
                <wp:inline>
                  <wp:extent cx="4267200" cy="258823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88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Выбор ответа о результате выполнения команд fg, Ctrl+C, Ctrl+Z и jobs</w:t>
            </w:r>
          </w:p>
          <w:bookmarkEnd w:id="53"/>
        </w:tc>
      </w:tr>
    </w:tbl>
    <w:p>
      <w:pPr>
        <w:pStyle w:val="BodyText"/>
      </w:pPr>
      <w:r>
        <w:t xml:space="preserve">После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первая программа завершается и больше не относится к списку заданий оболочки. Вторая после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 </w:t>
      </w:r>
      <w:r>
        <w:t xml:space="preserve">оказывается приостановленной, а третья остаётся в фоне, поэтому команда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покажет только</w:t>
      </w:r>
      <w:r>
        <w:t xml:space="preserve"> </w:t>
      </w:r>
      <w:r>
        <w:rPr>
          <w:rStyle w:val="VerbatimChar"/>
        </w:rPr>
        <w:t xml:space="preserve">program2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program3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идентификаторы процессов в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различаются (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11"/>
          <w:p>
            <w:pPr>
              <w:pStyle w:val="Compact"/>
              <w:jc w:val="center"/>
            </w:pPr>
            <w:r>
              <w:drawing>
                <wp:inline>
                  <wp:extent cx="4267200" cy="1914769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14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Выбор ответа о различии идентификаторов в jobs, top и ps</w:t>
            </w:r>
          </w:p>
          <w:bookmarkEnd w:id="57"/>
        </w:tc>
      </w:tr>
    </w:tbl>
    <w:p>
      <w:pPr>
        <w:pStyle w:val="BodyText"/>
      </w:pPr>
      <w:r>
        <w:t xml:space="preserve">В задании сравнивались идентификаторы, которые показывают разные утилиты.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использует номера заданий оболочки, а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работают с идентификаторами процессов, поэтому значения не совпадают.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мгновенно завершить остановленный процесс можно командой</w:t>
      </w:r>
      <w:r>
        <w:t xml:space="preserve"> </w:t>
      </w:r>
      <w:r>
        <w:rPr>
          <w:rStyle w:val="VerbatimChar"/>
        </w:rPr>
        <w:t xml:space="preserve">kill -9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2"/>
          <w:p>
            <w:pPr>
              <w:pStyle w:val="Compact"/>
              <w:jc w:val="center"/>
            </w:pPr>
            <w:r>
              <w:drawing>
                <wp:inline>
                  <wp:extent cx="4267200" cy="166749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667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Выбор команды для немедленного завершения остановленного процесса</w:t>
            </w:r>
          </w:p>
          <w:bookmarkEnd w:id="61"/>
        </w:tc>
      </w:tr>
    </w:tbl>
    <w:p>
      <w:pPr>
        <w:pStyle w:val="BodyText"/>
      </w:pPr>
      <w:r>
        <w:t xml:space="preserve">Сигнал</w:t>
      </w:r>
      <w:r>
        <w:t xml:space="preserve"> </w:t>
      </w:r>
      <w:r>
        <w:rPr>
          <w:rStyle w:val="VerbatimChar"/>
        </w:rPr>
        <w:t xml:space="preserve">-9</w:t>
      </w:r>
      <w:r>
        <w:t xml:space="preserve"> </w:t>
      </w:r>
      <w:r>
        <w:t xml:space="preserve">соответствует принудительному завершению процесса. Поэтому именно этот вариант был выбран как правильный.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использование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без опций по отношению к процессу, остановленному через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, приведёт к тому, что процесс будет завершён (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3"/>
          <w:p>
            <w:pPr>
              <w:pStyle w:val="Compact"/>
              <w:jc w:val="center"/>
            </w:pPr>
            <w:r>
              <w:drawing>
                <wp:inline>
                  <wp:extent cx="4267200" cy="1783274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83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Выбор результата выполнения kill для остановленного процесса</w:t>
            </w:r>
          </w:p>
          <w:bookmarkEnd w:id="65"/>
        </w:tc>
      </w:tr>
    </w:tbl>
    <w:p>
      <w:pPr>
        <w:pStyle w:val="BodyText"/>
      </w:pPr>
      <w:r>
        <w:t xml:space="preserve">По умолчанию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отправляет сигнал завершения. Даже если процесс был ранее остановлен, после получения такого сигнала он завершает работу.</w:t>
      </w:r>
    </w:p>
    <w:p>
      <w:r>
        <w:pict>
          <v:rect style="width:0;height:1.5pt" o:hralign="center" o:hrstd="t" o:hr="t"/>
        </w:pict>
      </w:r>
    </w:p>
    <w:bookmarkEnd w:id="66"/>
    <w:bookmarkStart w:id="87" w:name="многопоточные-приложения"/>
    <w:p>
      <w:pPr>
        <w:pStyle w:val="Heading2"/>
      </w:pPr>
      <w:r>
        <w:t xml:space="preserve">3.5 Многопоточные приложения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остановленное по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 </w:t>
      </w:r>
      <w:r>
        <w:t xml:space="preserve">многопоточное приложение использует</w:t>
      </w:r>
      <w:r>
        <w:t xml:space="preserve"> </w:t>
      </w:r>
      <w:r>
        <w:rPr>
          <w:rStyle w:val="VerbatimChar"/>
        </w:rPr>
        <w:t xml:space="preserve">0% CPU</w:t>
      </w:r>
      <w:r>
        <w:t xml:space="preserve"> </w:t>
      </w:r>
      <w:r>
        <w:t xml:space="preserve">(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4"/>
          <w:p>
            <w:pPr>
              <w:pStyle w:val="Compact"/>
              <w:jc w:val="center"/>
            </w:pPr>
            <w:r>
              <w:drawing>
                <wp:inline>
                  <wp:extent cx="4267200" cy="3002437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002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Выбор ответа о загрузке CPU остановленным приложением</w:t>
            </w:r>
          </w:p>
          <w:bookmarkEnd w:id="70"/>
        </w:tc>
      </w:tr>
    </w:tbl>
    <w:p>
      <w:pPr>
        <w:pStyle w:val="BodyText"/>
      </w:pPr>
      <w:r>
        <w:t xml:space="preserve">После остановки процесса выполнение инструкций прекращается, поэтому процессорное время больше не расходуется. Именно поэтому был выбран ответ</w:t>
      </w:r>
      <w:r>
        <w:t xml:space="preserve"> </w:t>
      </w:r>
      <w:r>
        <w:rPr>
          <w:rStyle w:val="VerbatimChar"/>
        </w:rPr>
        <w:t xml:space="preserve">0% CPU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остановленное многопоточное приложение продолжает занимать столько памяти, сколько потребляло в момент остановки (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5"/>
          <w:p>
            <w:pPr>
              <w:pStyle w:val="Compact"/>
              <w:jc w:val="center"/>
            </w:pPr>
            <w:r>
              <w:drawing>
                <wp:inline>
                  <wp:extent cx="4267200" cy="255116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51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Выбор ответа о памяти остановленного приложения</w:t>
            </w:r>
          </w:p>
          <w:bookmarkEnd w:id="74"/>
        </w:tc>
      </w:tr>
    </w:tbl>
    <w:p>
      <w:pPr>
        <w:pStyle w:val="BodyText"/>
      </w:pPr>
      <w:r>
        <w:t xml:space="preserve">Остановка процесса не освобождает уже занятую память автоматически. Пока процесс не завершён, его адресное пространство сохраняется, поэтому объём памяти остаётся тем же.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принудительно завершить один отдельный поток запущенного многопоточного приложения нельзя (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6"/>
          <w:p>
            <w:pPr>
              <w:pStyle w:val="Compact"/>
              <w:jc w:val="center"/>
            </w:pPr>
            <w:r>
              <w:drawing>
                <wp:inline>
                  <wp:extent cx="4267200" cy="2535836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35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Выбор ответа о завершении одного потока многопоточного приложения</w:t>
            </w:r>
          </w:p>
          <w:bookmarkEnd w:id="78"/>
        </w:tc>
      </w:tr>
    </w:tbl>
    <w:p>
      <w:pPr>
        <w:pStyle w:val="BodyText"/>
      </w:pPr>
      <w:r>
        <w:t xml:space="preserve">В задании рассматривалась обычная работа из командной строки Linux. Стандартными средствами вроде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управляют процессом целиком, а не отдельным потоком, поэтому был выбран вариант «Никак».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Изучил справку по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 </w:t>
      </w:r>
      <w:r>
        <w:t xml:space="preserve">и определил, что в несколько потоков можно выполнять только второй этап, то есть запуск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bowtie2-build</w:t>
      </w:r>
      <w:r>
        <w:t xml:space="preserve"> </w:t>
      </w:r>
      <w:r>
        <w:t xml:space="preserve">(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7"/>
          <w:p>
            <w:pPr>
              <w:pStyle w:val="Compact"/>
              <w:jc w:val="center"/>
            </w:pPr>
            <w:r>
              <w:drawing>
                <wp:inline>
                  <wp:extent cx="4267200" cy="217638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76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Выбор этапа bowtie2, который можно выполнять в несколько потоков</w:t>
            </w:r>
          </w:p>
          <w:bookmarkEnd w:id="82"/>
        </w:tc>
      </w:tr>
    </w:tbl>
    <w:p>
      <w:pPr>
        <w:pStyle w:val="BodyText"/>
      </w:pPr>
      <w:r>
        <w:t xml:space="preserve">В этом задании нужно было посмотреть параметры двух подпроцессов и определить, где доступна многопоточность. Поддержка нескольких потоков есть именно у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Выполнил практическое задание с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: запустил второй этап программы, перенаправил поток ошибок в файл</w:t>
      </w:r>
      <w:r>
        <w:t xml:space="preserve"> </w:t>
      </w:r>
      <w:r>
        <w:rPr>
          <w:rStyle w:val="VerbatimChar"/>
        </w:rPr>
        <w:t xml:space="preserve">align.err</w:t>
      </w:r>
      <w:r>
        <w:t xml:space="preserve"> </w:t>
      </w:r>
      <w:r>
        <w:t xml:space="preserve">и проверил его содержимое в терминале.</w:t>
      </w:r>
    </w:p>
    <w:p>
      <w:pPr>
        <w:pStyle w:val="BodyText"/>
      </w:pPr>
      <w:r>
        <w:t xml:space="preserve">После выполнения задания загрузил полученный файл</w:t>
      </w:r>
      <w:r>
        <w:t xml:space="preserve"> </w:t>
      </w:r>
      <w:r>
        <w:rPr>
          <w:rStyle w:val="VerbatimChar"/>
        </w:rPr>
        <w:t xml:space="preserve">align.err</w:t>
      </w:r>
      <w:r>
        <w:t xml:space="preserve"> </w:t>
      </w:r>
      <w:r>
        <w:t xml:space="preserve">на платформу, что было принято системой как верное решение (</w:t>
      </w:r>
      <w:hyperlink w:anchor="fig-019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9"/>
          <w:p>
            <w:pPr>
              <w:pStyle w:val="Compact"/>
              <w:jc w:val="center"/>
            </w:pPr>
            <w:r>
              <w:drawing>
                <wp:inline>
                  <wp:extent cx="4267200" cy="2724679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724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Загрузка файла align.err на платформу</w:t>
            </w:r>
          </w:p>
          <w:bookmarkEnd w:id="86"/>
        </w:tc>
      </w:tr>
    </w:tbl>
    <w:p>
      <w:pPr>
        <w:pStyle w:val="BodyText"/>
      </w:pPr>
      <w:r>
        <w:t xml:space="preserve">В задании требовалось не только получить файл с выводом ошибок, но и загрузить его в форму проверки. Файл был успешно прикреплён и зачтён.</w:t>
      </w:r>
    </w:p>
    <w:p>
      <w:r>
        <w:pict>
          <v:rect style="width:0;height:1.5pt" o:hralign="center" o:hrstd="t" o:hr="t"/>
        </w:pict>
      </w:r>
    </w:p>
    <w:bookmarkEnd w:id="87"/>
    <w:bookmarkStart w:id="112" w:name="менеджер-терминалов-tmux"/>
    <w:p>
      <w:pPr>
        <w:pStyle w:val="Heading2"/>
      </w:pPr>
      <w:r>
        <w:t xml:space="preserve">3.6 Менеджер терминалов tmux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если открыть две вкладки терминала, остановить процесс в одной из них, перейти во вторую и выполнить</w:t>
      </w:r>
      <w:r>
        <w:t xml:space="preserve"> </w:t>
      </w:r>
      <w:r>
        <w:rPr>
          <w:rStyle w:val="VerbatimChar"/>
        </w:rPr>
        <w:t xml:space="preserve">fg</w:t>
      </w:r>
      <w:r>
        <w:t xml:space="preserve">, терминал сообщит, что нет процесса для запуска в</w:t>
      </w:r>
      <w:r>
        <w:t xml:space="preserve"> </w:t>
      </w:r>
      <w:r>
        <w:rPr>
          <w:rStyle w:val="VerbatimChar"/>
        </w:rPr>
        <w:t xml:space="preserve">fg</w:t>
      </w:r>
      <w:r>
        <w:t xml:space="preserve"> </w:t>
      </w:r>
      <w:r>
        <w:t xml:space="preserve">(</w:t>
      </w:r>
      <w:hyperlink w:anchor="fig-020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20"/>
          <w:p>
            <w:pPr>
              <w:pStyle w:val="Compact"/>
              <w:jc w:val="center"/>
            </w:pPr>
            <w:r>
              <w:drawing>
                <wp:inline>
                  <wp:extent cx="4267200" cy="1918822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188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Выбор ответа о команде fg в другой вкладке терминала</w:t>
            </w:r>
          </w:p>
          <w:bookmarkEnd w:id="91"/>
        </w:tc>
      </w:tr>
    </w:tbl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fg</w:t>
      </w:r>
      <w:r>
        <w:t xml:space="preserve"> </w:t>
      </w:r>
      <w:r>
        <w:t xml:space="preserve">работает только с заданиями текущей оболочки. Во второй вкладке это задание не существует, поэтому оболочка сообщает об отсутствии процесса для перевода на передний план.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если в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осталась последняя открытая вкладка и в ней выполнить команду</w:t>
      </w:r>
      <w:r>
        <w:t xml:space="preserve"> </w:t>
      </w:r>
      <w:r>
        <w:rPr>
          <w:rStyle w:val="VerbatimChar"/>
        </w:rPr>
        <w:t xml:space="preserve">exit</w:t>
      </w:r>
      <w:r>
        <w:t xml:space="preserve">, то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завершит работу (</w:t>
      </w:r>
      <w:hyperlink w:anchor="fig-021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21"/>
          <w:p>
            <w:pPr>
              <w:pStyle w:val="Compact"/>
              <w:jc w:val="center"/>
            </w:pPr>
            <w:r>
              <w:drawing>
                <wp:inline>
                  <wp:extent cx="4267200" cy="1799846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99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Выбор ответа о завершении tmux при exit в последней вкладке</w:t>
            </w:r>
          </w:p>
          <w:bookmarkEnd w:id="95"/>
        </w:tc>
      </w:tr>
    </w:tbl>
    <w:p>
      <w:pPr>
        <w:pStyle w:val="BodyText"/>
      </w:pPr>
      <w:r>
        <w:t xml:space="preserve">Когда закрывается последняя активная вкладка или окно, завершается и сама сессия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 Поэтому был выбран именно этот вариант.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если запустить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на сервере и затем закрыть локальный терминал, соединение с сервером прервётся, но работа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продолжится (</w:t>
      </w:r>
      <w:hyperlink w:anchor="fig-022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22"/>
          <w:p>
            <w:pPr>
              <w:pStyle w:val="Compact"/>
              <w:jc w:val="center"/>
            </w:pPr>
            <w:r>
              <w:drawing>
                <wp:inline>
                  <wp:extent cx="4267200" cy="2005386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0053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Выбор ответа о поведении tmux после закрытия терминала</w:t>
            </w:r>
          </w:p>
          <w:bookmarkEnd w:id="99"/>
        </w:tc>
      </w:tr>
    </w:tbl>
    <w:p>
      <w:pPr>
        <w:pStyle w:val="BodyText"/>
      </w:pPr>
      <w:r>
        <w:t xml:space="preserve">Смысл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как раз в том, что сессия продолжает существовать на удалённой машине независимо от текущего подключения пользователя. После нового входа к ней можно снова присоединиться.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если запустить процесс в фоновом режиме во вкладке</w:t>
      </w:r>
      <w:r>
        <w:t xml:space="preserve"> </w:t>
      </w:r>
      <w:r>
        <w:rPr>
          <w:rStyle w:val="VerbatimChar"/>
        </w:rPr>
        <w:t xml:space="preserve">tmux</w:t>
      </w:r>
      <w:r>
        <w:t xml:space="preserve">, а затем принудительно закрыть эту вкладку, то вкладка закроется вместе с запущенным в ней процессом (</w:t>
      </w:r>
      <w:hyperlink w:anchor="fig-023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3"/>
          <w:p>
            <w:pPr>
              <w:pStyle w:val="Compact"/>
              <w:jc w:val="center"/>
            </w:pPr>
            <w:r>
              <w:drawing>
                <wp:inline>
                  <wp:extent cx="4267200" cy="1794412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94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Выбор ответа о закрытии вкладки tmux с фоновым процессом</w:t>
            </w:r>
          </w:p>
          <w:bookmarkEnd w:id="103"/>
        </w:tc>
      </w:tr>
    </w:tbl>
    <w:p>
      <w:pPr>
        <w:pStyle w:val="BodyText"/>
      </w:pPr>
      <w:r>
        <w:t xml:space="preserve">В задании рассматривалось закрытие окна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 При закрытии окна завершаются и связанные с ним процессы, если для них не был предусмотрен иной способ продолжения работы.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Изучил команды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и указал, что за переименование текущей вкладки отвечает сочетание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(</w:t>
      </w:r>
      <w:hyperlink w:anchor="fig-024">
        <w:r>
          <w:rPr>
            <w:rStyle w:val="Hyperlink"/>
          </w:rPr>
          <w:t xml:space="preserve">Рисунок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4"/>
          <w:p>
            <w:pPr>
              <w:pStyle w:val="Compact"/>
              <w:jc w:val="center"/>
            </w:pPr>
            <w:r>
              <w:drawing>
                <wp:inline>
                  <wp:extent cx="4267200" cy="2186335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86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Выбор команды tmux для переименования вкладки</w:t>
            </w:r>
          </w:p>
          <w:bookmarkEnd w:id="107"/>
        </w:tc>
      </w:tr>
    </w:tbl>
    <w:p>
      <w:pPr>
        <w:pStyle w:val="BodyText"/>
      </w:pPr>
      <w:r>
        <w:t xml:space="preserve">Это стандартное сочетание клавиш в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для изменения имени текущего окна, поэтому был выбран вариант с запятой.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При самостоятельном изучении возможностей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отметил верные утверждения о разделении вкладок: можно закрывать одну из частей комбинацией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x</w:t>
      </w:r>
      <w:r>
        <w:t xml:space="preserve">; можно делить окно несколько раз; команды разделения действуют только в текущей вкладке; при дополнительном вертикальном делении уже разделённой горизонтально вкладки получается три области (</w:t>
      </w:r>
      <w:hyperlink w:anchor="fig-025">
        <w:r>
          <w:rPr>
            <w:rStyle w:val="Hyperlink"/>
          </w:rPr>
          <w:t xml:space="preserve">Рисунок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5"/>
          <w:p>
            <w:pPr>
              <w:pStyle w:val="Compact"/>
              <w:jc w:val="center"/>
            </w:pPr>
            <w:r>
              <w:drawing>
                <wp:inline>
                  <wp:extent cx="4267200" cy="3509123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509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Самостоятельное задание по разделению окон в tmux</w:t>
            </w:r>
          </w:p>
          <w:bookmarkEnd w:id="111"/>
        </w:tc>
      </w:tr>
    </w:tbl>
    <w:p>
      <w:pPr>
        <w:pStyle w:val="BodyText"/>
      </w:pPr>
      <w:r>
        <w:t xml:space="preserve">В этом задании нужно было самостоятельно проверить работу разделения окон в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 По результатам были отмечены утверждения, соответствующие фактическому поведению программы при разбиении и закрытии панелей.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второго этапа внешнего курса были изучены и закреплены навыки работы с удалёнными серверами, SSH-ключами, передачей файлов, получением справочной информации о программах, управлением процессами и использованием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 Также были рассмотрены особенности многопоточных приложений и выполнено практическое задание с программой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, включающее перенаправление потоков вывода и загрузку результата на платформу. Полученные знания позволяют увереннее работать в Linux-среде как локально, так и на удалённых серверах.</w:t>
      </w:r>
    </w:p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15" Target="media/rId15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 2 этап</dc:title>
  <dc:creator>Бессонов Андрей</dc:creator>
  <dc:language>ru-RU</dc:language>
  <cp:keywords/>
  <dcterms:created xsi:type="dcterms:W3CDTF">2026-05-12T16:23:37Z</dcterms:created>
  <dcterms:modified xsi:type="dcterms:W3CDTF">2026-05-12T16:23:37Z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Архитектура компьютера и операционные системы</vt:lpwstr>
  </property>
  <property fmtid="{D5CDD505-2E9C-101B-9397-08002B2CF9AE}" pid="17" name="toc-title">
    <vt:lpwstr>Содержание</vt:lpwstr>
  </property>
</Properties>
</file>