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54.png" ContentType="image/png"/>
  <Override PartName="/word/media/rId28.png" ContentType="image/png"/>
  <Override PartName="/word/media/rId48.png" ContentType="image/png"/>
  <Override PartName="/word/media/rId52.png" ContentType="image/png"/>
  <Override PartName="/word/media/rId46.png" ContentType="image/png"/>
  <Override PartName="/word/media/image1.png" ContentType="image/png"/>
  <Override PartName="/word/media/image2.png" ContentType="image/png"/>
  <Override PartName="/word/media/image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bookcorpusbuilder"/>
    <w:p>
      <w:pPr>
        <w:pStyle w:val="Heading1"/>
      </w:pPr>
      <w:r>
        <w:t xml:space="preserve">BOOKCORPUSBUILDER</w:t>
      </w:r>
    </w:p>
    <w:bookmarkStart w:id="20" w:name="X0f2c6e7f3513745ac845d00fcdfcc4d9538a47e"/>
    <w:p>
      <w:pPr>
        <w:pStyle w:val="Heading2"/>
      </w:pPr>
      <w:r>
        <w:t xml:space="preserve">Turn books into governed, searchable section corpora</w:t>
      </w:r>
    </w:p>
    <w:p>
      <w:pPr>
        <w:pStyle w:val="FirstParagraph"/>
      </w:pPr>
      <w:r>
        <w:t xml:space="preserve">BOOKCORPUSBUILDER is a local-first PySide6 desktop application for converting</w:t>
      </w:r>
      <w:r>
        <w:t xml:space="preserve"> </w:t>
      </w:r>
      <w:r>
        <w:t xml:space="preserve">PDF books into reviewed, page-aligned and auditable text collections. It keeps</w:t>
      </w:r>
      <w:r>
        <w:t xml:space="preserve"> </w:t>
      </w:r>
      <w:r>
        <w:t xml:space="preserve">human judgment at the centre of structure creation while automating the</w:t>
      </w:r>
      <w:r>
        <w:t xml:space="preserve"> </w:t>
      </w:r>
      <w:r>
        <w:t xml:space="preserve">repetitive work of parsing, validation, extraction and retrieval.</w:t>
      </w:r>
    </w:p>
    <w:p>
      <w:pPr>
        <w:pStyle w:val="BodyText"/>
      </w:pPr>
      <w:r>
        <w:t xml:space="preserve">Version 0.2.1 adds a spreadsheet-like inspection workbench: visible draggable</w:t>
      </w:r>
      <w:r>
        <w:t xml:space="preserve"> </w:t>
      </w:r>
      <w:r>
        <w:t xml:space="preserve">column dividers, frozen identifiers, saved widths/order/visibility, header</w:t>
      </w:r>
      <w:r>
        <w:t xml:space="preserve"> </w:t>
      </w:r>
      <w:r>
        <w:t xml:space="preserve">menus, double-click and toolbar best-fit, Shift-wheel horizontal scrolling, and</w:t>
      </w:r>
      <w:r>
        <w:t xml:space="preserve"> </w:t>
      </w:r>
      <w:r>
        <w:t xml:space="preserve">persistent adjustable PDF/reference panes.</w:t>
      </w:r>
    </w:p>
    <w:p>
      <w:pPr>
        <w:pStyle w:val="BlockText"/>
      </w:pPr>
      <w:r>
        <w:rPr>
          <w:bCs/>
          <w:b/>
        </w:rPr>
        <w:t xml:space="preserve">Open book → create structure → review → align pages → approve → extract → search</w:t>
      </w:r>
    </w:p>
    <w:bookmarkEnd w:id="20"/>
    <w:bookmarkStart w:id="21" w:name="why-it-exists"/>
    <w:p>
      <w:pPr>
        <w:pStyle w:val="Heading2"/>
      </w:pPr>
      <w:r>
        <w:t xml:space="preserve">Why it exists</w:t>
      </w:r>
    </w:p>
    <w:p>
      <w:pPr>
        <w:pStyle w:val="FirstParagraph"/>
      </w:pPr>
      <w:r>
        <w:t xml:space="preserve">A PDF page number, a printed page number and an internal PDF index are not the</w:t>
      </w:r>
      <w:r>
        <w:t xml:space="preserve"> </w:t>
      </w:r>
      <w:r>
        <w:t xml:space="preserve">same coordinate. A generated heading is not automatically a trustworthy</w:t>
      </w:r>
      <w:r>
        <w:t xml:space="preserve"> </w:t>
      </w:r>
      <w:r>
        <w:t xml:space="preserve">boundary. BOOKCORPUSBUILDER makes these distinctions explicit so a useful</w:t>
      </w:r>
      <w:r>
        <w:t xml:space="preserve"> </w:t>
      </w:r>
      <w:r>
        <w:t xml:space="preserve">outline does not silently become a damaged corpus.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046"/>
        <w:gridCol w:w="487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Common problem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BOOKCORPUSBUILDER response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Copied TOCs are inconsistent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Deterministic paste parsing with editable candidate preview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JSON metadata is mistaken for titles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Native structured JSON and strict contract import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Generated headings look authoritative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Verbatim and analytical structures have different boundary permissions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PDF and printed pages do not align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anchors, offsets and explicit irregular exceptions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 outline changes after approval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Hash-bound approval is invalidated by edits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Extraction results are difficult to 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Run-scoped TXT, JSONL, manifest and history records</w:t>
            </w:r>
          </w:p>
        </w:tc>
      </w:tr>
    </w:tbl>
    <w:bookmarkEnd w:id="21"/>
    <w:bookmarkStart w:id="22" w:name="a-document-centred-workflow"/>
    <w:p>
      <w:pPr>
        <w:pStyle w:val="Heading2"/>
      </w:pPr>
      <w:r>
        <w:t xml:space="preserve">A document-centred workflow</w:t>
      </w:r>
    </w:p>
    <w:p>
      <w:pPr>
        <w:numPr>
          <w:ilvl w:val="0"/>
          <w:numId w:val="1001"/>
        </w:numPr>
        <w:pStyle w:val="Compact"/>
      </w:pPr>
      <w:r>
        <w:t xml:space="preserve">Add or select a PDF book.</w:t>
      </w:r>
    </w:p>
    <w:p>
      <w:pPr>
        <w:numPr>
          <w:ilvl w:val="0"/>
          <w:numId w:val="1001"/>
        </w:numPr>
        <w:pStyle w:val="Compact"/>
      </w:pPr>
      <w:r>
        <w:t xml:space="preserve">Copy its Table of Contents or prepare a structured outline.</w:t>
      </w:r>
    </w:p>
    <w:p>
      <w:pPr>
        <w:numPr>
          <w:ilvl w:val="0"/>
          <w:numId w:val="1001"/>
        </w:numPr>
        <w:pStyle w:val="Compact"/>
      </w:pPr>
      <w:r>
        <w:t xml:space="preserve">Paste text, import CSV/JSON, detect from PDF, build manually, or optionally</w:t>
      </w:r>
      <w:r>
        <w:t xml:space="preserve"> </w:t>
      </w:r>
      <w:r>
        <w:t xml:space="preserve">generate a local Ollama candidate.</w:t>
      </w:r>
    </w:p>
    <w:p>
      <w:pPr>
        <w:numPr>
          <w:ilvl w:val="0"/>
          <w:numId w:val="1001"/>
        </w:numPr>
        <w:pStyle w:val="Compact"/>
      </w:pPr>
      <w:r>
        <w:t xml:space="preserve">Review every candidate beside the PDF reference.</w:t>
      </w:r>
    </w:p>
    <w:p>
      <w:pPr>
        <w:numPr>
          <w:ilvl w:val="0"/>
          <w:numId w:val="1001"/>
        </w:numPr>
        <w:pStyle w:val="Compact"/>
      </w:pPr>
      <w:r>
        <w:t xml:space="preserve">Approve the canonical outline.</w:t>
      </w:r>
    </w:p>
    <w:p>
      <w:pPr>
        <w:numPr>
          <w:ilvl w:val="0"/>
          <w:numId w:val="1001"/>
        </w:numPr>
        <w:pStyle w:val="Compact"/>
      </w:pPr>
      <w:r>
        <w:t xml:space="preserve">Verify printed-to-physical page mapping.</w:t>
      </w:r>
    </w:p>
    <w:p>
      <w:pPr>
        <w:numPr>
          <w:ilvl w:val="0"/>
          <w:numId w:val="1001"/>
        </w:numPr>
        <w:pStyle w:val="Compact"/>
      </w:pPr>
      <w:r>
        <w:t xml:space="preserve">Pass preflight and extract the corpus.</w:t>
      </w:r>
    </w:p>
    <w:p>
      <w:pPr>
        <w:numPr>
          <w:ilvl w:val="0"/>
          <w:numId w:val="1001"/>
        </w:numPr>
        <w:pStyle w:val="Compact"/>
      </w:pPr>
      <w:r>
        <w:t xml:space="preserve">Search locally and inspect run history.</w:t>
      </w:r>
    </w:p>
    <w:p>
      <w:pPr>
        <w:pStyle w:val="FirstParagraph"/>
      </w:pPr>
      <w:r>
        <w:t xml:space="preserve">Nothing moves directly from generation to extraction.</w:t>
      </w:r>
    </w:p>
    <w:bookmarkEnd w:id="22"/>
    <w:bookmarkStart w:id="23" w:name="one-strict-outline-contract"/>
    <w:p>
      <w:pPr>
        <w:pStyle w:val="Heading2"/>
      </w:pPr>
      <w:r>
        <w:t xml:space="preserve">One strict outline contract</w:t>
      </w:r>
    </w:p>
    <w:p>
      <w:pPr>
        <w:pStyle w:val="FirstParagraph"/>
      </w:pPr>
      <w:r>
        <w:rPr>
          <w:rStyle w:val="VerbatimChar"/>
        </w:rPr>
        <w:t xml:space="preserve">book_outline_contract</w:t>
      </w:r>
      <w:r>
        <w:t xml:space="preserve"> </w:t>
      </w:r>
      <w:r>
        <w:t xml:space="preserve">v1.0.0 is the authoritative Python/JSON interchange</w:t>
      </w:r>
      <w:r>
        <w:t xml:space="preserve"> </w:t>
      </w:r>
      <w:r>
        <w:t xml:space="preserve">format. Its generated JSON Schema governs GUI import, optional local generation,</w:t>
      </w:r>
      <w:r>
        <w:t xml:space="preserve"> </w:t>
      </w:r>
      <w:r>
        <w:t xml:space="preserve">staged contract files and validation.</w:t>
      </w:r>
    </w:p>
    <w:p>
      <w:pPr>
        <w:pStyle w:val="BodyText"/>
      </w:pPr>
      <w:r>
        <w:t xml:space="preserve">The contract separates:</w:t>
      </w:r>
    </w:p>
    <w:p>
      <w:pPr>
        <w:numPr>
          <w:ilvl w:val="0"/>
          <w:numId w:val="1002"/>
        </w:numPr>
        <w:pStyle w:val="Compact"/>
      </w:pPr>
      <w:r>
        <w:t xml:space="preserve">document identity and PDF SHA-256;</w:t>
      </w:r>
    </w:p>
    <w:p>
      <w:pPr>
        <w:numPr>
          <w:ilvl w:val="0"/>
          <w:numId w:val="1002"/>
        </w:numPr>
        <w:pStyle w:val="Compact"/>
      </w:pPr>
      <w:r>
        <w:t xml:space="preserve">generation method and source scope;</w:t>
      </w:r>
    </w:p>
    <w:p>
      <w:pPr>
        <w:numPr>
          <w:ilvl w:val="0"/>
          <w:numId w:val="1002"/>
        </w:numPr>
        <w:pStyle w:val="Compact"/>
      </w:pPr>
      <w:r>
        <w:t xml:space="preserve">printed, physical and zero-based PDF coordinates;</w:t>
      </w:r>
    </w:p>
    <w:p>
      <w:pPr>
        <w:numPr>
          <w:ilvl w:val="0"/>
          <w:numId w:val="1002"/>
        </w:numPr>
        <w:pStyle w:val="Compact"/>
      </w:pPr>
      <w:r>
        <w:t xml:space="preserve">entry IDs, source serials and parent hierarchy;</w:t>
      </w:r>
    </w:p>
    <w:p>
      <w:pPr>
        <w:numPr>
          <w:ilvl w:val="0"/>
          <w:numId w:val="1002"/>
        </w:numPr>
        <w:pStyle w:val="Compact"/>
      </w:pPr>
      <w:r>
        <w:t xml:space="preserve">boundary status and extraction permission;</w:t>
      </w:r>
    </w:p>
    <w:p>
      <w:pPr>
        <w:numPr>
          <w:ilvl w:val="0"/>
          <w:numId w:val="1002"/>
        </w:numPr>
        <w:pStyle w:val="Compact"/>
      </w:pPr>
      <w:r>
        <w:t xml:space="preserve">verbatim versus analytical provenance;</w:t>
      </w:r>
    </w:p>
    <w:p>
      <w:pPr>
        <w:numPr>
          <w:ilvl w:val="0"/>
          <w:numId w:val="1002"/>
        </w:numPr>
        <w:pStyle w:val="Compact"/>
      </w:pPr>
      <w:r>
        <w:t xml:space="preserve">confidence, warnings and human review status;</w:t>
      </w:r>
    </w:p>
    <w:p>
      <w:pPr>
        <w:numPr>
          <w:ilvl w:val="0"/>
          <w:numId w:val="1002"/>
        </w:numPr>
        <w:pStyle w:val="Compact"/>
      </w:pPr>
      <w:r>
        <w:t xml:space="preserve">validation, mapping, approval and payload hash.</w:t>
      </w:r>
    </w:p>
    <w:p>
      <w:pPr>
        <w:pStyle w:val="FirstParagraph"/>
      </w:pPr>
      <w:r>
        <w:t xml:space="preserve">Unknown contract fields are rejected. Parent references, hierarchy levels,</w:t>
      </w:r>
      <w:r>
        <w:t xml:space="preserve"> </w:t>
      </w:r>
      <w:r>
        <w:t xml:space="preserve">coordinate relationships, source evidence and approval hashes are checked</w:t>
      </w:r>
      <w:r>
        <w:t xml:space="preserve"> </w:t>
      </w:r>
      <w:r>
        <w:t xml:space="preserve">deterministically.</w:t>
      </w:r>
    </w:p>
    <w:bookmarkEnd w:id="23"/>
    <w:bookmarkStart w:id="24" w:name="Xbe804bda335883883d4a0a577486af47b4edcc4"/>
    <w:p>
      <w:pPr>
        <w:pStyle w:val="Heading2"/>
      </w:pPr>
      <w:r>
        <w:t xml:space="preserve">Analytical insight without unsafe boundaries</w:t>
      </w:r>
    </w:p>
    <w:p>
      <w:pPr>
        <w:pStyle w:val="FirstParagraph"/>
      </w:pPr>
      <w:r>
        <w:t xml:space="preserve">Printed structure can be extraction-enabled after review:</w:t>
      </w:r>
    </w:p>
    <w:p>
      <w:pPr>
        <w:pStyle w:val="SourceCode"/>
      </w:pPr>
      <w:r>
        <w:rPr>
          <w:rStyle w:val="VerbatimChar"/>
        </w:rPr>
        <w:t xml:space="preserve">kind: chapter</w:t>
      </w:r>
      <w:r>
        <w:br/>
      </w:r>
      <w:r>
        <w:rPr>
          <w:rStyle w:val="VerbatimChar"/>
        </w:rPr>
        <w:t xml:space="preserve">provenance: verbatim</w:t>
      </w:r>
      <w:r>
        <w:br/>
      </w:r>
      <w:r>
        <w:rPr>
          <w:rStyle w:val="VerbatimChar"/>
        </w:rPr>
        <w:t xml:space="preserve">boundary: verified_printed</w:t>
      </w:r>
      <w:r>
        <w:br/>
      </w:r>
      <w:r>
        <w:rPr>
          <w:rStyle w:val="VerbatimChar"/>
        </w:rPr>
        <w:t xml:space="preserve">allow_extraction: true</w:t>
      </w:r>
    </w:p>
    <w:p>
      <w:pPr>
        <w:pStyle w:val="FirstParagraph"/>
      </w:pPr>
      <w:r>
        <w:t xml:space="preserve">Interpretive structure remains useful metadata by default:</w:t>
      </w:r>
    </w:p>
    <w:p>
      <w:pPr>
        <w:pStyle w:val="SourceCode"/>
      </w:pPr>
      <w:r>
        <w:rPr>
          <w:rStyle w:val="VerbatimChar"/>
        </w:rPr>
        <w:t xml:space="preserve">kind: analytical_section</w:t>
      </w:r>
      <w:r>
        <w:br/>
      </w:r>
      <w:r>
        <w:rPr>
          <w:rStyle w:val="VerbatimChar"/>
        </w:rPr>
        <w:t xml:space="preserve">provenance: analytical</w:t>
      </w:r>
      <w:r>
        <w:br/>
      </w:r>
      <w:r>
        <w:rPr>
          <w:rStyle w:val="VerbatimChar"/>
        </w:rPr>
        <w:t xml:space="preserve">boundary: proposed</w:t>
      </w:r>
      <w:r>
        <w:br/>
      </w:r>
      <w:r>
        <w:rPr>
          <w:rStyle w:val="VerbatimChar"/>
        </w:rPr>
        <w:t xml:space="preserve">allow_extraction: false</w:t>
      </w:r>
      <w:r>
        <w:br/>
      </w:r>
      <w:r>
        <w:rPr>
          <w:rStyle w:val="VerbatimChar"/>
        </w:rPr>
        <w:t xml:space="preserve">include: false</w:t>
      </w:r>
    </w:p>
    <w:p>
      <w:pPr>
        <w:pStyle w:val="FirstParagraph"/>
      </w:pPr>
      <w:r>
        <w:t xml:space="preserve">An analytical row cannot become an extraction boundary merely because a model</w:t>
      </w:r>
      <w:r>
        <w:t xml:space="preserve"> </w:t>
      </w:r>
      <w:r>
        <w:t xml:space="preserve">or imported file marks it as important.</w:t>
      </w:r>
    </w:p>
    <w:bookmarkEnd w:id="24"/>
    <w:bookmarkStart w:id="25" w:name="optional-local-ollama-assistance"/>
    <w:p>
      <w:pPr>
        <w:pStyle w:val="Heading2"/>
      </w:pPr>
      <w:r>
        <w:t xml:space="preserve">Optional local Ollama assistance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Cs/>
          <w:b/>
        </w:rPr>
        <w:t xml:space="preserve">Generate with Ollama…</w:t>
      </w:r>
      <w:r>
        <w:t xml:space="preserve"> </w:t>
      </w:r>
      <w:r>
        <w:t xml:space="preserve">action uses the same generated JSON Schema and</w:t>
      </w:r>
      <w:r>
        <w:t xml:space="preserve"> </w:t>
      </w:r>
      <w:r>
        <w:t xml:space="preserve">authoritative selected-book identity. Output must remain an unvalidated draft</w:t>
      </w:r>
      <w:r>
        <w:t xml:space="preserve"> </w:t>
      </w:r>
      <w:r>
        <w:t xml:space="preserve">candidate and enters the normal preview.</w:t>
      </w:r>
    </w:p>
    <w:p>
      <w:pPr>
        <w:pStyle w:val="BodyText"/>
      </w:pPr>
      <w:r>
        <w:t xml:space="preserve">Ollama cannot:</w:t>
      </w:r>
    </w:p>
    <w:p>
      <w:pPr>
        <w:numPr>
          <w:ilvl w:val="0"/>
          <w:numId w:val="1003"/>
        </w:numPr>
        <w:pStyle w:val="Compact"/>
      </w:pPr>
      <w:r>
        <w:t xml:space="preserve">approve an outline;</w:t>
      </w:r>
    </w:p>
    <w:p>
      <w:pPr>
        <w:numPr>
          <w:ilvl w:val="0"/>
          <w:numId w:val="1003"/>
        </w:numPr>
        <w:pStyle w:val="Compact"/>
      </w:pPr>
      <w:r>
        <w:t xml:space="preserve">verify page mapping;</w:t>
      </w:r>
    </w:p>
    <w:p>
      <w:pPr>
        <w:numPr>
          <w:ilvl w:val="0"/>
          <w:numId w:val="1003"/>
        </w:numPr>
        <w:pStyle w:val="Compact"/>
      </w:pPr>
      <w:r>
        <w:t xml:space="preserve">bypass deterministic validation;</w:t>
      </w:r>
    </w:p>
    <w:p>
      <w:pPr>
        <w:numPr>
          <w:ilvl w:val="0"/>
          <w:numId w:val="1003"/>
        </w:numPr>
        <w:pStyle w:val="Compact"/>
      </w:pPr>
      <w:r>
        <w:t xml:space="preserve">start extraction; or</w:t>
      </w:r>
    </w:p>
    <w:p>
      <w:pPr>
        <w:numPr>
          <w:ilvl w:val="0"/>
          <w:numId w:val="1003"/>
        </w:numPr>
        <w:pStyle w:val="Compact"/>
      </w:pPr>
      <w:r>
        <w:t xml:space="preserve">replace human review.</w:t>
      </w:r>
    </w:p>
    <w:p>
      <w:pPr>
        <w:pStyle w:val="FirstParagraph"/>
      </w:pPr>
      <w:r>
        <w:t xml:space="preserve">The optional integration is local and is not required for deterministic paste,</w:t>
      </w:r>
      <w:r>
        <w:t xml:space="preserve"> </w:t>
      </w:r>
      <w:r>
        <w:t xml:space="preserve">CSV, JSON, manual or PDF-detection workflows.</w:t>
      </w:r>
    </w:p>
    <w:bookmarkEnd w:id="25"/>
    <w:bookmarkStart w:id="26" w:name="built-for-accountable-research"/>
    <w:p>
      <w:pPr>
        <w:pStyle w:val="Heading2"/>
      </w:pPr>
      <w:r>
        <w:t xml:space="preserve">Built for accountable research</w:t>
      </w:r>
    </w:p>
    <w:p>
      <w:pPr>
        <w:numPr>
          <w:ilvl w:val="0"/>
          <w:numId w:val="1004"/>
        </w:numPr>
        <w:pStyle w:val="Compact"/>
      </w:pPr>
      <w:r>
        <w:t xml:space="preserve">Source PDFs are treated as read-only.</w:t>
      </w:r>
    </w:p>
    <w:p>
      <w:pPr>
        <w:numPr>
          <w:ilvl w:val="0"/>
          <w:numId w:val="1004"/>
        </w:numPr>
        <w:pStyle w:val="Compact"/>
      </w:pPr>
      <w:r>
        <w:t xml:space="preserve">Book identity is derived from SHA-256.</w:t>
      </w:r>
    </w:p>
    <w:p>
      <w:pPr>
        <w:numPr>
          <w:ilvl w:val="0"/>
          <w:numId w:val="1004"/>
        </w:numPr>
        <w:pStyle w:val="Compact"/>
      </w:pPr>
      <w:r>
        <w:t xml:space="preserve">Approved outlines are protected from silent replacement.</w:t>
      </w:r>
    </w:p>
    <w:p>
      <w:pPr>
        <w:numPr>
          <w:ilvl w:val="0"/>
          <w:numId w:val="1004"/>
        </w:numPr>
        <w:pStyle w:val="Compact"/>
      </w:pPr>
      <w:r>
        <w:t xml:space="preserve">Editing invalidates prior approval.</w:t>
      </w:r>
    </w:p>
    <w:p>
      <w:pPr>
        <w:numPr>
          <w:ilvl w:val="0"/>
          <w:numId w:val="1004"/>
        </w:numPr>
        <w:pStyle w:val="Compact"/>
      </w:pPr>
      <w:r>
        <w:t xml:space="preserve">Mapping needs two consistent normal anchors.</w:t>
      </w:r>
    </w:p>
    <w:p>
      <w:pPr>
        <w:numPr>
          <w:ilvl w:val="0"/>
          <w:numId w:val="1004"/>
        </w:numPr>
        <w:pStyle w:val="Compact"/>
      </w:pPr>
      <w:r>
        <w:t xml:space="preserve">Extraction is blocked by invalid or unverified boundaries.</w:t>
      </w:r>
    </w:p>
    <w:p>
      <w:pPr>
        <w:numPr>
          <w:ilvl w:val="0"/>
          <w:numId w:val="1004"/>
        </w:numPr>
        <w:pStyle w:val="Compact"/>
      </w:pPr>
      <w:r>
        <w:t xml:space="preserve">Successful outputs are promoted atomically into unique run folders.</w:t>
      </w:r>
    </w:p>
    <w:p>
      <w:pPr>
        <w:numPr>
          <w:ilvl w:val="0"/>
          <w:numId w:val="1004"/>
        </w:numPr>
        <w:pStyle w:val="Compact"/>
      </w:pPr>
      <w:r>
        <w:t xml:space="preserve">Completed, failed and cancelled attempts are recorded.</w:t>
      </w:r>
    </w:p>
    <w:p>
      <w:pPr>
        <w:numPr>
          <w:ilvl w:val="0"/>
          <w:numId w:val="1004"/>
        </w:numPr>
        <w:pStyle w:val="Compact"/>
      </w:pPr>
      <w:r>
        <w:t xml:space="preserve">Corpus search remains local.</w:t>
      </w:r>
    </w:p>
    <w:bookmarkEnd w:id="26"/>
    <w:bookmarkStart w:id="27" w:name="verified-demonstration"/>
    <w:p>
      <w:pPr>
        <w:pStyle w:val="Heading2"/>
      </w:pPr>
      <w:r>
        <w:t xml:space="preserve">Verified demonstration</w:t>
      </w:r>
    </w:p>
    <w:p>
      <w:pPr>
        <w:pStyle w:val="FirstParagraph"/>
      </w:pPr>
      <w:r>
        <w:t xml:space="preserve">The included Mackinder acceptance example uses a 196-entry outline for</w:t>
      </w:r>
      <w:r>
        <w:t xml:space="preserve"> </w:t>
      </w:r>
      <w:r>
        <w:rPr>
          <w:iCs/>
          <w:i/>
        </w:rPr>
        <w:t xml:space="preserve">Democratic Ideals and Reality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Verified 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Contract entries retained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Verbatim chapters enabled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Analytical metadata disabled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Preflight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TXT / JSONL / manifest 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/ 8 / 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Skipped / 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/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Search for</w:t>
            </w:r>
            <w:r>
              <w:t xml:space="preserve"> </w:t>
            </w:r>
            <w:r>
              <w:t xml:space="preserve">“</w:t>
            </w:r>
            <w:r>
              <w:t xml:space="preserve">Heartland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chapter-level results</w:t>
            </w:r>
          </w:p>
        </w:tc>
      </w:tr>
    </w:tbl>
    <w:p>
      <w:pPr>
        <w:pStyle w:val="BodyText"/>
      </w:pPr>
      <w:r>
        <w:t xml:space="preserve">The book contains four pagination discontinuities. The demonstration records</w:t>
      </w:r>
      <w:r>
        <w:t xml:space="preserve"> </w:t>
      </w:r>
      <w:r>
        <w:t xml:space="preserve">the real chapter mappings instead of forcing an inaccurate global offset.</w:t>
      </w:r>
    </w:p>
    <w:bookmarkEnd w:id="27"/>
    <w:bookmarkStart w:id="28" w:name="corpus-deliverables"/>
    <w:p>
      <w:pPr>
        <w:pStyle w:val="Heading2"/>
      </w:pPr>
      <w:r>
        <w:t xml:space="preserve">Corpus deliverables</w:t>
      </w:r>
    </w:p>
    <w:p>
      <w:pPr>
        <w:pStyle w:val="FirstParagraph"/>
      </w:pPr>
      <w:r>
        <w:t xml:space="preserve">Every successful run can provide:</w:t>
      </w:r>
    </w:p>
    <w:p>
      <w:pPr>
        <w:numPr>
          <w:ilvl w:val="0"/>
          <w:numId w:val="1005"/>
        </w:numPr>
        <w:pStyle w:val="Compact"/>
      </w:pPr>
      <w:r>
        <w:t xml:space="preserve">one UTF-8 TXT file per included section;</w:t>
      </w:r>
    </w:p>
    <w:p>
      <w:pPr>
        <w:numPr>
          <w:ilvl w:val="0"/>
          <w:numId w:val="1005"/>
        </w:numPr>
        <w:pStyle w:val="Compact"/>
      </w:pPr>
      <w:r>
        <w:t xml:space="preserve">one JSONL collection with text and source coordinates;</w:t>
      </w:r>
    </w:p>
    <w:p>
      <w:pPr>
        <w:numPr>
          <w:ilvl w:val="0"/>
          <w:numId w:val="1005"/>
        </w:numPr>
        <w:pStyle w:val="Compact"/>
      </w:pPr>
      <w:r>
        <w:t xml:space="preserve">one CSV manifest with paths, hashes and boundaries;</w:t>
      </w:r>
    </w:p>
    <w:p>
      <w:pPr>
        <w:numPr>
          <w:ilvl w:val="0"/>
          <w:numId w:val="1005"/>
        </w:numPr>
        <w:pStyle w:val="Compact"/>
      </w:pPr>
      <w:r>
        <w:t xml:space="preserve">one immutable run-history record; and</w:t>
      </w:r>
    </w:p>
    <w:p>
      <w:pPr>
        <w:numPr>
          <w:ilvl w:val="0"/>
          <w:numId w:val="1005"/>
        </w:numPr>
        <w:pStyle w:val="Compact"/>
      </w:pPr>
      <w:r>
        <w:t xml:space="preserve">searchable local results linked back to their source and output files.</w:t>
      </w:r>
    </w:p>
    <w:bookmarkEnd w:id="28"/>
    <w:bookmarkStart w:id="29" w:name="designed-for"/>
    <w:p>
      <w:pPr>
        <w:pStyle w:val="Heading2"/>
      </w:pPr>
      <w:r>
        <w:t xml:space="preserve">Designed for</w:t>
      </w:r>
    </w:p>
    <w:p>
      <w:pPr>
        <w:numPr>
          <w:ilvl w:val="0"/>
          <w:numId w:val="1006"/>
        </w:numPr>
        <w:pStyle w:val="Compact"/>
      </w:pPr>
      <w:r>
        <w:t xml:space="preserve">humanities and social-science researchers;</w:t>
      </w:r>
    </w:p>
    <w:p>
      <w:pPr>
        <w:numPr>
          <w:ilvl w:val="0"/>
          <w:numId w:val="1006"/>
        </w:numPr>
        <w:pStyle w:val="Compact"/>
      </w:pPr>
      <w:r>
        <w:t xml:space="preserve">digital archive and corpus teams;</w:t>
      </w:r>
    </w:p>
    <w:p>
      <w:pPr>
        <w:numPr>
          <w:ilvl w:val="0"/>
          <w:numId w:val="1006"/>
        </w:numPr>
        <w:pStyle w:val="Compact"/>
      </w:pPr>
      <w:r>
        <w:t xml:space="preserve">editors preparing structured book datasets;</w:t>
      </w:r>
    </w:p>
    <w:p>
      <w:pPr>
        <w:numPr>
          <w:ilvl w:val="0"/>
          <w:numId w:val="1006"/>
        </w:numPr>
        <w:pStyle w:val="Compact"/>
      </w:pPr>
      <w:r>
        <w:t xml:space="preserve">research assistants handling long-form PDFs; and</w:t>
      </w:r>
    </w:p>
    <w:p>
      <w:pPr>
        <w:numPr>
          <w:ilvl w:val="0"/>
          <w:numId w:val="1006"/>
        </w:numPr>
        <w:pStyle w:val="Compact"/>
      </w:pPr>
      <w:r>
        <w:t xml:space="preserve">anyone who needs reproducible section-level extraction rather than arbitrary</w:t>
      </w:r>
      <w:r>
        <w:t xml:space="preserve"> </w:t>
      </w:r>
      <w:r>
        <w:t xml:space="preserve">page splitting.</w:t>
      </w:r>
    </w:p>
    <w:bookmarkEnd w:id="29"/>
    <w:bookmarkStart w:id="30" w:name="getting-started"/>
    <w:p>
      <w:pPr>
        <w:pStyle w:val="Heading2"/>
      </w:pPr>
      <w:r>
        <w:t xml:space="preserve">Getting started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/media/ambijat/SOPRANO2/GPT_workflow/BOOKCORPUSBUILDER</w:t>
      </w:r>
      <w:r>
        <w:br/>
      </w:r>
      <w:r>
        <w:rPr>
          <w:rStyle w:val="ExtensionTok"/>
        </w:rPr>
        <w:t xml:space="preserve">../BOOKCORPUSBUILDER-gui-venv/bin/bookcorpus-gui</w:t>
      </w:r>
    </w:p>
    <w:p>
      <w:pPr>
        <w:pStyle w:val="FirstParagraph"/>
      </w:pPr>
      <w:r>
        <w:t xml:space="preserve">Optional Ollama support: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'.[gui,ollama]'</w:t>
      </w:r>
    </w:p>
    <w:p>
      <w:pPr>
        <w:pStyle w:val="FirstParagraph"/>
      </w:pPr>
      <w:r>
        <w:t xml:space="preserve">For complete procedures, validation rules and the verified demonstration, see</w:t>
      </w:r>
      <w:r>
        <w:t xml:space="preserve"> </w:t>
      </w:r>
      <w:r>
        <w:rPr>
          <w:rStyle w:val="VerbatimChar"/>
        </w:rPr>
        <w:t xml:space="preserve">BOOKCORPUSBUILDER_Operator_Manual_v0.2.1.docx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Schema authority:</w:t>
      </w:r>
      <w:r>
        <w:t xml:space="preserve"> </w:t>
      </w:r>
      <w:r>
        <w:t xml:space="preserve">Python</w:t>
      </w:r>
      <w:r>
        <w:br/>
      </w:r>
      <w:r>
        <w:rPr>
          <w:bCs/>
          <w:b/>
        </w:rPr>
        <w:t xml:space="preserve">Validation authority:</w:t>
      </w:r>
      <w:r>
        <w:t xml:space="preserve"> </w:t>
      </w:r>
      <w:r>
        <w:t xml:space="preserve">Deterministic services</w:t>
      </w:r>
      <w:r>
        <w:br/>
      </w:r>
      <w:r>
        <w:rPr>
          <w:bCs/>
          <w:b/>
        </w:rPr>
        <w:t xml:space="preserve">Approval authority:</w:t>
      </w:r>
      <w:r>
        <w:t xml:space="preserve"> </w:t>
      </w:r>
      <w:r>
        <w:t xml:space="preserve">Human operator</w:t>
      </w:r>
      <w:r>
        <w:br/>
      </w:r>
      <w:r>
        <w:rPr>
          <w:bCs/>
          <w:b/>
        </w:rPr>
        <w:t xml:space="preserve">Execution authority:</w:t>
      </w:r>
      <w:r>
        <w:t xml:space="preserve"> </w:t>
      </w:r>
      <w:r>
        <w:t xml:space="preserve">Approved, mapped and hash-bound structure</w:t>
      </w:r>
    </w:p>
    <w:bookmarkEnd w:id="30"/>
    <w:bookmarkEnd w:id="31"/>
    <w:sectPr w:rsidR="00FC693F" w:rsidRPr="0006063C" w:rsidSect="00034616">
      <w:headerReference r:id="rId9" w:type="default"/>
      <w:footerReference r:id="rId10" w:type="default"/>
      <w:pgSz w:h="15840" w:w="12240"/>
      <w:pgMar w:bottom="1008" w:footer="720" w:gutter="0" w:header="720" w:left="1080" w:right="1080" w:top="1008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iberation Sans" w:hAnsi="Liberation Sans"/>
        <w:color w:val="6E6E6E"/>
        <w:sz w:val="16"/>
      </w:rPr>
      <w:t>Routine-use manual for GUI v0.2.0 / Structure Builder cycle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Liberation Sans" w:hAnsi="Liberation Sans"/>
        <w:color w:val="6E6E6E"/>
        <w:sz w:val="16"/>
      </w:rPr>
      <w:t>BOOKCORPUSBUILDER - Operator Manual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embedSystemFonts/>
  <w:doNotTrackMoves/>
  <w:drawingGridHorizontalSpacing w:val="360"/>
  <w:drawingGridVerticalSpacing w:val="360"/>
  <w:displayHorizontalDrawingGridEvery w:val="0"/>
  <w:displayVerticalDrawingGridEvery w:val="0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Liberation Sans" w:hAnsi="Liberation Sans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Liberation Sans" w:asciiTheme="majorHAnsi" w:cstheme="majorBidi" w:eastAsiaTheme="majorEastAsia" w:hAnsi="Liberation Sans" w:hAnsiTheme="majorHAnsi"/>
      <w:b/>
      <w:bCs/>
      <w:color w:val="2A4966"/>
      <w:sz w:val="3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Liberation Sans" w:asciiTheme="majorHAnsi" w:cstheme="majorBidi" w:eastAsiaTheme="majorEastAsia" w:hAnsi="Liberation Sans" w:hAnsiTheme="majorHAnsi"/>
      <w:b/>
      <w:bCs/>
      <w:color w:val="37536C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Liberation Sans" w:asciiTheme="majorHAnsi" w:cstheme="majorBidi" w:eastAsiaTheme="majorEastAsia" w:hAnsi="Liberation Sans" w:hAnsiTheme="majorHAnsi"/>
      <w:b/>
      <w:bCs/>
      <w:color w:val="414141"/>
      <w:sz w:val="23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="Liberation Sans" w:asciiTheme="majorHAnsi" w:cstheme="majorBidi" w:eastAsiaTheme="majorEastAsia" w:hAnsi="Liberation Sans" w:hAnsiTheme="majorHAnsi"/>
      <w:b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ManualSubtitle" w:type="paragraph">
    <w:name w:val="Manual Subtitle"/>
    <w:rPr>
      <w:rFonts w:ascii="Liberation Sans" w:hAnsi="Liberation Sans"/>
      <w:b w:val="0"/>
      <w:color w:val="5A5A5A"/>
      <w:sz w:val="26"/>
    </w:rPr>
  </w:style>
  <w:style w:customStyle="1" w:styleId="Callout" w:type="paragraph">
    <w:name w:val="Callout"/>
    <w:rPr>
      <w:rFonts w:ascii="Liberation Sans" w:hAnsi="Liberation Sans"/>
      <w:b w:val="0"/>
      <w:color w:val="2D2D2D"/>
      <w:sz w:val="21"/>
    </w:rPr>
  </w:style>
  <w:style w:customStyle="1" w:styleId="Button" w:type="paragraph">
    <w:name w:val="Button"/>
    <w:rPr>
      <w:rFonts w:ascii="Liberation Sans" w:hAnsi="Liberation Sans"/>
      <w:b/>
      <w:color w:val="1E1E1E"/>
      <w:sz w:val="20"/>
    </w:rPr>
  </w:style>
  <w:style w:customStyle="1" w:styleId="CaptionManual" w:type="paragraph">
    <w:name w:val="Caption Manual"/>
    <w:rPr>
      <w:rFonts w:ascii="Liberation Sans" w:hAnsi="Liberation Sans"/>
      <w:b w:val="0"/>
      <w:color w:val="5A5A5A"/>
      <w:sz w:val="18"/>
    </w:rPr>
  </w:style>
  <w:style w:customStyle="1" w:styleId="SmallManual" w:type="paragraph">
    <w:name w:val="Small Manual"/>
    <w:rPr>
      <w:rFonts w:ascii="Liberation Sans" w:hAnsi="Liberation Sans"/>
      <w:b w:val="0"/>
      <w:color w:val="505050"/>
      <w:sz w:val="18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2026-08-04T03:06:50Z</dcterms:created>
  <dcterms:modified xsi:type="dcterms:W3CDTF">2026-08-04T03:06:50Z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