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4E4" w:rsidRPr="00D43546" w:rsidRDefault="004741A1" w:rsidP="007D4F7A">
      <w:pPr>
        <w:tabs>
          <w:tab w:val="left" w:pos="4230"/>
        </w:tabs>
        <w:spacing w:before="120" w:after="0" w:line="240" w:lineRule="auto"/>
        <w:rPr>
          <w:b/>
          <w:color w:val="DB1F26"/>
          <w:sz w:val="40"/>
          <w:szCs w:val="40"/>
        </w:rPr>
      </w:pPr>
      <w:r>
        <w:rPr>
          <w:noProof/>
          <w:color w:val="DB1F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6.5pt;width:144.75pt;height:68.1pt;z-index:251659264;mso-position-horizontal:absolute;mso-position-horizontal-relative:text;mso-position-vertical:absolute;mso-position-vertical-relative:text">
            <v:imagedata r:id="rId7" o:title="the-most-group-logo-205"/>
            <w10:wrap type="square"/>
          </v:shape>
        </w:pict>
      </w:r>
      <w:r w:rsidR="007D4F7A">
        <w:rPr>
          <w:rStyle w:val="TMGTitleChar"/>
          <w:color w:val="DB1F26"/>
          <w:sz w:val="40"/>
          <w:szCs w:val="40"/>
        </w:rPr>
        <w:t xml:space="preserve">HSB – Office Visit Change Changes for Master List &amp; Medical Document </w:t>
      </w:r>
    </w:p>
    <w:p w:rsidR="00053DC5" w:rsidRPr="00053DC5" w:rsidRDefault="007D4F7A" w:rsidP="00375685">
      <w:pPr>
        <w:tabs>
          <w:tab w:val="center" w:pos="2873"/>
        </w:tabs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April 4,</w:t>
      </w:r>
      <w:r w:rsidR="00D43546">
        <w:rPr>
          <w:i/>
          <w:sz w:val="28"/>
          <w:szCs w:val="28"/>
        </w:rPr>
        <w:t xml:space="preserve"> 2016</w:t>
      </w:r>
      <w:r w:rsidR="00375685">
        <w:rPr>
          <w:i/>
          <w:sz w:val="28"/>
          <w:szCs w:val="28"/>
        </w:rPr>
        <w:tab/>
      </w:r>
    </w:p>
    <w:p w:rsidR="00053DC5" w:rsidRDefault="00053DC5" w:rsidP="00053DC5">
      <w:pPr>
        <w:jc w:val="center"/>
        <w:rPr>
          <w:sz w:val="32"/>
          <w:szCs w:val="32"/>
        </w:rPr>
      </w:pPr>
    </w:p>
    <w:p w:rsidR="005F7C9A" w:rsidRDefault="005F7C9A">
      <w:pPr>
        <w:pStyle w:val="TOC1"/>
        <w:tabs>
          <w:tab w:val="right" w:leader="underscore" w:pos="9350"/>
        </w:tabs>
      </w:pPr>
    </w:p>
    <w:p w:rsidR="00B47D06" w:rsidRPr="00D43546" w:rsidRDefault="00B47D06" w:rsidP="00375685">
      <w:pPr>
        <w:pStyle w:val="TMGHeading1"/>
        <w:rPr>
          <w:color w:val="FF0000"/>
          <w:sz w:val="28"/>
          <w:szCs w:val="28"/>
        </w:rPr>
      </w:pPr>
      <w:r w:rsidRPr="00D43546">
        <w:rPr>
          <w:color w:val="FF0000"/>
          <w:sz w:val="28"/>
          <w:szCs w:val="28"/>
        </w:rPr>
        <w:t>Document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620"/>
        <w:gridCol w:w="4657"/>
        <w:gridCol w:w="2381"/>
      </w:tblGrid>
      <w:tr w:rsidR="00B47D06" w:rsidTr="00B47D06">
        <w:tc>
          <w:tcPr>
            <w:tcW w:w="918" w:type="dxa"/>
          </w:tcPr>
          <w:p w:rsidR="00B47D06" w:rsidRPr="00B47D06" w:rsidRDefault="00B47D06" w:rsidP="00B47D06">
            <w:pPr>
              <w:pStyle w:val="TMGHeading1"/>
              <w:jc w:val="center"/>
              <w:rPr>
                <w:color w:val="auto"/>
                <w:sz w:val="22"/>
                <w:szCs w:val="22"/>
              </w:rPr>
            </w:pPr>
            <w:r w:rsidRPr="00B47D06">
              <w:rPr>
                <w:color w:val="auto"/>
                <w:sz w:val="22"/>
                <w:szCs w:val="22"/>
              </w:rPr>
              <w:t>Version</w:t>
            </w:r>
          </w:p>
        </w:tc>
        <w:tc>
          <w:tcPr>
            <w:tcW w:w="1620" w:type="dxa"/>
          </w:tcPr>
          <w:p w:rsidR="00B47D06" w:rsidRPr="00B47D06" w:rsidRDefault="00B47D06" w:rsidP="00B47D06">
            <w:pPr>
              <w:pStyle w:val="TMGHeading1"/>
              <w:jc w:val="center"/>
              <w:rPr>
                <w:color w:val="auto"/>
                <w:sz w:val="22"/>
                <w:szCs w:val="22"/>
              </w:rPr>
            </w:pPr>
            <w:r w:rsidRPr="00B47D06">
              <w:rPr>
                <w:color w:val="auto"/>
                <w:sz w:val="22"/>
                <w:szCs w:val="22"/>
              </w:rPr>
              <w:t>Date</w:t>
            </w:r>
          </w:p>
        </w:tc>
        <w:tc>
          <w:tcPr>
            <w:tcW w:w="4657" w:type="dxa"/>
          </w:tcPr>
          <w:p w:rsidR="00B47D06" w:rsidRPr="00B47D06" w:rsidRDefault="00B47D06" w:rsidP="00B47D06">
            <w:pPr>
              <w:pStyle w:val="TMGHeading1"/>
              <w:jc w:val="center"/>
              <w:rPr>
                <w:color w:val="auto"/>
                <w:sz w:val="22"/>
                <w:szCs w:val="22"/>
              </w:rPr>
            </w:pPr>
            <w:r w:rsidRPr="00B47D06">
              <w:rPr>
                <w:color w:val="auto"/>
                <w:sz w:val="22"/>
                <w:szCs w:val="22"/>
              </w:rPr>
              <w:t>Change Description</w:t>
            </w:r>
          </w:p>
        </w:tc>
        <w:tc>
          <w:tcPr>
            <w:tcW w:w="2381" w:type="dxa"/>
          </w:tcPr>
          <w:p w:rsidR="00B47D06" w:rsidRPr="00B47D06" w:rsidRDefault="00B47D06" w:rsidP="00B47D06">
            <w:pPr>
              <w:pStyle w:val="TMGHeading1"/>
              <w:jc w:val="center"/>
              <w:rPr>
                <w:color w:val="auto"/>
                <w:sz w:val="22"/>
                <w:szCs w:val="22"/>
              </w:rPr>
            </w:pPr>
            <w:r w:rsidRPr="00B47D06">
              <w:rPr>
                <w:color w:val="auto"/>
                <w:sz w:val="22"/>
                <w:szCs w:val="22"/>
              </w:rPr>
              <w:t>Author</w:t>
            </w:r>
          </w:p>
        </w:tc>
      </w:tr>
      <w:tr w:rsidR="00B47D06" w:rsidTr="00B47D06">
        <w:tc>
          <w:tcPr>
            <w:tcW w:w="918" w:type="dxa"/>
          </w:tcPr>
          <w:p w:rsidR="00B47D06" w:rsidRPr="00B47D06" w:rsidRDefault="00B47D06" w:rsidP="00375685">
            <w:pPr>
              <w:pStyle w:val="TMGHeading1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1620" w:type="dxa"/>
          </w:tcPr>
          <w:p w:rsidR="00B47D06" w:rsidRPr="00B47D06" w:rsidRDefault="007D4F7A" w:rsidP="00375685">
            <w:pPr>
              <w:pStyle w:val="TMGHeading1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4/4</w:t>
            </w:r>
            <w:r w:rsidR="008D54ED">
              <w:rPr>
                <w:b w:val="0"/>
                <w:color w:val="auto"/>
                <w:sz w:val="22"/>
                <w:szCs w:val="22"/>
              </w:rPr>
              <w:t>/16</w:t>
            </w:r>
          </w:p>
        </w:tc>
        <w:tc>
          <w:tcPr>
            <w:tcW w:w="4657" w:type="dxa"/>
          </w:tcPr>
          <w:p w:rsidR="00B47D06" w:rsidRPr="00B47D06" w:rsidRDefault="00B47D06" w:rsidP="00375685">
            <w:pPr>
              <w:pStyle w:val="TMGHeading1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Initial draft</w:t>
            </w:r>
          </w:p>
        </w:tc>
        <w:tc>
          <w:tcPr>
            <w:tcW w:w="2381" w:type="dxa"/>
          </w:tcPr>
          <w:p w:rsidR="00B47D06" w:rsidRPr="00B47D06" w:rsidRDefault="000309B4" w:rsidP="00375685">
            <w:pPr>
              <w:pStyle w:val="TMGHeading1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Mandy Reimann</w:t>
            </w:r>
          </w:p>
        </w:tc>
      </w:tr>
      <w:tr w:rsidR="00B47D06" w:rsidTr="00B47D06">
        <w:tc>
          <w:tcPr>
            <w:tcW w:w="918" w:type="dxa"/>
          </w:tcPr>
          <w:p w:rsidR="00B47D06" w:rsidRPr="00B47D06" w:rsidRDefault="00B47D06" w:rsidP="00375685">
            <w:pPr>
              <w:pStyle w:val="TMGHeading1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620" w:type="dxa"/>
          </w:tcPr>
          <w:p w:rsidR="00B47D06" w:rsidRPr="00B47D06" w:rsidRDefault="00B47D06" w:rsidP="00375685">
            <w:pPr>
              <w:pStyle w:val="TMGHeading1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4657" w:type="dxa"/>
          </w:tcPr>
          <w:p w:rsidR="00B47D06" w:rsidRPr="00B47D06" w:rsidRDefault="00B47D06" w:rsidP="0068377D">
            <w:pPr>
              <w:pStyle w:val="TMGHeading1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2381" w:type="dxa"/>
          </w:tcPr>
          <w:p w:rsidR="00B47D06" w:rsidRPr="00B47D06" w:rsidRDefault="00B47D06" w:rsidP="00375685">
            <w:pPr>
              <w:pStyle w:val="TMGHeading1"/>
              <w:rPr>
                <w:b w:val="0"/>
                <w:color w:val="auto"/>
                <w:sz w:val="22"/>
                <w:szCs w:val="22"/>
              </w:rPr>
            </w:pPr>
          </w:p>
        </w:tc>
      </w:tr>
      <w:tr w:rsidR="00753F70" w:rsidTr="00B47D06">
        <w:tc>
          <w:tcPr>
            <w:tcW w:w="918" w:type="dxa"/>
          </w:tcPr>
          <w:p w:rsidR="00753F70" w:rsidRDefault="00753F70" w:rsidP="00375685">
            <w:pPr>
              <w:pStyle w:val="TMGHeading1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620" w:type="dxa"/>
          </w:tcPr>
          <w:p w:rsidR="00753F70" w:rsidRDefault="00753F70" w:rsidP="00375685">
            <w:pPr>
              <w:pStyle w:val="TMGHeading1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4657" w:type="dxa"/>
          </w:tcPr>
          <w:p w:rsidR="00753F70" w:rsidRDefault="00753F70" w:rsidP="0068377D">
            <w:pPr>
              <w:pStyle w:val="TMGHeading1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2381" w:type="dxa"/>
          </w:tcPr>
          <w:p w:rsidR="00753F70" w:rsidRPr="00CF6848" w:rsidRDefault="00753F70" w:rsidP="00375685">
            <w:pPr>
              <w:pStyle w:val="TMGHeading1"/>
              <w:rPr>
                <w:b w:val="0"/>
                <w:color w:val="auto"/>
                <w:sz w:val="22"/>
                <w:szCs w:val="22"/>
              </w:rPr>
            </w:pPr>
          </w:p>
        </w:tc>
      </w:tr>
    </w:tbl>
    <w:p w:rsidR="00E47912" w:rsidRDefault="00E47912" w:rsidP="00375685">
      <w:pPr>
        <w:pStyle w:val="TMGHeading1"/>
        <w:rPr>
          <w:color w:val="auto"/>
          <w:sz w:val="22"/>
          <w:szCs w:val="22"/>
          <w:u w:val="single"/>
        </w:rPr>
      </w:pPr>
    </w:p>
    <w:p w:rsidR="00B77B51" w:rsidRDefault="00133A14" w:rsidP="00375685">
      <w:pPr>
        <w:pStyle w:val="TMGHeading1"/>
        <w:rPr>
          <w:color w:val="auto"/>
          <w:sz w:val="22"/>
          <w:szCs w:val="22"/>
          <w:u w:val="single"/>
        </w:rPr>
      </w:pPr>
      <w:r>
        <w:rPr>
          <w:color w:val="auto"/>
          <w:sz w:val="22"/>
          <w:szCs w:val="22"/>
          <w:u w:val="single"/>
        </w:rPr>
        <w:t xml:space="preserve">Business Background / Current State: </w:t>
      </w:r>
    </w:p>
    <w:p w:rsidR="00133A14" w:rsidRDefault="00133A14" w:rsidP="00133A14">
      <w:r>
        <w:t>The current method for handling the copay amount for Office Visit services has become problematic for when a plan has a different PCP and Specialist Office Visit copay, and the specific office visit service (such as Allergy OV or Chemotherapy OV) is not specified in a the plan’s previous benefit documentation (such as the SPD), then assumptions have to be made to determine if standardly a PCP or Specialist would perform the service. This is problematic for the following:</w:t>
      </w:r>
    </w:p>
    <w:p w:rsidR="00133A14" w:rsidRDefault="00133A14" w:rsidP="00133A14">
      <w:pPr>
        <w:pStyle w:val="ListParagraph"/>
        <w:numPr>
          <w:ilvl w:val="0"/>
          <w:numId w:val="18"/>
        </w:numPr>
        <w:spacing w:after="0" w:line="240" w:lineRule="auto"/>
        <w:contextualSpacing w:val="0"/>
      </w:pPr>
      <w:r>
        <w:t>Sales/Account team is spending time trying to research the appropriate copay level to set (</w:t>
      </w:r>
      <w:proofErr w:type="spellStart"/>
      <w:r>
        <w:t>ie</w:t>
      </w:r>
      <w:proofErr w:type="spellEnd"/>
      <w:r>
        <w:t>: either the PCP or Specialist).</w:t>
      </w:r>
    </w:p>
    <w:p w:rsidR="00133A14" w:rsidRDefault="00133A14" w:rsidP="00133A14">
      <w:pPr>
        <w:pStyle w:val="ListParagraph"/>
        <w:numPr>
          <w:ilvl w:val="0"/>
          <w:numId w:val="18"/>
        </w:numPr>
        <w:spacing w:after="0" w:line="240" w:lineRule="auto"/>
        <w:contextualSpacing w:val="0"/>
      </w:pPr>
      <w:r>
        <w:t xml:space="preserve">Sales/Account team has to update the OV lines in eBenefitSync which is time-consuming. </w:t>
      </w:r>
    </w:p>
    <w:p w:rsidR="00133A14" w:rsidRDefault="00133A14" w:rsidP="00133A14">
      <w:pPr>
        <w:pStyle w:val="ListParagraph"/>
        <w:numPr>
          <w:ilvl w:val="0"/>
          <w:numId w:val="18"/>
        </w:numPr>
        <w:spacing w:after="0" w:line="240" w:lineRule="auto"/>
        <w:contextualSpacing w:val="0"/>
      </w:pPr>
      <w:r>
        <w:t>Risk exists that if assumption to apply the PCP or Specialist Copay amount for a specific OV service is not correct, then there is potential to quote the benefit incorrectly.</w:t>
      </w:r>
    </w:p>
    <w:p w:rsidR="00133A14" w:rsidRDefault="00133A14" w:rsidP="00133A14">
      <w:pPr>
        <w:pStyle w:val="ListParagraph"/>
        <w:numPr>
          <w:ilvl w:val="0"/>
          <w:numId w:val="18"/>
        </w:numPr>
        <w:spacing w:after="0" w:line="240" w:lineRule="auto"/>
        <w:contextualSpacing w:val="0"/>
      </w:pPr>
      <w:r>
        <w:t xml:space="preserve">Considerations: </w:t>
      </w:r>
    </w:p>
    <w:p w:rsidR="00133A14" w:rsidRDefault="00133A14" w:rsidP="00133A14">
      <w:pPr>
        <w:pStyle w:val="ListParagraph"/>
        <w:numPr>
          <w:ilvl w:val="1"/>
          <w:numId w:val="18"/>
        </w:numPr>
        <w:spacing w:after="0" w:line="240" w:lineRule="auto"/>
        <w:contextualSpacing w:val="0"/>
      </w:pPr>
      <w:r>
        <w:t xml:space="preserve">Some plans have specific OV copays for specific OV services. For example, regardless of the PCP or Specialist OV copays, a plan could have </w:t>
      </w:r>
      <w:proofErr w:type="gramStart"/>
      <w:r>
        <w:t>a Chiro</w:t>
      </w:r>
      <w:proofErr w:type="gramEnd"/>
      <w:r>
        <w:t xml:space="preserve"> OV copay that is completely different. </w:t>
      </w:r>
    </w:p>
    <w:p w:rsidR="00133A14" w:rsidRDefault="00133A14" w:rsidP="00133A14">
      <w:pPr>
        <w:pStyle w:val="ListParagraph"/>
        <w:numPr>
          <w:ilvl w:val="1"/>
          <w:numId w:val="18"/>
        </w:numPr>
        <w:spacing w:after="0" w:line="240" w:lineRule="auto"/>
        <w:contextualSpacing w:val="0"/>
      </w:pPr>
      <w:r>
        <w:t>The solution needs to satisfy the needs of the sales/account teams to efficiently create the plans, ensure that the Configuration Team has the appropriate information to set-up the plan, and t</w:t>
      </w:r>
      <w:r w:rsidR="004741A1">
        <w:t>hat the Benefit Matrix clearly s</w:t>
      </w:r>
      <w:r>
        <w:t xml:space="preserve">hows the appropriate benefit level for quoting. </w:t>
      </w:r>
    </w:p>
    <w:p w:rsidR="00133A14" w:rsidRDefault="00133A14" w:rsidP="00133A14">
      <w:pPr>
        <w:spacing w:after="0" w:line="240" w:lineRule="auto"/>
      </w:pPr>
    </w:p>
    <w:p w:rsidR="00133A14" w:rsidRDefault="00133A14" w:rsidP="00133A14">
      <w:pPr>
        <w:pStyle w:val="TMGHeading1"/>
        <w:rPr>
          <w:color w:val="auto"/>
          <w:sz w:val="22"/>
          <w:szCs w:val="22"/>
          <w:u w:val="single"/>
        </w:rPr>
      </w:pPr>
      <w:r>
        <w:rPr>
          <w:color w:val="auto"/>
          <w:sz w:val="22"/>
          <w:szCs w:val="22"/>
          <w:u w:val="single"/>
        </w:rPr>
        <w:t>Business Requirements</w:t>
      </w:r>
      <w:r>
        <w:rPr>
          <w:color w:val="auto"/>
          <w:sz w:val="22"/>
          <w:szCs w:val="22"/>
          <w:u w:val="single"/>
        </w:rPr>
        <w:t xml:space="preserve">: </w:t>
      </w:r>
    </w:p>
    <w:p w:rsidR="00B76ACE" w:rsidRDefault="00B76ACE" w:rsidP="00B76ACE">
      <w:pPr>
        <w:pStyle w:val="ListParagraph"/>
        <w:numPr>
          <w:ilvl w:val="0"/>
          <w:numId w:val="20"/>
        </w:numPr>
        <w:spacing w:after="0" w:line="240" w:lineRule="auto"/>
        <w:contextualSpacing w:val="0"/>
      </w:pPr>
      <w:r>
        <w:t>Update the Master List, Medical Services, Office Visit Category:</w:t>
      </w:r>
    </w:p>
    <w:p w:rsidR="00B76ACE" w:rsidRDefault="00B76ACE" w:rsidP="00B76ACE">
      <w:pPr>
        <w:pStyle w:val="ListParagraph"/>
        <w:numPr>
          <w:ilvl w:val="2"/>
          <w:numId w:val="22"/>
        </w:numPr>
        <w:spacing w:after="0" w:line="240" w:lineRule="auto"/>
        <w:contextualSpacing w:val="0"/>
      </w:pPr>
      <w:r>
        <w:t>Change “Office Visit Charge” to “Office Visit Charge – PCP”</w:t>
      </w:r>
    </w:p>
    <w:p w:rsidR="00B76ACE" w:rsidRDefault="00B76ACE" w:rsidP="00B76ACE">
      <w:pPr>
        <w:pStyle w:val="ListParagraph"/>
        <w:numPr>
          <w:ilvl w:val="2"/>
          <w:numId w:val="22"/>
        </w:numPr>
        <w:spacing w:after="0" w:line="240" w:lineRule="auto"/>
        <w:contextualSpacing w:val="0"/>
      </w:pPr>
      <w:r>
        <w:t xml:space="preserve">Create a new option for “Office Visit Charge – Specialist” </w:t>
      </w:r>
    </w:p>
    <w:p w:rsidR="00B76ACE" w:rsidRDefault="00B76ACE" w:rsidP="00B76ACE">
      <w:pPr>
        <w:pStyle w:val="ListParagraph"/>
        <w:numPr>
          <w:ilvl w:val="2"/>
          <w:numId w:val="22"/>
        </w:numPr>
        <w:spacing w:after="0" w:line="240" w:lineRule="auto"/>
        <w:contextualSpacing w:val="0"/>
      </w:pPr>
      <w:r>
        <w:t>Add new services so that each Office Visit Charge now has a service line for “Office Visit Charge – PCP” and “Off</w:t>
      </w:r>
      <w:r w:rsidR="00B74733">
        <w:t>ice Visit Charge – Specialist”</w:t>
      </w:r>
    </w:p>
    <w:p w:rsidR="00B76ACE" w:rsidRDefault="00B76ACE" w:rsidP="00B76ACE">
      <w:pPr>
        <w:pStyle w:val="ListParagraph"/>
        <w:numPr>
          <w:ilvl w:val="2"/>
          <w:numId w:val="22"/>
        </w:numPr>
        <w:spacing w:after="0" w:line="240" w:lineRule="auto"/>
        <w:contextualSpacing w:val="0"/>
      </w:pPr>
      <w:r>
        <w:t>Update the Apply Copay Type Column</w:t>
      </w:r>
    </w:p>
    <w:p w:rsidR="00B76ACE" w:rsidRDefault="00B76ACE" w:rsidP="00B76ACE">
      <w:pPr>
        <w:pStyle w:val="ListParagraph"/>
        <w:numPr>
          <w:ilvl w:val="3"/>
          <w:numId w:val="22"/>
        </w:numPr>
        <w:spacing w:after="0" w:line="240" w:lineRule="auto"/>
        <w:contextualSpacing w:val="0"/>
      </w:pPr>
      <w:r>
        <w:t>Each “Office Visit Charge – PCP” applies PCP option</w:t>
      </w:r>
    </w:p>
    <w:p w:rsidR="00B76ACE" w:rsidRDefault="00B76ACE" w:rsidP="00B76ACE">
      <w:pPr>
        <w:pStyle w:val="ListParagraph"/>
        <w:numPr>
          <w:ilvl w:val="3"/>
          <w:numId w:val="22"/>
        </w:numPr>
        <w:spacing w:after="0" w:line="240" w:lineRule="auto"/>
        <w:contextualSpacing w:val="0"/>
      </w:pPr>
      <w:r>
        <w:t xml:space="preserve">Each “Office Visit Charge </w:t>
      </w:r>
      <w:r w:rsidR="00B74733">
        <w:t>–</w:t>
      </w:r>
      <w:r>
        <w:t xml:space="preserve"> </w:t>
      </w:r>
      <w:r w:rsidR="00B74733">
        <w:t>Specialist” applies Specialist option</w:t>
      </w:r>
    </w:p>
    <w:p w:rsidR="00B74733" w:rsidRPr="00B74733" w:rsidRDefault="00B74733" w:rsidP="00B74733">
      <w:pPr>
        <w:spacing w:after="0" w:line="240" w:lineRule="auto"/>
        <w:rPr>
          <w:b/>
        </w:rPr>
      </w:pPr>
      <w:r w:rsidRPr="00B74733">
        <w:rPr>
          <w:b/>
        </w:rPr>
        <w:t xml:space="preserve">NOTE: for 1.1.3 and 1.1.4 – BA team will provide an updated excel file with all the service changes. </w:t>
      </w:r>
    </w:p>
    <w:p w:rsidR="00B76ACE" w:rsidRDefault="00B76ACE" w:rsidP="00B76ACE">
      <w:pPr>
        <w:spacing w:after="0" w:line="240" w:lineRule="auto"/>
        <w:ind w:left="720"/>
      </w:pPr>
      <w:r>
        <w:lastRenderedPageBreak/>
        <w:t xml:space="preserve">Example: </w:t>
      </w:r>
    </w:p>
    <w:p w:rsidR="00B74733" w:rsidRDefault="00B76ACE" w:rsidP="00B76ACE">
      <w:pPr>
        <w:pStyle w:val="ListParagraph"/>
        <w:numPr>
          <w:ilvl w:val="1"/>
          <w:numId w:val="20"/>
        </w:numPr>
        <w:spacing w:after="0" w:line="240" w:lineRule="auto"/>
      </w:pPr>
      <w:r>
        <w:t>C</w:t>
      </w:r>
      <w:r>
        <w:t>urrently</w:t>
      </w:r>
      <w:r w:rsidR="00B74733">
        <w:t>,</w:t>
      </w:r>
      <w:r>
        <w:t xml:space="preserve"> there is one service line for “</w:t>
      </w:r>
      <w:r>
        <w:t>Orthotics</w:t>
      </w:r>
      <w:r w:rsidR="00B74733">
        <w:t>, Office Visit Charge”</w:t>
      </w:r>
    </w:p>
    <w:p w:rsidR="00B74733" w:rsidRDefault="00B74733" w:rsidP="00B74733">
      <w:pPr>
        <w:spacing w:after="0" w:line="240" w:lineRule="auto"/>
      </w:pPr>
      <w:r>
        <w:rPr>
          <w:noProof/>
        </w:rPr>
        <w:drawing>
          <wp:inline distT="0" distB="0" distL="0" distR="0" wp14:anchorId="4A40E8FE" wp14:editId="373741EC">
            <wp:extent cx="5943600" cy="803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33" w:rsidRDefault="00B74733" w:rsidP="00B74733">
      <w:pPr>
        <w:spacing w:after="0" w:line="240" w:lineRule="auto"/>
      </w:pPr>
    </w:p>
    <w:p w:rsidR="00B76ACE" w:rsidRDefault="00B74733" w:rsidP="00B74733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In the </w:t>
      </w:r>
      <w:r w:rsidR="00B76ACE">
        <w:t>future there will be two service lines “</w:t>
      </w:r>
      <w:r w:rsidR="00B76ACE">
        <w:t>Orthotics</w:t>
      </w:r>
      <w:r w:rsidR="00B76ACE">
        <w:t>, Office Visit Charge – PCP” and “</w:t>
      </w:r>
      <w:r w:rsidR="00B76ACE">
        <w:t>Orthotics</w:t>
      </w:r>
      <w:r w:rsidR="00B76ACE">
        <w:t>, Office Visit Charge – Specialist”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574"/>
        <w:gridCol w:w="565"/>
        <w:gridCol w:w="605"/>
        <w:gridCol w:w="3060"/>
        <w:gridCol w:w="540"/>
        <w:gridCol w:w="450"/>
        <w:gridCol w:w="1440"/>
        <w:gridCol w:w="1278"/>
      </w:tblGrid>
      <w:tr w:rsidR="00B74733" w:rsidTr="00F324B6">
        <w:tc>
          <w:tcPr>
            <w:tcW w:w="1064" w:type="dxa"/>
          </w:tcPr>
          <w:p w:rsidR="00B74733" w:rsidRDefault="00B74733" w:rsidP="00B74733">
            <w:r>
              <w:t>BC1</w:t>
            </w:r>
          </w:p>
        </w:tc>
        <w:tc>
          <w:tcPr>
            <w:tcW w:w="574" w:type="dxa"/>
          </w:tcPr>
          <w:p w:rsidR="00B74733" w:rsidRDefault="00B74733" w:rsidP="00B74733">
            <w:r>
              <w:t>BC2</w:t>
            </w:r>
          </w:p>
        </w:tc>
        <w:tc>
          <w:tcPr>
            <w:tcW w:w="565" w:type="dxa"/>
          </w:tcPr>
          <w:p w:rsidR="00B74733" w:rsidRDefault="00B74733" w:rsidP="00B74733">
            <w:r>
              <w:t>BC3</w:t>
            </w:r>
          </w:p>
        </w:tc>
        <w:tc>
          <w:tcPr>
            <w:tcW w:w="605" w:type="dxa"/>
          </w:tcPr>
          <w:p w:rsidR="00B74733" w:rsidRDefault="00B74733" w:rsidP="00B74733">
            <w:r>
              <w:t>POS</w:t>
            </w:r>
          </w:p>
        </w:tc>
        <w:tc>
          <w:tcPr>
            <w:tcW w:w="3060" w:type="dxa"/>
          </w:tcPr>
          <w:p w:rsidR="00B74733" w:rsidRDefault="00B74733" w:rsidP="00B74733">
            <w:r>
              <w:t>Office Visit Category</w:t>
            </w:r>
          </w:p>
        </w:tc>
        <w:tc>
          <w:tcPr>
            <w:tcW w:w="540" w:type="dxa"/>
          </w:tcPr>
          <w:p w:rsidR="00B74733" w:rsidRDefault="00B74733" w:rsidP="00B74733">
            <w:r>
              <w:t>Cat</w:t>
            </w:r>
          </w:p>
        </w:tc>
        <w:tc>
          <w:tcPr>
            <w:tcW w:w="450" w:type="dxa"/>
          </w:tcPr>
          <w:p w:rsidR="00B74733" w:rsidRDefault="00B74733" w:rsidP="00B74733">
            <w:r>
              <w:t>SC</w:t>
            </w:r>
          </w:p>
        </w:tc>
        <w:tc>
          <w:tcPr>
            <w:tcW w:w="1440" w:type="dxa"/>
          </w:tcPr>
          <w:p w:rsidR="00B74733" w:rsidRDefault="00B74733" w:rsidP="00B74733">
            <w:r>
              <w:t>OV Charge Only</w:t>
            </w:r>
          </w:p>
        </w:tc>
        <w:tc>
          <w:tcPr>
            <w:tcW w:w="1278" w:type="dxa"/>
          </w:tcPr>
          <w:p w:rsidR="00B74733" w:rsidRDefault="00B74733" w:rsidP="00B74733">
            <w:r>
              <w:t>Apply Copay Type</w:t>
            </w:r>
          </w:p>
        </w:tc>
      </w:tr>
      <w:tr w:rsidR="00B74733" w:rsidTr="00F324B6">
        <w:tc>
          <w:tcPr>
            <w:tcW w:w="1064" w:type="dxa"/>
          </w:tcPr>
          <w:p w:rsidR="00B74733" w:rsidRDefault="00B74733" w:rsidP="00B74733">
            <w:r>
              <w:t>Orthotics</w:t>
            </w:r>
          </w:p>
        </w:tc>
        <w:tc>
          <w:tcPr>
            <w:tcW w:w="574" w:type="dxa"/>
          </w:tcPr>
          <w:p w:rsidR="00B74733" w:rsidRDefault="00B74733" w:rsidP="00B74733"/>
        </w:tc>
        <w:tc>
          <w:tcPr>
            <w:tcW w:w="565" w:type="dxa"/>
          </w:tcPr>
          <w:p w:rsidR="00B74733" w:rsidRDefault="00B74733" w:rsidP="00B74733"/>
        </w:tc>
        <w:tc>
          <w:tcPr>
            <w:tcW w:w="605" w:type="dxa"/>
          </w:tcPr>
          <w:p w:rsidR="00B74733" w:rsidRDefault="00B74733" w:rsidP="00B74733"/>
        </w:tc>
        <w:tc>
          <w:tcPr>
            <w:tcW w:w="3060" w:type="dxa"/>
          </w:tcPr>
          <w:p w:rsidR="00B74733" w:rsidRDefault="00B74733" w:rsidP="00B74733">
            <w:r>
              <w:t>Office Visit Charge – PCP</w:t>
            </w:r>
          </w:p>
        </w:tc>
        <w:tc>
          <w:tcPr>
            <w:tcW w:w="540" w:type="dxa"/>
          </w:tcPr>
          <w:p w:rsidR="00B74733" w:rsidRDefault="00B74733" w:rsidP="00B74733">
            <w:r>
              <w:t>OH</w:t>
            </w:r>
          </w:p>
        </w:tc>
        <w:tc>
          <w:tcPr>
            <w:tcW w:w="450" w:type="dxa"/>
          </w:tcPr>
          <w:p w:rsidR="00B74733" w:rsidRDefault="00B74733" w:rsidP="00B74733"/>
        </w:tc>
        <w:tc>
          <w:tcPr>
            <w:tcW w:w="1440" w:type="dxa"/>
          </w:tcPr>
          <w:p w:rsidR="00B74733" w:rsidRDefault="00B74733" w:rsidP="00B74733">
            <w:r>
              <w:t>C</w:t>
            </w:r>
            <w:r w:rsidR="00F324B6">
              <w:t>opay</w:t>
            </w:r>
          </w:p>
        </w:tc>
        <w:tc>
          <w:tcPr>
            <w:tcW w:w="1278" w:type="dxa"/>
          </w:tcPr>
          <w:p w:rsidR="00B74733" w:rsidRDefault="00F324B6" w:rsidP="00B74733">
            <w:r>
              <w:t>PCP</w:t>
            </w:r>
          </w:p>
        </w:tc>
      </w:tr>
      <w:tr w:rsidR="00F324B6" w:rsidTr="00F324B6">
        <w:tc>
          <w:tcPr>
            <w:tcW w:w="1064" w:type="dxa"/>
          </w:tcPr>
          <w:p w:rsidR="00F324B6" w:rsidRDefault="00F324B6" w:rsidP="00B74733">
            <w:r>
              <w:t>Orthotics</w:t>
            </w:r>
          </w:p>
        </w:tc>
        <w:tc>
          <w:tcPr>
            <w:tcW w:w="574" w:type="dxa"/>
          </w:tcPr>
          <w:p w:rsidR="00F324B6" w:rsidRDefault="00F324B6" w:rsidP="00B74733"/>
        </w:tc>
        <w:tc>
          <w:tcPr>
            <w:tcW w:w="565" w:type="dxa"/>
          </w:tcPr>
          <w:p w:rsidR="00F324B6" w:rsidRDefault="00F324B6" w:rsidP="00B74733"/>
        </w:tc>
        <w:tc>
          <w:tcPr>
            <w:tcW w:w="605" w:type="dxa"/>
          </w:tcPr>
          <w:p w:rsidR="00F324B6" w:rsidRDefault="00F324B6" w:rsidP="00B74733"/>
        </w:tc>
        <w:tc>
          <w:tcPr>
            <w:tcW w:w="3060" w:type="dxa"/>
          </w:tcPr>
          <w:p w:rsidR="00F324B6" w:rsidRDefault="00F324B6" w:rsidP="00B74733">
            <w:r>
              <w:t>Office Visit Charge – Specialist</w:t>
            </w:r>
          </w:p>
        </w:tc>
        <w:tc>
          <w:tcPr>
            <w:tcW w:w="540" w:type="dxa"/>
          </w:tcPr>
          <w:p w:rsidR="00F324B6" w:rsidRDefault="00F324B6" w:rsidP="00B74733">
            <w:r>
              <w:t>OH</w:t>
            </w:r>
          </w:p>
        </w:tc>
        <w:tc>
          <w:tcPr>
            <w:tcW w:w="450" w:type="dxa"/>
          </w:tcPr>
          <w:p w:rsidR="00F324B6" w:rsidRDefault="00F324B6" w:rsidP="00B74733"/>
        </w:tc>
        <w:tc>
          <w:tcPr>
            <w:tcW w:w="1440" w:type="dxa"/>
          </w:tcPr>
          <w:p w:rsidR="00F324B6" w:rsidRDefault="00F324B6" w:rsidP="00B74733">
            <w:r>
              <w:t>Copay</w:t>
            </w:r>
          </w:p>
        </w:tc>
        <w:tc>
          <w:tcPr>
            <w:tcW w:w="1278" w:type="dxa"/>
          </w:tcPr>
          <w:p w:rsidR="00F324B6" w:rsidRDefault="00F324B6" w:rsidP="00B74733">
            <w:r>
              <w:t>Specialist</w:t>
            </w:r>
          </w:p>
        </w:tc>
      </w:tr>
    </w:tbl>
    <w:p w:rsidR="00B74733" w:rsidRDefault="00B74733" w:rsidP="00B74733">
      <w:pPr>
        <w:spacing w:after="0" w:line="240" w:lineRule="auto"/>
      </w:pPr>
    </w:p>
    <w:p w:rsidR="00B76ACE" w:rsidRDefault="00B76ACE" w:rsidP="00B76ACE">
      <w:pPr>
        <w:pStyle w:val="ListParagraph"/>
        <w:spacing w:after="0" w:line="240" w:lineRule="auto"/>
        <w:ind w:left="1440"/>
      </w:pPr>
    </w:p>
    <w:p w:rsidR="00B76ACE" w:rsidRDefault="00B76ACE" w:rsidP="00B76ACE">
      <w:pPr>
        <w:pStyle w:val="ListParagraph"/>
        <w:numPr>
          <w:ilvl w:val="0"/>
          <w:numId w:val="20"/>
        </w:numPr>
        <w:spacing w:after="0" w:line="240" w:lineRule="auto"/>
        <w:contextualSpacing w:val="0"/>
      </w:pPr>
      <w:r>
        <w:t xml:space="preserve">Update the Medical Document Design logic so that Cost Share Section, Copay </w:t>
      </w:r>
      <w:r w:rsidR="004741A1">
        <w:t xml:space="preserve">List Repeater </w:t>
      </w:r>
      <w:r>
        <w:t>values for PCP and Specialist are automatically displayed appropriately in the Benefit Review Grid for each service line that has “Office Visit Charge – PCP” and “Office Visit Charge – Specialist”.</w:t>
      </w:r>
    </w:p>
    <w:p w:rsidR="004741A1" w:rsidRDefault="004741A1" w:rsidP="004741A1">
      <w:pPr>
        <w:pStyle w:val="ListParagraph"/>
        <w:spacing w:after="0" w:line="240" w:lineRule="auto"/>
        <w:contextualSpacing w:val="0"/>
      </w:pPr>
    </w:p>
    <w:p w:rsidR="004741A1" w:rsidRDefault="004741A1" w:rsidP="004741A1">
      <w:pPr>
        <w:pStyle w:val="ListParagraph"/>
        <w:spacing w:after="0" w:line="240" w:lineRule="auto"/>
        <w:contextualSpacing w:val="0"/>
      </w:pPr>
      <w:r>
        <w:t>Example:</w:t>
      </w:r>
    </w:p>
    <w:p w:rsidR="004741A1" w:rsidRDefault="004741A1" w:rsidP="004741A1">
      <w:pPr>
        <w:pStyle w:val="ListParagraph"/>
        <w:numPr>
          <w:ilvl w:val="1"/>
          <w:numId w:val="20"/>
        </w:numPr>
        <w:spacing w:after="0" w:line="240" w:lineRule="auto"/>
        <w:contextualSpacing w:val="0"/>
      </w:pPr>
      <w:r>
        <w:t xml:space="preserve">In the Medical Document, Cost Share section, Copay List Repeater, the user has entered a PCP copay value of $20.00 and a Specialist copay value of $30.00. </w:t>
      </w:r>
    </w:p>
    <w:p w:rsidR="004741A1" w:rsidRDefault="004741A1" w:rsidP="004741A1">
      <w:pPr>
        <w:pStyle w:val="ListParagraph"/>
        <w:numPr>
          <w:ilvl w:val="1"/>
          <w:numId w:val="20"/>
        </w:numPr>
        <w:spacing w:after="0" w:line="240" w:lineRule="auto"/>
        <w:contextualSpacing w:val="0"/>
      </w:pPr>
      <w:r>
        <w:t>Therefore, in the Medical Document, Benefit Review Grid:</w:t>
      </w:r>
    </w:p>
    <w:p w:rsidR="004741A1" w:rsidRDefault="004741A1" w:rsidP="004741A1">
      <w:pPr>
        <w:pStyle w:val="ListParagraph"/>
        <w:numPr>
          <w:ilvl w:val="2"/>
          <w:numId w:val="20"/>
        </w:numPr>
        <w:spacing w:after="0" w:line="240" w:lineRule="auto"/>
        <w:contextualSpacing w:val="0"/>
      </w:pPr>
      <w:r>
        <w:t xml:space="preserve">All service with </w:t>
      </w:r>
      <w:bookmarkStart w:id="0" w:name="_GoBack"/>
      <w:bookmarkEnd w:id="0"/>
      <w:r>
        <w:t>“Office Visit Charge – PCP” should reflect $20.00 in the copay column</w:t>
      </w:r>
    </w:p>
    <w:p w:rsidR="004741A1" w:rsidRDefault="004741A1" w:rsidP="004741A1">
      <w:pPr>
        <w:pStyle w:val="ListParagraph"/>
        <w:numPr>
          <w:ilvl w:val="2"/>
          <w:numId w:val="20"/>
        </w:numPr>
        <w:spacing w:after="0" w:line="240" w:lineRule="auto"/>
        <w:contextualSpacing w:val="0"/>
      </w:pPr>
      <w:r>
        <w:t>All services with “Office Visit Charge – Specialist” should reflect $30.00 in the copay column</w:t>
      </w:r>
    </w:p>
    <w:p w:rsidR="004741A1" w:rsidRDefault="004741A1" w:rsidP="004741A1">
      <w:pPr>
        <w:spacing w:after="0" w:line="240" w:lineRule="auto"/>
      </w:pPr>
    </w:p>
    <w:p w:rsidR="004741A1" w:rsidRDefault="004741A1" w:rsidP="004741A1">
      <w:pPr>
        <w:spacing w:after="0" w:line="240" w:lineRule="auto"/>
      </w:pPr>
    </w:p>
    <w:p w:rsidR="004741A1" w:rsidRDefault="004741A1" w:rsidP="004741A1">
      <w:pPr>
        <w:spacing w:after="0" w:line="240" w:lineRule="auto"/>
      </w:pPr>
    </w:p>
    <w:p w:rsidR="004741A1" w:rsidRDefault="004741A1" w:rsidP="004741A1">
      <w:pPr>
        <w:pStyle w:val="ListParagraph"/>
        <w:spacing w:after="0" w:line="240" w:lineRule="auto"/>
        <w:contextualSpacing w:val="0"/>
      </w:pPr>
    </w:p>
    <w:sectPr w:rsidR="004741A1" w:rsidSect="007D4F7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F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023D00"/>
    <w:multiLevelType w:val="hybridMultilevel"/>
    <w:tmpl w:val="CDA82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45F4B"/>
    <w:multiLevelType w:val="hybridMultilevel"/>
    <w:tmpl w:val="0CF0B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D6058"/>
    <w:multiLevelType w:val="hybridMultilevel"/>
    <w:tmpl w:val="C75A79BA"/>
    <w:lvl w:ilvl="0" w:tplc="C6BEEA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747FA"/>
    <w:multiLevelType w:val="hybridMultilevel"/>
    <w:tmpl w:val="12BC0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431267"/>
    <w:multiLevelType w:val="hybridMultilevel"/>
    <w:tmpl w:val="44969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13922"/>
    <w:multiLevelType w:val="hybridMultilevel"/>
    <w:tmpl w:val="40009746"/>
    <w:lvl w:ilvl="0" w:tplc="32DC7DE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B3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D91506"/>
    <w:multiLevelType w:val="hybridMultilevel"/>
    <w:tmpl w:val="CDA82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A690C"/>
    <w:multiLevelType w:val="hybridMultilevel"/>
    <w:tmpl w:val="CDA82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363E4"/>
    <w:multiLevelType w:val="hybridMultilevel"/>
    <w:tmpl w:val="CDA82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A20CE"/>
    <w:multiLevelType w:val="hybridMultilevel"/>
    <w:tmpl w:val="0478DF14"/>
    <w:lvl w:ilvl="0" w:tplc="51B04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54356"/>
    <w:multiLevelType w:val="hybridMultilevel"/>
    <w:tmpl w:val="57B6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1A6FE9"/>
    <w:multiLevelType w:val="hybridMultilevel"/>
    <w:tmpl w:val="140A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753DA"/>
    <w:multiLevelType w:val="hybridMultilevel"/>
    <w:tmpl w:val="4D78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36A70"/>
    <w:multiLevelType w:val="hybridMultilevel"/>
    <w:tmpl w:val="AA2E183A"/>
    <w:lvl w:ilvl="0" w:tplc="51B04A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B97D2E"/>
    <w:multiLevelType w:val="multilevel"/>
    <w:tmpl w:val="85884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6B322E2D"/>
    <w:multiLevelType w:val="hybridMultilevel"/>
    <w:tmpl w:val="82D82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1C2F61"/>
    <w:multiLevelType w:val="hybridMultilevel"/>
    <w:tmpl w:val="AA2E183A"/>
    <w:lvl w:ilvl="0" w:tplc="51B04A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4F229E"/>
    <w:multiLevelType w:val="hybridMultilevel"/>
    <w:tmpl w:val="9F5C3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777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3"/>
  </w:num>
  <w:num w:numId="3">
    <w:abstractNumId w:val="19"/>
  </w:num>
  <w:num w:numId="4">
    <w:abstractNumId w:val="1"/>
  </w:num>
  <w:num w:numId="5">
    <w:abstractNumId w:val="9"/>
  </w:num>
  <w:num w:numId="6">
    <w:abstractNumId w:val="10"/>
  </w:num>
  <w:num w:numId="7">
    <w:abstractNumId w:val="8"/>
  </w:num>
  <w:num w:numId="8">
    <w:abstractNumId w:val="16"/>
  </w:num>
  <w:num w:numId="9">
    <w:abstractNumId w:val="7"/>
  </w:num>
  <w:num w:numId="10">
    <w:abstractNumId w:val="0"/>
  </w:num>
  <w:num w:numId="11">
    <w:abstractNumId w:val="17"/>
  </w:num>
  <w:num w:numId="12">
    <w:abstractNumId w:val="4"/>
  </w:num>
  <w:num w:numId="13">
    <w:abstractNumId w:val="14"/>
  </w:num>
  <w:num w:numId="14">
    <w:abstractNumId w:val="3"/>
  </w:num>
  <w:num w:numId="15">
    <w:abstractNumId w:val="15"/>
  </w:num>
  <w:num w:numId="16">
    <w:abstractNumId w:val="5"/>
  </w:num>
  <w:num w:numId="17">
    <w:abstractNumId w:val="18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1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1dcfc0b6-70ee-4d2e-993b-29e2551ced5a"/>
  </w:docVars>
  <w:rsids>
    <w:rsidRoot w:val="00053DC5"/>
    <w:rsid w:val="00000D41"/>
    <w:rsid w:val="000051F9"/>
    <w:rsid w:val="000309B4"/>
    <w:rsid w:val="000356E0"/>
    <w:rsid w:val="000475BF"/>
    <w:rsid w:val="00053DC5"/>
    <w:rsid w:val="000569C6"/>
    <w:rsid w:val="00077544"/>
    <w:rsid w:val="00087ABE"/>
    <w:rsid w:val="00091560"/>
    <w:rsid w:val="00095F46"/>
    <w:rsid w:val="000C388D"/>
    <w:rsid w:val="000F02E1"/>
    <w:rsid w:val="00104C62"/>
    <w:rsid w:val="0010702D"/>
    <w:rsid w:val="00133A14"/>
    <w:rsid w:val="0013614D"/>
    <w:rsid w:val="00146793"/>
    <w:rsid w:val="0019399C"/>
    <w:rsid w:val="001A4B2E"/>
    <w:rsid w:val="001B0EA4"/>
    <w:rsid w:val="001E5DE9"/>
    <w:rsid w:val="001F07C5"/>
    <w:rsid w:val="001F3FB7"/>
    <w:rsid w:val="001F5E98"/>
    <w:rsid w:val="0021287C"/>
    <w:rsid w:val="002269AF"/>
    <w:rsid w:val="00232BFF"/>
    <w:rsid w:val="00233795"/>
    <w:rsid w:val="00234ABA"/>
    <w:rsid w:val="00236966"/>
    <w:rsid w:val="00297E8D"/>
    <w:rsid w:val="002A7EAC"/>
    <w:rsid w:val="002B4095"/>
    <w:rsid w:val="002B7EF6"/>
    <w:rsid w:val="002F6898"/>
    <w:rsid w:val="003100DC"/>
    <w:rsid w:val="003151CE"/>
    <w:rsid w:val="00315664"/>
    <w:rsid w:val="0033243A"/>
    <w:rsid w:val="0034192D"/>
    <w:rsid w:val="003459D8"/>
    <w:rsid w:val="00375685"/>
    <w:rsid w:val="00377547"/>
    <w:rsid w:val="003802CC"/>
    <w:rsid w:val="00396E0B"/>
    <w:rsid w:val="003A025E"/>
    <w:rsid w:val="003B435B"/>
    <w:rsid w:val="003D466F"/>
    <w:rsid w:val="004028D4"/>
    <w:rsid w:val="00404919"/>
    <w:rsid w:val="00404929"/>
    <w:rsid w:val="004074CF"/>
    <w:rsid w:val="004121BB"/>
    <w:rsid w:val="0041506C"/>
    <w:rsid w:val="0043559B"/>
    <w:rsid w:val="0044799F"/>
    <w:rsid w:val="00471838"/>
    <w:rsid w:val="004741A1"/>
    <w:rsid w:val="00486E03"/>
    <w:rsid w:val="004A5954"/>
    <w:rsid w:val="004B2DB6"/>
    <w:rsid w:val="004E17BC"/>
    <w:rsid w:val="004F3F7F"/>
    <w:rsid w:val="005264DB"/>
    <w:rsid w:val="00534525"/>
    <w:rsid w:val="00537191"/>
    <w:rsid w:val="00542262"/>
    <w:rsid w:val="00551208"/>
    <w:rsid w:val="005542B8"/>
    <w:rsid w:val="00561EB3"/>
    <w:rsid w:val="00566B74"/>
    <w:rsid w:val="00571F43"/>
    <w:rsid w:val="00594A87"/>
    <w:rsid w:val="005D7850"/>
    <w:rsid w:val="005F0A2F"/>
    <w:rsid w:val="005F486B"/>
    <w:rsid w:val="005F7C9A"/>
    <w:rsid w:val="00607311"/>
    <w:rsid w:val="00613A33"/>
    <w:rsid w:val="00627C5E"/>
    <w:rsid w:val="00643768"/>
    <w:rsid w:val="006461FF"/>
    <w:rsid w:val="006739CB"/>
    <w:rsid w:val="006744E4"/>
    <w:rsid w:val="00676D2D"/>
    <w:rsid w:val="0068377D"/>
    <w:rsid w:val="006874EE"/>
    <w:rsid w:val="006B2052"/>
    <w:rsid w:val="006B40F6"/>
    <w:rsid w:val="006C092B"/>
    <w:rsid w:val="006D5F04"/>
    <w:rsid w:val="006F3471"/>
    <w:rsid w:val="007006B6"/>
    <w:rsid w:val="0070268F"/>
    <w:rsid w:val="00711CC9"/>
    <w:rsid w:val="007273ED"/>
    <w:rsid w:val="00727CAE"/>
    <w:rsid w:val="00731FC5"/>
    <w:rsid w:val="00753F70"/>
    <w:rsid w:val="007919F9"/>
    <w:rsid w:val="00794130"/>
    <w:rsid w:val="007D4F7A"/>
    <w:rsid w:val="007E6B98"/>
    <w:rsid w:val="007F0B65"/>
    <w:rsid w:val="007F507F"/>
    <w:rsid w:val="00817CC5"/>
    <w:rsid w:val="00827700"/>
    <w:rsid w:val="00830ADC"/>
    <w:rsid w:val="00842E82"/>
    <w:rsid w:val="008D54ED"/>
    <w:rsid w:val="008E2F27"/>
    <w:rsid w:val="008F0031"/>
    <w:rsid w:val="009E5F86"/>
    <w:rsid w:val="00A06902"/>
    <w:rsid w:val="00A16592"/>
    <w:rsid w:val="00A20A9D"/>
    <w:rsid w:val="00A56A74"/>
    <w:rsid w:val="00A60FF2"/>
    <w:rsid w:val="00A63C64"/>
    <w:rsid w:val="00A74ECE"/>
    <w:rsid w:val="00A77C8D"/>
    <w:rsid w:val="00AB47DD"/>
    <w:rsid w:val="00AC6D70"/>
    <w:rsid w:val="00AD252C"/>
    <w:rsid w:val="00B00D35"/>
    <w:rsid w:val="00B04294"/>
    <w:rsid w:val="00B360EB"/>
    <w:rsid w:val="00B37320"/>
    <w:rsid w:val="00B47D06"/>
    <w:rsid w:val="00B60F7A"/>
    <w:rsid w:val="00B74733"/>
    <w:rsid w:val="00B755CB"/>
    <w:rsid w:val="00B76ACE"/>
    <w:rsid w:val="00B77B51"/>
    <w:rsid w:val="00BA7EAB"/>
    <w:rsid w:val="00BB4B62"/>
    <w:rsid w:val="00BD04B4"/>
    <w:rsid w:val="00BE0381"/>
    <w:rsid w:val="00BE2314"/>
    <w:rsid w:val="00C20070"/>
    <w:rsid w:val="00C46301"/>
    <w:rsid w:val="00C53703"/>
    <w:rsid w:val="00C54449"/>
    <w:rsid w:val="00C574D7"/>
    <w:rsid w:val="00C75EAF"/>
    <w:rsid w:val="00C83FE3"/>
    <w:rsid w:val="00C90A68"/>
    <w:rsid w:val="00CC65CF"/>
    <w:rsid w:val="00CC6D96"/>
    <w:rsid w:val="00CD7D02"/>
    <w:rsid w:val="00CF6848"/>
    <w:rsid w:val="00D3148A"/>
    <w:rsid w:val="00D43546"/>
    <w:rsid w:val="00D62083"/>
    <w:rsid w:val="00D73593"/>
    <w:rsid w:val="00D80A64"/>
    <w:rsid w:val="00D83C7C"/>
    <w:rsid w:val="00DE21A8"/>
    <w:rsid w:val="00DF7491"/>
    <w:rsid w:val="00E11BC9"/>
    <w:rsid w:val="00E35940"/>
    <w:rsid w:val="00E47912"/>
    <w:rsid w:val="00E5560F"/>
    <w:rsid w:val="00E62372"/>
    <w:rsid w:val="00E63739"/>
    <w:rsid w:val="00E93917"/>
    <w:rsid w:val="00E94378"/>
    <w:rsid w:val="00EA5B8E"/>
    <w:rsid w:val="00EC694A"/>
    <w:rsid w:val="00ED2356"/>
    <w:rsid w:val="00ED7467"/>
    <w:rsid w:val="00EE0BC9"/>
    <w:rsid w:val="00F324B6"/>
    <w:rsid w:val="00F356EB"/>
    <w:rsid w:val="00F521C4"/>
    <w:rsid w:val="00F5498A"/>
    <w:rsid w:val="00FB0B12"/>
    <w:rsid w:val="00FC4925"/>
    <w:rsid w:val="00FC542A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5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C5"/>
    <w:rPr>
      <w:rFonts w:ascii="Tahoma" w:hAnsi="Tahoma" w:cs="Tahoma"/>
      <w:sz w:val="16"/>
      <w:szCs w:val="16"/>
    </w:rPr>
  </w:style>
  <w:style w:type="paragraph" w:customStyle="1" w:styleId="TMGTitle">
    <w:name w:val="TMG Title"/>
    <w:basedOn w:val="Normal"/>
    <w:link w:val="TMGTitleChar"/>
    <w:qFormat/>
    <w:rsid w:val="00053DC5"/>
    <w:pPr>
      <w:spacing w:before="120" w:after="0" w:line="240" w:lineRule="auto"/>
    </w:pPr>
    <w:rPr>
      <w:b/>
      <w:noProof/>
      <w:color w:val="B20838"/>
      <w:sz w:val="48"/>
      <w:szCs w:val="48"/>
    </w:rPr>
  </w:style>
  <w:style w:type="paragraph" w:styleId="NoSpacing">
    <w:name w:val="No Spacing"/>
    <w:uiPriority w:val="1"/>
    <w:qFormat/>
    <w:rsid w:val="006B2052"/>
    <w:pPr>
      <w:spacing w:after="0" w:line="240" w:lineRule="auto"/>
    </w:pPr>
  </w:style>
  <w:style w:type="character" w:customStyle="1" w:styleId="TMGTitleChar">
    <w:name w:val="TMG Title Char"/>
    <w:basedOn w:val="DefaultParagraphFont"/>
    <w:link w:val="TMGTitle"/>
    <w:rsid w:val="00053DC5"/>
    <w:rPr>
      <w:b/>
      <w:noProof/>
      <w:color w:val="B20838"/>
      <w:sz w:val="48"/>
      <w:szCs w:val="48"/>
    </w:rPr>
  </w:style>
  <w:style w:type="paragraph" w:customStyle="1" w:styleId="TMGHeading1">
    <w:name w:val="TMG Heading 1"/>
    <w:basedOn w:val="Normal"/>
    <w:link w:val="TMGHeading1Char"/>
    <w:qFormat/>
    <w:rsid w:val="006B2052"/>
    <w:rPr>
      <w:b/>
      <w:color w:val="B20838"/>
      <w:sz w:val="32"/>
      <w:szCs w:val="32"/>
    </w:rPr>
  </w:style>
  <w:style w:type="paragraph" w:customStyle="1" w:styleId="TMGHeading2">
    <w:name w:val="TMG Heading 2"/>
    <w:basedOn w:val="Normal"/>
    <w:link w:val="TMGHeading2Char"/>
    <w:qFormat/>
    <w:rsid w:val="00236966"/>
    <w:rPr>
      <w:b/>
      <w:smallCaps/>
      <w:sz w:val="24"/>
      <w:szCs w:val="24"/>
    </w:rPr>
  </w:style>
  <w:style w:type="character" w:customStyle="1" w:styleId="TMGHeading1Char">
    <w:name w:val="TMG Heading 1 Char"/>
    <w:basedOn w:val="DefaultParagraphFont"/>
    <w:link w:val="TMGHeading1"/>
    <w:rsid w:val="006B2052"/>
    <w:rPr>
      <w:b/>
      <w:color w:val="B20838"/>
      <w:sz w:val="32"/>
      <w:szCs w:val="32"/>
    </w:rPr>
  </w:style>
  <w:style w:type="paragraph" w:styleId="NormalWeb">
    <w:name w:val="Normal (Web)"/>
    <w:basedOn w:val="Normal"/>
    <w:uiPriority w:val="99"/>
    <w:unhideWhenUsed/>
    <w:rsid w:val="006B2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MGHeading2Char">
    <w:name w:val="TMG Heading 2 Char"/>
    <w:basedOn w:val="DefaultParagraphFont"/>
    <w:link w:val="TMGHeading2"/>
    <w:rsid w:val="00236966"/>
    <w:rPr>
      <w:b/>
      <w:smallCaps/>
      <w:sz w:val="24"/>
      <w:szCs w:val="24"/>
    </w:rPr>
  </w:style>
  <w:style w:type="paragraph" w:styleId="ListParagraph">
    <w:name w:val="List Paragraph"/>
    <w:basedOn w:val="Normal"/>
    <w:uiPriority w:val="34"/>
    <w:qFormat/>
    <w:rsid w:val="006B2052"/>
    <w:pPr>
      <w:ind w:left="720"/>
      <w:contextualSpacing/>
    </w:pPr>
  </w:style>
  <w:style w:type="table" w:styleId="TableGrid">
    <w:name w:val="Table Grid"/>
    <w:basedOn w:val="TableNormal"/>
    <w:uiPriority w:val="59"/>
    <w:rsid w:val="006B2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MGHeading3">
    <w:name w:val="TMG Heading 3"/>
    <w:basedOn w:val="Normal"/>
    <w:link w:val="TMGHeading3Char"/>
    <w:qFormat/>
    <w:rsid w:val="00236966"/>
    <w:rPr>
      <w:b/>
      <w:color w:val="262626" w:themeColor="text1" w:themeTint="D9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6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MGHeading3Char">
    <w:name w:val="TMG Heading 3 Char"/>
    <w:basedOn w:val="DefaultParagraphFont"/>
    <w:link w:val="TMGHeading3"/>
    <w:rsid w:val="00236966"/>
    <w:rPr>
      <w:b/>
      <w:color w:val="262626" w:themeColor="text1" w:themeTint="D9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5CF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5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5F7C9A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F7C9A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F7C9A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F7C9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F7C9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F7C9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F7C9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F7C9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F7C9A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7C9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5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9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94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5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C5"/>
    <w:rPr>
      <w:rFonts w:ascii="Tahoma" w:hAnsi="Tahoma" w:cs="Tahoma"/>
      <w:sz w:val="16"/>
      <w:szCs w:val="16"/>
    </w:rPr>
  </w:style>
  <w:style w:type="paragraph" w:customStyle="1" w:styleId="TMGTitle">
    <w:name w:val="TMG Title"/>
    <w:basedOn w:val="Normal"/>
    <w:link w:val="TMGTitleChar"/>
    <w:qFormat/>
    <w:rsid w:val="00053DC5"/>
    <w:pPr>
      <w:spacing w:before="120" w:after="0" w:line="240" w:lineRule="auto"/>
    </w:pPr>
    <w:rPr>
      <w:b/>
      <w:noProof/>
      <w:color w:val="B20838"/>
      <w:sz w:val="48"/>
      <w:szCs w:val="48"/>
    </w:rPr>
  </w:style>
  <w:style w:type="paragraph" w:styleId="NoSpacing">
    <w:name w:val="No Spacing"/>
    <w:uiPriority w:val="1"/>
    <w:qFormat/>
    <w:rsid w:val="006B2052"/>
    <w:pPr>
      <w:spacing w:after="0" w:line="240" w:lineRule="auto"/>
    </w:pPr>
  </w:style>
  <w:style w:type="character" w:customStyle="1" w:styleId="TMGTitleChar">
    <w:name w:val="TMG Title Char"/>
    <w:basedOn w:val="DefaultParagraphFont"/>
    <w:link w:val="TMGTitle"/>
    <w:rsid w:val="00053DC5"/>
    <w:rPr>
      <w:b/>
      <w:noProof/>
      <w:color w:val="B20838"/>
      <w:sz w:val="48"/>
      <w:szCs w:val="48"/>
    </w:rPr>
  </w:style>
  <w:style w:type="paragraph" w:customStyle="1" w:styleId="TMGHeading1">
    <w:name w:val="TMG Heading 1"/>
    <w:basedOn w:val="Normal"/>
    <w:link w:val="TMGHeading1Char"/>
    <w:qFormat/>
    <w:rsid w:val="006B2052"/>
    <w:rPr>
      <w:b/>
      <w:color w:val="B20838"/>
      <w:sz w:val="32"/>
      <w:szCs w:val="32"/>
    </w:rPr>
  </w:style>
  <w:style w:type="paragraph" w:customStyle="1" w:styleId="TMGHeading2">
    <w:name w:val="TMG Heading 2"/>
    <w:basedOn w:val="Normal"/>
    <w:link w:val="TMGHeading2Char"/>
    <w:qFormat/>
    <w:rsid w:val="00236966"/>
    <w:rPr>
      <w:b/>
      <w:smallCaps/>
      <w:sz w:val="24"/>
      <w:szCs w:val="24"/>
    </w:rPr>
  </w:style>
  <w:style w:type="character" w:customStyle="1" w:styleId="TMGHeading1Char">
    <w:name w:val="TMG Heading 1 Char"/>
    <w:basedOn w:val="DefaultParagraphFont"/>
    <w:link w:val="TMGHeading1"/>
    <w:rsid w:val="006B2052"/>
    <w:rPr>
      <w:b/>
      <w:color w:val="B20838"/>
      <w:sz w:val="32"/>
      <w:szCs w:val="32"/>
    </w:rPr>
  </w:style>
  <w:style w:type="paragraph" w:styleId="NormalWeb">
    <w:name w:val="Normal (Web)"/>
    <w:basedOn w:val="Normal"/>
    <w:uiPriority w:val="99"/>
    <w:unhideWhenUsed/>
    <w:rsid w:val="006B2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MGHeading2Char">
    <w:name w:val="TMG Heading 2 Char"/>
    <w:basedOn w:val="DefaultParagraphFont"/>
    <w:link w:val="TMGHeading2"/>
    <w:rsid w:val="00236966"/>
    <w:rPr>
      <w:b/>
      <w:smallCaps/>
      <w:sz w:val="24"/>
      <w:szCs w:val="24"/>
    </w:rPr>
  </w:style>
  <w:style w:type="paragraph" w:styleId="ListParagraph">
    <w:name w:val="List Paragraph"/>
    <w:basedOn w:val="Normal"/>
    <w:uiPriority w:val="34"/>
    <w:qFormat/>
    <w:rsid w:val="006B2052"/>
    <w:pPr>
      <w:ind w:left="720"/>
      <w:contextualSpacing/>
    </w:pPr>
  </w:style>
  <w:style w:type="table" w:styleId="TableGrid">
    <w:name w:val="Table Grid"/>
    <w:basedOn w:val="TableNormal"/>
    <w:uiPriority w:val="59"/>
    <w:rsid w:val="006B2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MGHeading3">
    <w:name w:val="TMG Heading 3"/>
    <w:basedOn w:val="Normal"/>
    <w:link w:val="TMGHeading3Char"/>
    <w:qFormat/>
    <w:rsid w:val="00236966"/>
    <w:rPr>
      <w:b/>
      <w:color w:val="262626" w:themeColor="text1" w:themeTint="D9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6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MGHeading3Char">
    <w:name w:val="TMG Heading 3 Char"/>
    <w:basedOn w:val="DefaultParagraphFont"/>
    <w:link w:val="TMGHeading3"/>
    <w:rsid w:val="00236966"/>
    <w:rPr>
      <w:b/>
      <w:color w:val="262626" w:themeColor="text1" w:themeTint="D9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5CF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5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5F7C9A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F7C9A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F7C9A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F7C9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F7C9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F7C9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F7C9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F7C9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F7C9A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7C9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5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9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9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28829-2397-4180-A30C-3EA4A667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TMG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Decker</dc:creator>
  <cp:lastModifiedBy>Mandy Reimann</cp:lastModifiedBy>
  <cp:revision>7</cp:revision>
  <dcterms:created xsi:type="dcterms:W3CDTF">2016-04-04T14:57:00Z</dcterms:created>
  <dcterms:modified xsi:type="dcterms:W3CDTF">2016-04-04T15:31:00Z</dcterms:modified>
</cp:coreProperties>
</file>