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DTC Fitness Supplements</w:t>
      </w:r>
    </w:p>
    <w:p>
      <w:pPr>
        <w:pStyle w:val="Heading1"/>
      </w:pPr>
      <w:r>
        <w:rPr>
          <w:color w:val="6C63FF"/>
        </w:rPr>
        <w:t>Marketing Performance: Executive Summary &amp; Strategic Recommendations</w:t>
      </w:r>
    </w:p>
    <w:p>
      <w:r>
        <w:rPr>
          <w:b w:val="0"/>
          <w:i/>
        </w:rPr>
        <w:t>Period: January – March 2024  |  Prepared by: Data Analytics Team</w:t>
      </w:r>
    </w:p>
    <w:p/>
    <w:p>
      <w:pPr>
        <w:pStyle w:val="Heading1"/>
      </w:pPr>
      <w:r>
        <w:rPr>
          <w:color w:val="6C63FF"/>
        </w:rPr>
        <w:t>1. Key Insights from Analysis</w:t>
      </w:r>
    </w:p>
    <w:p>
      <w:r>
        <w:rPr>
          <w:b/>
        </w:rPr>
        <w:t xml:space="preserve">• Critical ROAS Gap: </w:t>
      </w:r>
      <w:r>
        <w:t>Overall ROAS of 0.86 is 28% below the 1.2 target and 39% below the 1.4 industry benchmark. Every $1 spent generates only $0.86 in revenue.</w:t>
      </w:r>
    </w:p>
    <w:p>
      <w:r>
        <w:rPr>
          <w:b/>
        </w:rPr>
        <w:t xml:space="preserve">• Platform Performance Divergence: </w:t>
      </w:r>
      <w:r>
        <w:t>Google leads with the highest ROAS while Fb consistently underperforms. Spend is not optimally allocated to mirror these returns.</w:t>
      </w:r>
    </w:p>
    <w:p>
      <w:r>
        <w:rPr>
          <w:b/>
        </w:rPr>
        <w:t xml:space="preserve">• Regional Opportunity: </w:t>
      </w:r>
      <w:r>
        <w:t>Northeast shows the strongest regional ROAS. Budget currently distributed roughly evenly across regions despite significant performance differences.</w:t>
      </w:r>
    </w:p>
    <w:p>
      <w:r>
        <w:rPr>
          <w:b/>
        </w:rPr>
        <w:t xml:space="preserve">• Creative Type Signal: </w:t>
      </w:r>
      <w:r>
        <w:t>Search creative achieves the highest ROAS. Video completion rate shows a positive correlation with CVR — high-completion videos are strong conversion drivers.</w:t>
      </w:r>
    </w:p>
    <w:p>
      <w:r>
        <w:rPr>
          <w:b/>
        </w:rPr>
        <w:t xml:space="preserve">• Competitive Event Impact: </w:t>
      </w:r>
      <w:r>
        <w:t>CPM increases during competitive periods while CVR declines, suggesting the brand loses bidding efficiency during peak competitor activity. Bidding strategy should be adjusted.</w:t>
      </w:r>
    </w:p>
    <w:p>
      <w:pPr>
        <w:pStyle w:val="Heading1"/>
      </w:pPr>
      <w:r>
        <w:rPr>
          <w:color w:val="6C63FF"/>
        </w:rPr>
        <w:t>2. Immediate Optimization Opportunities</w:t>
      </w:r>
    </w:p>
    <w:p>
      <w:pPr>
        <w:pStyle w:val="Heading2"/>
      </w:pPr>
      <w:r>
        <w:t>2a. 30% Spend Reduction Framework</w:t>
      </w:r>
    </w:p>
    <w:p>
      <w:r>
        <w:rPr>
          <w:b w:val="0"/>
          <w:i w:val="0"/>
        </w:rPr>
        <w:t>Target cut: $1,401,627 from lowest-performing campaign segments.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Creative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Spend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Fb</w:t>
            </w:r>
          </w:p>
        </w:tc>
        <w:tc>
          <w:tcPr>
            <w:tcW w:type="dxa" w:w="1728"/>
          </w:tcPr>
          <w:p>
            <w:r>
              <w:t>Midwest</w:t>
            </w:r>
          </w:p>
        </w:tc>
        <w:tc>
          <w:tcPr>
            <w:tcW w:type="dxa" w:w="1728"/>
          </w:tcPr>
          <w:p>
            <w:r>
              <w:t>Image</w:t>
            </w:r>
          </w:p>
        </w:tc>
        <w:tc>
          <w:tcPr>
            <w:tcW w:type="dxa" w:w="1728"/>
          </w:tcPr>
          <w:p>
            <w:r>
              <w:t>0.44</w:t>
            </w:r>
          </w:p>
        </w:tc>
        <w:tc>
          <w:tcPr>
            <w:tcW w:type="dxa" w:w="1728"/>
          </w:tcPr>
          <w:p>
            <w:r>
              <w:t>$72,578</w:t>
            </w:r>
          </w:p>
        </w:tc>
      </w:tr>
      <w:tr>
        <w:tc>
          <w:tcPr>
            <w:tcW w:type="dxa" w:w="1728"/>
          </w:tcPr>
          <w:p>
            <w:r>
              <w:t>Google</w:t>
            </w:r>
          </w:p>
        </w:tc>
        <w:tc>
          <w:tcPr>
            <w:tcW w:type="dxa" w:w="1728"/>
          </w:tcPr>
          <w:p>
            <w:r>
              <w:t>Midwest</w:t>
            </w:r>
          </w:p>
        </w:tc>
        <w:tc>
          <w:tcPr>
            <w:tcW w:type="dxa" w:w="1728"/>
          </w:tcPr>
          <w:p>
            <w:r>
              <w:t>Display</w:t>
            </w:r>
          </w:p>
        </w:tc>
        <w:tc>
          <w:tcPr>
            <w:tcW w:type="dxa" w:w="1728"/>
          </w:tcPr>
          <w:p>
            <w:r>
              <w:t>0.47</w:t>
            </w:r>
          </w:p>
        </w:tc>
        <w:tc>
          <w:tcPr>
            <w:tcW w:type="dxa" w:w="1728"/>
          </w:tcPr>
          <w:p>
            <w:r>
              <w:t>$126,799</w:t>
            </w:r>
          </w:p>
        </w:tc>
      </w:tr>
      <w:tr>
        <w:tc>
          <w:tcPr>
            <w:tcW w:type="dxa" w:w="1728"/>
          </w:tcPr>
          <w:p>
            <w:r>
              <w:t>Fb</w:t>
            </w:r>
          </w:p>
        </w:tc>
        <w:tc>
          <w:tcPr>
            <w:tcW w:type="dxa" w:w="1728"/>
          </w:tcPr>
          <w:p>
            <w:r>
              <w:t>Northeast</w:t>
            </w:r>
          </w:p>
        </w:tc>
        <w:tc>
          <w:tcPr>
            <w:tcW w:type="dxa" w:w="1728"/>
          </w:tcPr>
          <w:p>
            <w:r>
              <w:t>Image</w:t>
            </w:r>
          </w:p>
        </w:tc>
        <w:tc>
          <w:tcPr>
            <w:tcW w:type="dxa" w:w="1728"/>
          </w:tcPr>
          <w:p>
            <w:r>
              <w:t>0.59</w:t>
            </w:r>
          </w:p>
        </w:tc>
        <w:tc>
          <w:tcPr>
            <w:tcW w:type="dxa" w:w="1728"/>
          </w:tcPr>
          <w:p>
            <w:r>
              <w:t>$89,678</w:t>
            </w:r>
          </w:p>
        </w:tc>
      </w:tr>
      <w:tr>
        <w:tc>
          <w:tcPr>
            <w:tcW w:type="dxa" w:w="1728"/>
          </w:tcPr>
          <w:p>
            <w:r>
              <w:t>Fb</w:t>
            </w:r>
          </w:p>
        </w:tc>
        <w:tc>
          <w:tcPr>
            <w:tcW w:type="dxa" w:w="1728"/>
          </w:tcPr>
          <w:p>
            <w:r>
              <w:t>West</w:t>
            </w:r>
          </w:p>
        </w:tc>
        <w:tc>
          <w:tcPr>
            <w:tcW w:type="dxa" w:w="1728"/>
          </w:tcPr>
          <w:p>
            <w:r>
              <w:t>Carousel</w:t>
            </w:r>
          </w:p>
        </w:tc>
        <w:tc>
          <w:tcPr>
            <w:tcW w:type="dxa" w:w="1728"/>
          </w:tcPr>
          <w:p>
            <w:r>
              <w:t>0.61</w:t>
            </w:r>
          </w:p>
        </w:tc>
        <w:tc>
          <w:tcPr>
            <w:tcW w:type="dxa" w:w="1728"/>
          </w:tcPr>
          <w:p>
            <w:r>
              <w:t>$200,055</w:t>
            </w:r>
          </w:p>
        </w:tc>
      </w:tr>
      <w:tr>
        <w:tc>
          <w:tcPr>
            <w:tcW w:type="dxa" w:w="1728"/>
          </w:tcPr>
          <w:p>
            <w:r>
              <w:t>Google</w:t>
            </w:r>
          </w:p>
        </w:tc>
        <w:tc>
          <w:tcPr>
            <w:tcW w:type="dxa" w:w="1728"/>
          </w:tcPr>
          <w:p>
            <w:r>
              <w:t>Northeast</w:t>
            </w:r>
          </w:p>
        </w:tc>
        <w:tc>
          <w:tcPr>
            <w:tcW w:type="dxa" w:w="1728"/>
          </w:tcPr>
          <w:p>
            <w:r>
              <w:t>Display</w:t>
            </w:r>
          </w:p>
        </w:tc>
        <w:tc>
          <w:tcPr>
            <w:tcW w:type="dxa" w:w="1728"/>
          </w:tcPr>
          <w:p>
            <w:r>
              <w:t>0.63</w:t>
            </w:r>
          </w:p>
        </w:tc>
        <w:tc>
          <w:tcPr>
            <w:tcW w:type="dxa" w:w="1728"/>
          </w:tcPr>
          <w:p>
            <w:r>
              <w:t>$82,494</w:t>
            </w:r>
          </w:p>
        </w:tc>
      </w:tr>
      <w:tr>
        <w:tc>
          <w:tcPr>
            <w:tcW w:type="dxa" w:w="1728"/>
          </w:tcPr>
          <w:p>
            <w:r>
              <w:t>Fb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Image</w:t>
            </w:r>
          </w:p>
        </w:tc>
        <w:tc>
          <w:tcPr>
            <w:tcW w:type="dxa" w:w="1728"/>
          </w:tcPr>
          <w:p>
            <w:r>
              <w:t>0.65</w:t>
            </w:r>
          </w:p>
        </w:tc>
        <w:tc>
          <w:tcPr>
            <w:tcW w:type="dxa" w:w="1728"/>
          </w:tcPr>
          <w:p>
            <w:r>
              <w:t>$102,916</w:t>
            </w:r>
          </w:p>
        </w:tc>
      </w:tr>
      <w:tr>
        <w:tc>
          <w:tcPr>
            <w:tcW w:type="dxa" w:w="1728"/>
          </w:tcPr>
          <w:p>
            <w:r>
              <w:t>Google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Display</w:t>
            </w:r>
          </w:p>
        </w:tc>
        <w:tc>
          <w:tcPr>
            <w:tcW w:type="dxa" w:w="1728"/>
          </w:tcPr>
          <w:p>
            <w:r>
              <w:t>0.68</w:t>
            </w:r>
          </w:p>
        </w:tc>
        <w:tc>
          <w:tcPr>
            <w:tcW w:type="dxa" w:w="1728"/>
          </w:tcPr>
          <w:p>
            <w:r>
              <w:t>$200,916</w:t>
            </w:r>
          </w:p>
        </w:tc>
      </w:tr>
      <w:tr>
        <w:tc>
          <w:tcPr>
            <w:tcW w:type="dxa" w:w="1728"/>
          </w:tcPr>
          <w:p>
            <w:r>
              <w:t>Fb</w:t>
            </w:r>
          </w:p>
        </w:tc>
        <w:tc>
          <w:tcPr>
            <w:tcW w:type="dxa" w:w="1728"/>
          </w:tcPr>
          <w:p>
            <w:r>
              <w:t>Midwest</w:t>
            </w:r>
          </w:p>
        </w:tc>
        <w:tc>
          <w:tcPr>
            <w:tcW w:type="dxa" w:w="1728"/>
          </w:tcPr>
          <w:p>
            <w:r>
              <w:t>Carousel</w:t>
            </w:r>
          </w:p>
        </w:tc>
        <w:tc>
          <w:tcPr>
            <w:tcW w:type="dxa" w:w="1728"/>
          </w:tcPr>
          <w:p>
            <w:r>
              <w:t>0.72</w:t>
            </w:r>
          </w:p>
        </w:tc>
        <w:tc>
          <w:tcPr>
            <w:tcW w:type="dxa" w:w="1728"/>
          </w:tcPr>
          <w:p>
            <w:r>
              <w:t>$147,528</w:t>
            </w:r>
          </w:p>
        </w:tc>
      </w:tr>
      <w:tr>
        <w:tc>
          <w:tcPr>
            <w:tcW w:type="dxa" w:w="1728"/>
          </w:tcPr>
          <w:p>
            <w:r>
              <w:t>Fb</w:t>
            </w:r>
          </w:p>
        </w:tc>
        <w:tc>
          <w:tcPr>
            <w:tcW w:type="dxa" w:w="1728"/>
          </w:tcPr>
          <w:p>
            <w:r>
              <w:t>West</w:t>
            </w:r>
          </w:p>
        </w:tc>
        <w:tc>
          <w:tcPr>
            <w:tcW w:type="dxa" w:w="1728"/>
          </w:tcPr>
          <w:p>
            <w:r>
              <w:t>Image</w:t>
            </w:r>
          </w:p>
        </w:tc>
        <w:tc>
          <w:tcPr>
            <w:tcW w:type="dxa" w:w="1728"/>
          </w:tcPr>
          <w:p>
            <w:r>
              <w:t>0.76</w:t>
            </w:r>
          </w:p>
        </w:tc>
        <w:tc>
          <w:tcPr>
            <w:tcW w:type="dxa" w:w="1728"/>
          </w:tcPr>
          <w:p>
            <w:r>
              <w:t>$119,557</w:t>
            </w:r>
          </w:p>
        </w:tc>
      </w:tr>
      <w:tr>
        <w:tc>
          <w:tcPr>
            <w:tcW w:type="dxa" w:w="1728"/>
          </w:tcPr>
          <w:p>
            <w:r>
              <w:t>Fb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Carousel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$150,358</w:t>
            </w:r>
          </w:p>
        </w:tc>
      </w:tr>
    </w:tbl>
    <w:p/>
    <w:p>
      <w:r>
        <w:rPr>
          <w:b w:val="0"/>
          <w:i/>
        </w:rPr>
        <w:t>These segments should be paused or eliminated immediately. Budget freed should be reallocated to top-performing segments identified below.</w:t>
      </w:r>
    </w:p>
    <w:p>
      <w:pPr>
        <w:pStyle w:val="Heading2"/>
      </w:pPr>
      <w:r>
        <w:t>2b. Scale-Up Targets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Creative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Current Spend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Google</w:t>
            </w:r>
          </w:p>
        </w:tc>
        <w:tc>
          <w:tcPr>
            <w:tcW w:type="dxa" w:w="1728"/>
          </w:tcPr>
          <w:p>
            <w:r>
              <w:t>Northeast</w:t>
            </w:r>
          </w:p>
        </w:tc>
        <w:tc>
          <w:tcPr>
            <w:tcW w:type="dxa" w:w="1728"/>
          </w:tcPr>
          <w:p>
            <w:r>
              <w:t>Search</w:t>
            </w:r>
          </w:p>
        </w:tc>
        <w:tc>
          <w:tcPr>
            <w:tcW w:type="dxa" w:w="1728"/>
          </w:tcPr>
          <w:p>
            <w:r>
              <w:t>1.46</w:t>
            </w:r>
          </w:p>
        </w:tc>
        <w:tc>
          <w:tcPr>
            <w:tcW w:type="dxa" w:w="1728"/>
          </w:tcPr>
          <w:p>
            <w:r>
              <w:t>$247,345</w:t>
            </w:r>
          </w:p>
        </w:tc>
      </w:tr>
      <w:tr>
        <w:tc>
          <w:tcPr>
            <w:tcW w:type="dxa" w:w="1728"/>
          </w:tcPr>
          <w:p>
            <w:r>
              <w:t>Google</w:t>
            </w:r>
          </w:p>
        </w:tc>
        <w:tc>
          <w:tcPr>
            <w:tcW w:type="dxa" w:w="1728"/>
          </w:tcPr>
          <w:p>
            <w:r>
              <w:t>West</w:t>
            </w:r>
          </w:p>
        </w:tc>
        <w:tc>
          <w:tcPr>
            <w:tcW w:type="dxa" w:w="1728"/>
          </w:tcPr>
          <w:p>
            <w:r>
              <w:t>Search</w:t>
            </w:r>
          </w:p>
        </w:tc>
        <w:tc>
          <w:tcPr>
            <w:tcW w:type="dxa" w:w="1728"/>
          </w:tcPr>
          <w:p>
            <w:r>
              <w:t>1.31</w:t>
            </w:r>
          </w:p>
        </w:tc>
        <w:tc>
          <w:tcPr>
            <w:tcW w:type="dxa" w:w="1728"/>
          </w:tcPr>
          <w:p>
            <w:r>
              <w:t>$307,688</w:t>
            </w:r>
          </w:p>
        </w:tc>
      </w:tr>
      <w:tr>
        <w:tc>
          <w:tcPr>
            <w:tcW w:type="dxa" w:w="1728"/>
          </w:tcPr>
          <w:p>
            <w:r>
              <w:t>Google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Search</w:t>
            </w:r>
          </w:p>
        </w:tc>
        <w:tc>
          <w:tcPr>
            <w:tcW w:type="dxa" w:w="1728"/>
          </w:tcPr>
          <w:p>
            <w:r>
              <w:t>1.28</w:t>
            </w:r>
          </w:p>
        </w:tc>
        <w:tc>
          <w:tcPr>
            <w:tcW w:type="dxa" w:w="1728"/>
          </w:tcPr>
          <w:p>
            <w:r>
              <w:t>$226,936</w:t>
            </w:r>
          </w:p>
        </w:tc>
      </w:tr>
      <w:tr>
        <w:tc>
          <w:tcPr>
            <w:tcW w:type="dxa" w:w="1728"/>
          </w:tcPr>
          <w:p>
            <w:r>
              <w:t>Fb</w:t>
            </w:r>
          </w:p>
        </w:tc>
        <w:tc>
          <w:tcPr>
            <w:tcW w:type="dxa" w:w="1728"/>
          </w:tcPr>
          <w:p>
            <w:r>
              <w:t>West</w:t>
            </w:r>
          </w:p>
        </w:tc>
        <w:tc>
          <w:tcPr>
            <w:tcW w:type="dxa" w:w="1728"/>
          </w:tcPr>
          <w:p>
            <w:r>
              <w:t>Video</w:t>
            </w:r>
          </w:p>
        </w:tc>
        <w:tc>
          <w:tcPr>
            <w:tcW w:type="dxa" w:w="1728"/>
          </w:tcPr>
          <w:p>
            <w:r>
              <w:t>1.22</w:t>
            </w:r>
          </w:p>
        </w:tc>
        <w:tc>
          <w:tcPr>
            <w:tcW w:type="dxa" w:w="1728"/>
          </w:tcPr>
          <w:p>
            <w:r>
              <w:t>$119,199</w:t>
            </w:r>
          </w:p>
        </w:tc>
      </w:tr>
      <w:tr>
        <w:tc>
          <w:tcPr>
            <w:tcW w:type="dxa" w:w="1728"/>
          </w:tcPr>
          <w:p>
            <w:r>
              <w:t>Google</w:t>
            </w:r>
          </w:p>
        </w:tc>
        <w:tc>
          <w:tcPr>
            <w:tcW w:type="dxa" w:w="1728"/>
          </w:tcPr>
          <w:p>
            <w:r>
              <w:t>Midwest</w:t>
            </w:r>
          </w:p>
        </w:tc>
        <w:tc>
          <w:tcPr>
            <w:tcW w:type="dxa" w:w="1728"/>
          </w:tcPr>
          <w:p>
            <w:r>
              <w:t>Search</w:t>
            </w:r>
          </w:p>
        </w:tc>
        <w:tc>
          <w:tcPr>
            <w:tcW w:type="dxa" w:w="1728"/>
          </w:tcPr>
          <w:p>
            <w:r>
              <w:t>1.19</w:t>
            </w:r>
          </w:p>
        </w:tc>
        <w:tc>
          <w:tcPr>
            <w:tcW w:type="dxa" w:w="1728"/>
          </w:tcPr>
          <w:p>
            <w:r>
              <w:t>$211,754</w:t>
            </w:r>
          </w:p>
        </w:tc>
      </w:tr>
      <w:tr>
        <w:tc>
          <w:tcPr>
            <w:tcW w:type="dxa" w:w="1728"/>
          </w:tcPr>
          <w:p>
            <w:r>
              <w:t>Fb</w:t>
            </w:r>
          </w:p>
        </w:tc>
        <w:tc>
          <w:tcPr>
            <w:tcW w:type="dxa" w:w="1728"/>
          </w:tcPr>
          <w:p>
            <w:r>
              <w:t>Northeast</w:t>
            </w:r>
          </w:p>
        </w:tc>
        <w:tc>
          <w:tcPr>
            <w:tcW w:type="dxa" w:w="1728"/>
          </w:tcPr>
          <w:p>
            <w:r>
              <w:t>Video</w:t>
            </w:r>
          </w:p>
        </w:tc>
        <w:tc>
          <w:tcPr>
            <w:tcW w:type="dxa" w:w="1728"/>
          </w:tcPr>
          <w:p>
            <w:r>
              <w:t>1.09</w:t>
            </w:r>
          </w:p>
        </w:tc>
        <w:tc>
          <w:tcPr>
            <w:tcW w:type="dxa" w:w="1728"/>
          </w:tcPr>
          <w:p>
            <w:r>
              <w:t>$107,270</w:t>
            </w:r>
          </w:p>
        </w:tc>
      </w:tr>
      <w:tr>
        <w:tc>
          <w:tcPr>
            <w:tcW w:type="dxa" w:w="1728"/>
          </w:tcPr>
          <w:p>
            <w:r>
              <w:t>Tt</w:t>
            </w:r>
          </w:p>
        </w:tc>
        <w:tc>
          <w:tcPr>
            <w:tcW w:type="dxa" w:w="1728"/>
          </w:tcPr>
          <w:p>
            <w:r>
              <w:t>Northeast</w:t>
            </w:r>
          </w:p>
        </w:tc>
        <w:tc>
          <w:tcPr>
            <w:tcW w:type="dxa" w:w="1728"/>
          </w:tcPr>
          <w:p>
            <w:r>
              <w:t>Video</w:t>
            </w:r>
          </w:p>
        </w:tc>
        <w:tc>
          <w:tcPr>
            <w:tcW w:type="dxa" w:w="1728"/>
          </w:tcPr>
          <w:p>
            <w:r>
              <w:t>1.04</w:t>
            </w:r>
          </w:p>
        </w:tc>
        <w:tc>
          <w:tcPr>
            <w:tcW w:type="dxa" w:w="1728"/>
          </w:tcPr>
          <w:p>
            <w:r>
              <w:t>$584,668</w:t>
            </w:r>
          </w:p>
        </w:tc>
      </w:tr>
      <w:tr>
        <w:tc>
          <w:tcPr>
            <w:tcW w:type="dxa" w:w="1728"/>
          </w:tcPr>
          <w:p>
            <w:r>
              <w:t>Fb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Video</w:t>
            </w:r>
          </w:p>
        </w:tc>
        <w:tc>
          <w:tcPr>
            <w:tcW w:type="dxa" w:w="1728"/>
          </w:tcPr>
          <w:p>
            <w:r>
              <w:t>1.03</w:t>
            </w:r>
          </w:p>
        </w:tc>
        <w:tc>
          <w:tcPr>
            <w:tcW w:type="dxa" w:w="1728"/>
          </w:tcPr>
          <w:p>
            <w:r>
              <w:t>$95,095</w:t>
            </w:r>
          </w:p>
        </w:tc>
      </w:tr>
    </w:tbl>
    <w:p/>
    <w:p>
      <w:pPr>
        <w:pStyle w:val="Heading2"/>
      </w:pPr>
      <w:r>
        <w:t>2c. Competitive Event Bidding Strategy</w:t>
      </w:r>
    </w:p>
    <w:p>
      <w:pPr>
        <w:pStyle w:val="ListBullet"/>
      </w:pPr>
      <w:r>
        <w:t>Reduce bids by 15–20% during identified competitive event weeks to preserve margin.</w:t>
      </w:r>
    </w:p>
    <w:p>
      <w:pPr>
        <w:pStyle w:val="ListBullet"/>
      </w:pPr>
      <w:r>
        <w:t>Shift budget to Search/Intent-based creatives during competitor surge periods.</w:t>
      </w:r>
    </w:p>
    <w:p>
      <w:pPr>
        <w:pStyle w:val="ListBullet"/>
      </w:pPr>
      <w:r>
        <w:t>Increase retargeting spend during competitive events — own audience converts at higher rate.</w:t>
      </w:r>
    </w:p>
    <w:p>
      <w:pPr>
        <w:pStyle w:val="ListBullet"/>
      </w:pPr>
      <w:r>
        <w:t>Set automated rules: if CPM &gt; 2× 30-day baseline, reduce daily budget by 25%.</w:t>
      </w:r>
    </w:p>
    <w:p>
      <w:pPr>
        <w:pStyle w:val="Heading1"/>
      </w:pPr>
      <w:r>
        <w:rPr>
          <w:color w:val="6C63FF"/>
        </w:rPr>
        <w:t>3. A/B Testing Recommendations</w:t>
      </w:r>
    </w:p>
    <w:p>
      <w:pPr>
        <w:pStyle w:val="Heading2"/>
      </w:pPr>
      <w:r>
        <w:t>Test 1: Video Creative Completion Optimisation</w:t>
      </w:r>
    </w:p>
    <w:p>
      <w:r>
        <w:rPr>
          <w:b/>
        </w:rPr>
        <w:t xml:space="preserve">Hypothesis: </w:t>
      </w:r>
      <w:r>
        <w:t>Shorter video ads (≤15s) with strong hooks in the first 3 seconds will increase video completion rate and CVR by 15–20% vs. current video length mix.</w:t>
      </w:r>
    </w:p>
    <w:p>
      <w:r>
        <w:rPr>
          <w:b/>
        </w:rPr>
        <w:t xml:space="preserve">Methodology: </w:t>
      </w:r>
      <w:r>
        <w:t>Split audiences 50/50 within same ad sets. Control: existing video creative. Treatment: re-edited 15s hook-first versions of top-performing videos.</w:t>
      </w:r>
    </w:p>
    <w:p>
      <w:r>
        <w:rPr>
          <w:b/>
        </w:rPr>
        <w:t xml:space="preserve">Metrics: </w:t>
      </w:r>
      <w:r>
        <w:t>Primary: Video Completion Rate, CVR. Secondary: ROAS, CPC.</w:t>
      </w:r>
    </w:p>
    <w:p>
      <w:r>
        <w:rPr>
          <w:b/>
        </w:rPr>
        <w:t xml:space="preserve">Impact: </w:t>
      </w:r>
      <w:r>
        <w:t>If CVR improves 15%, estimated additional revenue: $318,042/quarter.</w:t>
      </w:r>
    </w:p>
    <w:p>
      <w:r>
        <w:rPr>
          <w:b/>
        </w:rPr>
        <w:t xml:space="preserve">Timeline: </w:t>
      </w:r>
      <w:r>
        <w:t>Week 1–2: Production. Week 3–6: Live test (min 1,000 clicks/arm). Week 7: Analysis.</w:t>
      </w:r>
    </w:p>
    <w:p>
      <w:pPr>
        <w:pStyle w:val="Heading2"/>
      </w:pPr>
      <w:r>
        <w:t>Test 2: Regional Budget Concentration</w:t>
      </w:r>
    </w:p>
    <w:p>
      <w:r>
        <w:rPr>
          <w:b/>
        </w:rPr>
        <w:t xml:space="preserve">Hypothesis: </w:t>
      </w:r>
      <w:r>
        <w:t>Concentrating 40% of budget in Northeast (highest ROAS region) while reducing lowest-ROAS region by 40% will improve blended ROAS by 0.1–0.15 points.</w:t>
      </w:r>
    </w:p>
    <w:p>
      <w:r>
        <w:rPr>
          <w:b/>
        </w:rPr>
        <w:t xml:space="preserve">Methodology: </w:t>
      </w:r>
      <w:r>
        <w:t>Implement for 4 weeks. Maintain creative/audience mix identical — change only geographic budget weights. Control: current allocation. Treatment: concentration.</w:t>
      </w:r>
    </w:p>
    <w:p>
      <w:r>
        <w:rPr>
          <w:b/>
        </w:rPr>
        <w:t xml:space="preserve">Metrics: </w:t>
      </w:r>
      <w:r>
        <w:t>Primary: Blended ROAS. Secondary: Revenue, total purchases.</w:t>
      </w:r>
    </w:p>
    <w:p>
      <w:r>
        <w:rPr>
          <w:b/>
        </w:rPr>
        <w:t xml:space="preserve">Impact: </w:t>
      </w:r>
      <w:r>
        <w:t>Estimated ROAS improvement of 0.10–0.15 → $150K–$225K additional revenue/month.</w:t>
      </w:r>
    </w:p>
    <w:p>
      <w:r>
        <w:rPr>
          <w:b/>
        </w:rPr>
        <w:t xml:space="preserve">Timeline: </w:t>
      </w:r>
      <w:r>
        <w:t>Week 1: Setup targeting. Week 2–5: Live test. Week 6: Readout.</w:t>
      </w:r>
    </w:p>
    <w:p>
      <w:pPr>
        <w:pStyle w:val="Heading2"/>
      </w:pPr>
      <w:r>
        <w:t>Test 3: Frequency Cap Optimisation</w:t>
      </w:r>
    </w:p>
    <w:p>
      <w:r>
        <w:rPr>
          <w:b/>
        </w:rPr>
        <w:t xml:space="preserve">Hypothesis: </w:t>
      </w:r>
      <w:r>
        <w:t>Capping ad frequency at 3 exposures/user/week (vs uncapped) will reduce CPM fatigue and improve CVR by 10% through audience freshness.</w:t>
      </w:r>
    </w:p>
    <w:p>
      <w:r>
        <w:rPr>
          <w:b/>
        </w:rPr>
        <w:t xml:space="preserve">Methodology: </w:t>
      </w:r>
      <w:r>
        <w:t>Campaign-level test. Control: no frequency cap. Treatment: hard cap at 3/week. Same budget, creative, targeting. Run 3 weeks minimum.</w:t>
      </w:r>
    </w:p>
    <w:p>
      <w:r>
        <w:rPr>
          <w:b/>
        </w:rPr>
        <w:t xml:space="preserve">Metrics: </w:t>
      </w:r>
      <w:r>
        <w:t>Primary: CVR, CPC. Secondary: CTR, ROAS, frequency distribution.</w:t>
      </w:r>
    </w:p>
    <w:p>
      <w:r>
        <w:rPr>
          <w:b/>
        </w:rPr>
        <w:t xml:space="preserve">Impact: </w:t>
      </w:r>
      <w:r>
        <w:t>10% CVR improvement on $1.6M/month spend = ~$192K additional monthly revenue.</w:t>
      </w:r>
    </w:p>
    <w:p>
      <w:r>
        <w:rPr>
          <w:b/>
        </w:rPr>
        <w:t xml:space="preserve">Timeline: </w:t>
      </w:r>
      <w:r>
        <w:t>Week 1: Config &amp; QA. Week 2–4: Live. Week 5: Analysis &amp; rollout decision.</w:t>
      </w:r>
    </w:p>
    <w:p>
      <w:pPr>
        <w:pStyle w:val="Heading1"/>
      </w:pPr>
      <w:r>
        <w:rPr>
          <w:color w:val="6C63FF"/>
        </w:rPr>
        <w:t>4. Long-term Strategic Recommendations</w:t>
      </w:r>
    </w:p>
    <w:p>
      <w:pPr>
        <w:pStyle w:val="Heading2"/>
      </w:pPr>
      <w:r>
        <w:t>4a. Regional Budget Allocation Strategy</w:t>
      </w:r>
    </w:p>
    <w:p>
      <w:r>
        <w:rPr>
          <w:b w:val="0"/>
          <w:i w:val="0"/>
        </w:rPr>
        <w:t>Proposed quarterly allocation — data-driven reweighting based on ROAS: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Avg ROAS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Proposed Share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 Budget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Midwest</w:t>
            </w:r>
          </w:p>
        </w:tc>
        <w:tc>
          <w:tcPr>
            <w:tcW w:type="dxa" w:w="2160"/>
          </w:tcPr>
          <w:p>
            <w:r>
              <w:t>0.83</w:t>
            </w:r>
          </w:p>
        </w:tc>
        <w:tc>
          <w:tcPr>
            <w:tcW w:type="dxa" w:w="2160"/>
          </w:tcPr>
          <w:p>
            <w:r>
              <w:t>21.7%</w:t>
            </w:r>
          </w:p>
        </w:tc>
        <w:tc>
          <w:tcPr>
            <w:tcW w:type="dxa" w:w="2160"/>
          </w:tcPr>
          <w:p>
            <w:r>
              <w:t>$347,429</w:t>
            </w:r>
          </w:p>
        </w:tc>
      </w:tr>
      <w:tr>
        <w:tc>
          <w:tcPr>
            <w:tcW w:type="dxa" w:w="2160"/>
          </w:tcPr>
          <w:p>
            <w:r>
              <w:t>Northeast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  <w:tc>
          <w:tcPr>
            <w:tcW w:type="dxa" w:w="2160"/>
          </w:tcPr>
          <w:p>
            <w:r>
              <w:t>26.9%</w:t>
            </w:r>
          </w:p>
        </w:tc>
        <w:tc>
          <w:tcPr>
            <w:tcW w:type="dxa" w:w="2160"/>
          </w:tcPr>
          <w:p>
            <w:r>
              <w:t>$430,208</w:t>
            </w:r>
          </w:p>
        </w:tc>
      </w:tr>
      <w:tr>
        <w:tc>
          <w:tcPr>
            <w:tcW w:type="dxa" w:w="2160"/>
          </w:tcPr>
          <w:p>
            <w:r>
              <w:t>South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  <w:tc>
          <w:tcPr>
            <w:tcW w:type="dxa" w:w="2160"/>
          </w:tcPr>
          <w:p>
            <w:r>
              <w:t>$400,395</w:t>
            </w:r>
          </w:p>
        </w:tc>
      </w:tr>
      <w:tr>
        <w:tc>
          <w:tcPr>
            <w:tcW w:type="dxa" w:w="2160"/>
          </w:tcPr>
          <w:p>
            <w:r>
              <w:t>West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26.4%</w:t>
            </w:r>
          </w:p>
        </w:tc>
        <w:tc>
          <w:tcPr>
            <w:tcW w:type="dxa" w:w="2160"/>
          </w:tcPr>
          <w:p>
            <w:r>
              <w:t>$421,969</w:t>
            </w:r>
          </w:p>
        </w:tc>
      </w:tr>
    </w:tbl>
    <w:p>
      <w:pPr>
        <w:pStyle w:val="Heading2"/>
      </w:pPr>
      <w:r>
        <w:t>4b. Creative Strategy by Platform</w:t>
      </w:r>
    </w:p>
    <w:p>
      <w:pPr>
        <w:pStyle w:val="ListBullet"/>
      </w:pPr>
      <w:r>
        <w:t>Fb: Prioritise Video (ROAS 1.07)</w:t>
      </w:r>
    </w:p>
    <w:p>
      <w:pPr>
        <w:pStyle w:val="ListBullet"/>
      </w:pPr>
      <w:r>
        <w:t>Google: Prioritise Search (ROAS 1.31)</w:t>
      </w:r>
    </w:p>
    <w:p>
      <w:pPr>
        <w:pStyle w:val="ListBullet"/>
      </w:pPr>
      <w:r>
        <w:t>Tt: Prioritise Video (ROAS 0.96)</w:t>
      </w:r>
    </w:p>
    <w:p>
      <w:pPr>
        <w:pStyle w:val="Heading2"/>
      </w:pPr>
      <w:r>
        <w:t>4c. Product &amp; Audience Priorities</w:t>
      </w:r>
    </w:p>
    <w:p>
      <w:r>
        <w:rPr>
          <w:b w:val="0"/>
          <w:i w:val="0"/>
        </w:rPr>
        <w:t>Top product categories by ROAS:</w:t>
      </w:r>
    </w:p>
    <w:p>
      <w:pPr>
        <w:pStyle w:val="ListBullet"/>
      </w:pPr>
      <w:r>
        <w:t>Protein: 1.29 ROAS</w:t>
      </w:r>
    </w:p>
    <w:p>
      <w:pPr>
        <w:pStyle w:val="ListBullet"/>
      </w:pPr>
      <w:r>
        <w:t>Diet: 1.06 ROAS</w:t>
      </w:r>
    </w:p>
    <w:p>
      <w:pPr>
        <w:pStyle w:val="ListBullet"/>
      </w:pPr>
      <w:r>
        <w:t>Weightloss: 0.75 ROAS</w:t>
      </w:r>
    </w:p>
    <w:p>
      <w:pPr>
        <w:pStyle w:val="ListBullet"/>
      </w:pPr>
      <w:r>
        <w:t>Preworkout: 0.61 ROAS</w:t>
      </w:r>
    </w:p>
    <w:p>
      <w:r>
        <w:rPr>
          <w:b w:val="0"/>
          <w:i w:val="0"/>
        </w:rPr>
        <w:t>Top audience segments by ROAS:</w:t>
      </w:r>
    </w:p>
    <w:p>
      <w:pPr>
        <w:pStyle w:val="ListBullet"/>
      </w:pPr>
      <w:r>
        <w:t>Athletes: 1.12 ROAS</w:t>
      </w:r>
    </w:p>
    <w:p>
      <w:pPr>
        <w:pStyle w:val="ListBullet"/>
      </w:pPr>
      <w:r>
        <w:t>Weightloss: 1.06 ROAS</w:t>
      </w:r>
    </w:p>
    <w:p>
      <w:pPr>
        <w:pStyle w:val="ListBullet"/>
      </w:pPr>
      <w:r>
        <w:t>Fitnessenth: 0.66 ROAS</w:t>
      </w:r>
    </w:p>
    <w:p>
      <w:pPr>
        <w:pStyle w:val="Heading2"/>
      </w:pPr>
      <w:r>
        <w:t>4d. Quarterly Planning Framework</w:t>
      </w:r>
    </w:p>
    <w:p>
      <w:pPr>
        <w:pStyle w:val="ListBullet"/>
      </w:pPr>
      <w:r>
        <w:t>Month 1: Execute 30% spend cut, launch A/B tests 1 &amp; 2.</w:t>
      </w:r>
    </w:p>
    <w:p>
      <w:pPr>
        <w:pStyle w:val="ListBullet"/>
      </w:pPr>
      <w:r>
        <w:t>Month 2: Reallocate freed budget to top-performing segments. Launch A/B test 3.</w:t>
      </w:r>
    </w:p>
    <w:p>
      <w:pPr>
        <w:pStyle w:val="ListBullet"/>
      </w:pPr>
      <w:r>
        <w:t>Month 3: Read A/B results, scale winners. Apply ROAS-weighted regional allocation.</w:t>
      </w:r>
    </w:p>
    <w:p>
      <w:pPr>
        <w:pStyle w:val="ListBullet"/>
      </w:pPr>
      <w:r>
        <w:t>Competitive events: 2 weeks pre-event, shift to retargeting. Post-event: aggressive acquisition.</w:t>
      </w:r>
    </w:p>
    <w:p>
      <w:pPr>
        <w:pStyle w:val="ListBullet"/>
      </w:pPr>
      <w:r>
        <w:t>Monthly review: ROAS by segment report. Pause any segment dropping below 0.9 ROAS.</w:t>
      </w:r>
    </w:p>
    <w:p>
      <w:pPr>
        <w:pStyle w:val="Heading1"/>
      </w:pPr>
      <w:r>
        <w:rPr>
          <w:color w:val="6C63FF"/>
        </w:rPr>
        <w:t>5. Risk Assessment &amp; Measurement Plan</w:t>
      </w:r>
    </w:p>
    <w:p>
      <w:pPr>
        <w:pStyle w:val="Heading2"/>
      </w:pPr>
      <w:r>
        <w:t>Risks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Revenue drop from cutting spend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Monitor daily revenue for first 2 weeks; rollback trigger if revenue drops &gt;15%</w:t>
            </w:r>
          </w:p>
        </w:tc>
      </w:tr>
      <w:tr>
        <w:tc>
          <w:tcPr>
            <w:tcW w:type="dxa" w:w="2880"/>
          </w:tcPr>
          <w:p>
            <w:r>
              <w:t>A/B test contamination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Use campaign-level separation; avoid shared audiences</w:t>
            </w:r>
          </w:p>
        </w:tc>
      </w:tr>
      <w:tr>
        <w:tc>
          <w:tcPr>
            <w:tcW w:type="dxa" w:w="2880"/>
          </w:tcPr>
          <w:p>
            <w:r>
              <w:t>Seasonal ROAS fluctuation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Adjust targets in Q2/Q3 based on historical seasonality</w:t>
            </w:r>
          </w:p>
        </w:tc>
      </w:tr>
      <w:tr>
        <w:tc>
          <w:tcPr>
            <w:tcW w:type="dxa" w:w="2880"/>
          </w:tcPr>
          <w:p>
            <w:r>
              <w:t>Competitor escalation response</w:t>
            </w:r>
          </w:p>
        </w:tc>
        <w:tc>
          <w:tcPr>
            <w:tcW w:type="dxa" w:w="2880"/>
          </w:tcPr>
          <w:p>
            <w:r>
              <w:t>Low–Medium</w:t>
            </w:r>
          </w:p>
        </w:tc>
        <w:tc>
          <w:tcPr>
            <w:tcW w:type="dxa" w:w="2880"/>
          </w:tcPr>
          <w:p>
            <w:r>
              <w:t>Pre-define max CPM thresholds per platform; auto-pause rules</w:t>
            </w:r>
          </w:p>
        </w:tc>
      </w:tr>
    </w:tbl>
    <w:p>
      <w:pPr>
        <w:pStyle w:val="Heading2"/>
      </w:pPr>
      <w:r>
        <w:t>KPIs to Track Weekly</w:t>
      </w:r>
    </w:p>
    <w:p>
      <w:pPr>
        <w:pStyle w:val="ListBullet"/>
      </w:pPr>
      <w:r>
        <w:t>ROAS (target: ≥1.2 within 60 days)</w:t>
      </w:r>
    </w:p>
    <w:p>
      <w:pPr>
        <w:pStyle w:val="ListBullet"/>
      </w:pPr>
      <w:r>
        <w:t>CTR and CVR by platform</w:t>
      </w:r>
    </w:p>
    <w:p>
      <w:pPr>
        <w:pStyle w:val="ListBullet"/>
      </w:pPr>
      <w:r>
        <w:t>CPM during competitive events</w:t>
      </w:r>
    </w:p>
    <w:p>
      <w:pPr>
        <w:pStyle w:val="ListBullet"/>
      </w:pPr>
      <w:r>
        <w:t>Spend by segment vs allocation plan</w:t>
      </w:r>
    </w:p>
    <w:p>
      <w:pPr>
        <w:pStyle w:val="ListBullet"/>
      </w:pPr>
      <w:r>
        <w:t>Revenue vs prior week (WoW change %)</w:t>
      </w:r>
    </w:p>
    <w:p>
      <w:pPr>
        <w:pStyle w:val="ListBullet"/>
      </w:pPr>
      <w:r>
        <w:t>A/B test statistical significance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