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Engineering QA Agent</w:t>
      </w:r>
    </w:p>
    <w:p>
      <w:pPr>
        <w:pStyle w:val="Subtitle"/>
      </w:pPr>
      <w:r>
        <w:t>Final engineering report | Group O | BSE4104 | 22 October 2026</w:t>
      </w:r>
    </w:p>
    <w:p>
      <w:pPr>
        <w:pStyle w:val="Heading1"/>
      </w:pPr>
      <w:r>
        <w:t>1  Executive summary</w:t>
      </w:r>
    </w:p>
    <w:p>
      <w:pPr>
        <w:pStyle w:val="Heading2"/>
      </w:pPr>
      <w:r>
        <w:t>Problem and solution</w:t>
      </w:r>
    </w:p>
    <w:p>
      <w:r>
        <w:t>Small software teams often have requirements and code but still have to translate them into testable checks, decide what is safe to run and interpret failures. Our Software Engineering QA Agent supports that workflow through a local Flask application. It connects a local code folder, stores a filtered source snapshot, accepts requirements from text-based PDF or manual entries, proposes candidate tests, records review, runs approved tests in Docker and produces an editable Word QA report. Model-assisted triage can retrieve evidence and prepare a local issue draft. The system does not publish issues, merge code or deploy applications.</w:t>
      </w:r>
    </w:p>
    <w:p>
      <w:pPr>
        <w:pStyle w:val="Heading2"/>
      </w:pPr>
      <w:r>
        <w:t>Demonstration target</w:t>
      </w:r>
    </w:p>
    <w:p>
      <w:r>
        <w:t>BudgetMe is the demonstration target: a Django application for budget planning, transactions, transfers and savings. The public repository was inspected at commit a55e0b28ba5ce00c0ca6034854abbab9ae444938. Its clean local checkout matched the remote version on 22 October 2026, and the connected snapshot contains 100 verified source files. Four registered summaries describe implementation, architecture, routes and tests, with source paths and version information retained for traceability.</w:t>
      </w:r>
    </w:p>
    <w:p>
      <w:pPr>
        <w:pStyle w:val="Heading2"/>
      </w:pPr>
      <w:r>
        <w:t>Current evidence</w:t>
      </w:r>
    </w:p>
    <w:p>
      <w:r>
        <w:t>The offline regression suite passed all 66 checks. The earlier 15-question RAG retest met its recorded grounding criteria. The 36 scenarios produced 31 full passes and 5 partial results after targeted retests. The full-pass rate is 86.1%; partial results are excluded from that rate. No unauthorized action or secret disclosure was observed. An isolated target run passed 49 of 53 checks, with four remaining assertion mismatches and no execution errors. Two planning-boundary assertions passed through the real approval/run route. Live traces cover normal triage, adversarial input, retrieval recovery and opt-in history reuse.</w:t>
      </w:r>
    </w:p>
    <w:p>
      <w:pPr>
        <w:pStyle w:val="Heading2"/>
      </w:pPr>
      <w:r>
        <w:t>Engineering focus</w:t>
      </w:r>
    </w:p>
    <w:p>
      <w:r>
        <w:t>The design combines model reasoning with deterministic control. Source provenance, bounded context, explicit tool contracts, approval hashes and sandbox isolation make decisions inspectable. The executed 36-case dataset covers normal use, edge conditions, incorrect information, adversarial input, tool failures and unauthorized actions. Its partial outcomes identify specific gaps in answer completeness, attribution and handoff behavior.</w:t>
      </w:r>
    </w:p>
    <w:p>
      <w:r>
        <w:br w:type="page"/>
      </w:r>
    </w:p>
    <w:p>
      <w:pPr>
        <w:pStyle w:val="Heading1"/>
      </w:pPr>
      <w:r>
        <w:t>2  Problem context and requirements</w:t>
      </w:r>
    </w:p>
    <w:p>
      <w:pPr>
        <w:pStyle w:val="Heading2"/>
      </w:pPr>
      <w:r>
        <w:t>User and workflow</w:t>
      </w:r>
    </w:p>
    <w:p>
      <w:r>
        <w:t>The intended user is a developer or QA engineer working with an authorized small application. The user supplies requirements and an application folder, reviews proposed test descriptions and code, explicitly runs approved tests in an isolated environment, inspects results and prepares a draft issue when appropriate. The original QA Agent charter defines this bounded support role. Its eleven user stories concern providing/analyzing requirements, proposing/reviewing tests, safe execution, viewing/investigating results, reporting findings and controlling agent actions.</w:t>
      </w:r>
    </w:p>
    <w:p>
      <w:pPr>
        <w:pStyle w:val="Heading2"/>
      </w:pPr>
      <w:r>
        <w:t>Two different requirement sets</w:t>
      </w:r>
    </w:p>
    <w:p>
      <w:r>
        <w:t>The project separates product requirements from target-system requirements. The QA Agent user stories define the behavior of our application. BudgetMe requirements define the behavior to be checked in the connected target. Session records preserve supplied requirement IDs and text, while source summaries explain implementation details. Retrieval is scoped to the selected project so that a requirement about the QA Agent cannot be used as the basis for a BudgetMe signup or budget-planning judgment.</w:t>
      </w:r>
    </w:p>
    <w:p>
      <w:pPr>
        <w:pStyle w:val="Heading2"/>
      </w:pPr>
      <w:r>
        <w:t>Acceptance and boundaries</w:t>
      </w:r>
    </w:p>
    <w:p>
      <w:r>
        <w:t>The important product expectations are traceable proposals, explicit review and execution controls, preserved results, honest failure explanations and observable agent actions. Deterministic code owns schemas, source containment, approval hashes, sandbox resources, tool permissions and stopping limits. The model may interpret supplied evidence and suggest tests or analysis. It cannot grant itself permissions, approve its own high-impact actions or convert an unverified explanation into a confirmed defect.</w:t>
      </w:r>
    </w:p>
    <w:p>
      <w:pPr>
        <w:pStyle w:val="Heading2"/>
      </w:pPr>
      <w:r>
        <w:t>Success measures</w:t>
      </w:r>
    </w:p>
    <w:p>
      <w:r>
        <w:t>The evaluation design measures task completion, factual grounding, tool choice, instruction following, latency and safety violations. Each scenario identifies its expected behavior and the evidence needed to judge the outcome. Safety cases specify rejection of unauthorized execution, publication and disclosure. Requirements with conflicting or incomplete rules are referred back for clarification. A generated expected result must have a clear basis in a supplied requirement or be presented as a proposed test condition for review.</w:t>
      </w:r>
    </w:p>
    <w:p>
      <w:r>
        <w:br w:type="page"/>
      </w:r>
    </w:p>
    <w:p>
      <w:pPr>
        <w:pStyle w:val="Heading1"/>
      </w:pPr>
      <w:r>
        <w:t>3  System architecture</w:t>
      </w:r>
    </w:p>
    <w:p>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final-system-architecture.png"/>
                    <pic:cNvPicPr/>
                  </pic:nvPicPr>
                  <pic:blipFill>
                    <a:blip r:embed="rId11"/>
                    <a:stretch>
                      <a:fillRect/>
                    </a:stretch>
                  </pic:blipFill>
                  <pic:spPr>
                    <a:xfrm>
                      <a:off x="0" y="0"/>
                      <a:ext cx="6035040" cy="3394710"/>
                    </a:xfrm>
                    <a:prstGeom prst="rect"/>
                  </pic:spPr>
                </pic:pic>
              </a:graphicData>
            </a:graphic>
          </wp:inline>
        </w:drawing>
      </w:r>
    </w:p>
    <w:p>
      <w:pPr>
        <w:pStyle w:val="Caption"/>
      </w:pPr>
      <w:r>
        <w:t>Figure 1  Current system boundaries. SVG original: docs/architecture/final-system-architecture.svg.</w:t>
      </w:r>
    </w:p>
    <w:p>
      <w:pPr>
        <w:pStyle w:val="Heading2"/>
      </w:pPr>
      <w:r>
        <w:t>Application and storage</w:t>
      </w:r>
    </w:p>
    <w:p>
      <w:r>
        <w:t>The browser talks to the loopback Flask application. workflow_service manages local sessions outside the submission repository, including requirements, a source manifest, snapshot hash, proposed tests, approval records and execution outcomes. Source copying filters dependency folders, environment files, databases and settings.py; it does not run the connected source. Snapshot hashes make the reviewed source version identifiable.</w:t>
      </w:r>
    </w:p>
    <w:p>
      <w:pPr>
        <w:pStyle w:val="Heading2"/>
      </w:pPr>
      <w:r>
        <w:t>Model and evidence boundary</w:t>
      </w:r>
    </w:p>
    <w:p>
      <w:r>
        <w:t>Groq hosts the model. Only selected questions, supplied records and bounded excerpts should cross that boundary. The registered Markdown corpus is indexed locally with TF-IDF. The project knowledge endpoint adds repository-bound excerpts to selected saved records and limits the serialized question/context to 6000 characters. Project failure analysis uses session requirements plus its bound repository evidence; global QA governance is not the default evidence for a target defect.</w:t>
      </w:r>
    </w:p>
    <w:p>
      <w:pPr>
        <w:pStyle w:val="Heading2"/>
      </w:pPr>
      <w:r>
        <w:t>Execution and state boundary</w:t>
      </w:r>
    </w:p>
    <w:p>
      <w:r>
        <w:t>Approved code runs in a trusted Docker image built from the copied snapshot, with a disposable test database. The source checkout is not mounted or edited. The triage agent separately uses validated retrieval and local draft tools. SQLite stores limited triage summaries, while traces and draft records provide more detailed evidence. The diagram shows the current boundaries; SVG originals remain in docs/architecture.</w:t>
      </w:r>
    </w:p>
    <w:p>
      <w:r>
        <w:br w:type="page"/>
      </w:r>
    </w:p>
    <w:p>
      <w:pPr>
        <w:pStyle w:val="Heading1"/>
      </w:pPr>
      <w:r>
        <w:t>4  Foundation model and prompt engineering</w:t>
      </w:r>
    </w:p>
    <w:p>
      <w:pPr>
        <w:pStyle w:val="Heading2"/>
      </w:pPr>
      <w:r>
        <w:t>Early baseline</w:t>
      </w:r>
    </w:p>
    <w:p>
      <w:r>
        <w:t>Week 2 established the model-backed baseline using qwen/qwen3.8-27b through Groq. Three versioned prompts were evaluated against the same ten requirements, comparing expected-result grounding, coverage and clarity. Version 1.0 produced 2 PASS, 1 PARTIAL and 7 FAIL outcomes. Version 1.1 produced 5 PASS, 4 PARTIAL and 1 FAIL; version 1.2 produced 7 PASS, 2 PARTIAL and 1 FAIL. The baseline addressed requirement-to-test proposals. The approval, sandbox and triage capabilities were introduced in later stages of the project.</w:t>
      </w:r>
    </w:p>
    <w:p>
      <w:pPr>
        <w:pStyle w:val="Heading2"/>
      </w:pPr>
      <w:r>
        <w:t>Current prompts</w:t>
      </w:r>
    </w:p>
    <w:p>
      <w:r>
        <w:t>Important prompts are stored in prompts/. Candidate-test generation, workflow proposals, approved-code generation, requirement-specific cases, RAG responses, tool routing and agent planning use separate instructions. Model-selected tool/agent actions request JSON and application code validates the object. Plain-text answer generation still needs source review. A valid JSON object proves only its shape, not semantic correctness or authorization.</w:t>
      </w:r>
    </w:p>
    <w:p>
      <w:pPr>
        <w:pStyle w:val="Heading2"/>
      </w:pPr>
      <w:r>
        <w:t>Provider and settings</w:t>
      </w:r>
    </w:p>
    <w:p>
      <w:r>
        <w:t>The application reads its Groq key from the environment and applies bounded request timeouts. Prompt and model settings are recorded with evaluation evidence so runs can be compared. The transport supports an optional reasoning_effort argument. The current RAG retest uses none, a maximum of 600 completion tokens and concise answers. Workflow proposals, code generation and agent planning have separate context and output requirements; the application validates structured responses before acting on them.</w:t>
      </w:r>
    </w:p>
    <w:p>
      <w:pPr>
        <w:pStyle w:val="Heading2"/>
      </w:pPr>
      <w:r>
        <w:t>Failure behavior</w:t>
      </w:r>
    </w:p>
    <w:p>
      <w:r>
        <w:t>Missing credentials, provider errors, rate limiting, unreadable responses and unfinished completion states do not become successful tool decisions. The Project Knowledge endpoint now shows the transport’s actionable error rather than replacing everything with a generic connection message. Larger output budgets alone are not a reliable fix for HTTP 413: total input, output allowance and provider limits all matter. Prompt instructions remain one layer of control; application-side validation and permission checks are authoritative.</w:t>
      </w:r>
    </w:p>
    <w:p>
      <w:r>
        <w:br w:type="page"/>
      </w:r>
    </w:p>
    <w:p>
      <w:pPr>
        <w:pStyle w:val="Heading1"/>
      </w:pPr>
      <w:r>
        <w:t>5  Context engineering and RAG</w:t>
      </w:r>
    </w:p>
    <w:p>
      <w:pPr>
        <w:pStyle w:val="Heading2"/>
      </w:pPr>
      <w:r>
        <w:t>Controlled corpus</w:t>
      </w:r>
    </w:p>
    <w:p>
      <w:r>
        <w:t>The controlled corpus contains nine registered Markdown documents. Five cover the QA Agent charter, user stories and control contracts; four cover BudgetMe implementation, architecture, routes and test evidence. The CSV and Excel registers use the same schema and source entries. BudgetMe records include repository URL, source paths, retrieval date and commit. The existing BudgetMe SRS contains 30 source-derived functional requirements with acceptance criteria, providing a structured basis for expansion into focused, traceable knowledge records.</w:t>
      </w:r>
    </w:p>
    <w:p>
      <w:pPr>
        <w:pStyle w:val="Heading2"/>
      </w:pPr>
      <w:r>
        <w:t>Retrieval paths</w:t>
      </w:r>
    </w:p>
    <w:p>
      <w:r>
        <w:t>The base pipeline loads authorized Markdown paths contained inside knowledge/corpus, splits text into 180-word chunks and ranks TF-IDF vectors with cosine similarity. Top-three chunks at or above 0.08 support the regular pipeline. Project retrieval builds a target-scoped index from the bound repository and supplied session requirements. The project knowledge page has its own bounded context assembly, so its request budget and source display are tested separately from the command-line RAG evaluation.</w:t>
      </w:r>
    </w:p>
    <w:p>
      <w:pPr>
        <w:pStyle w:val="Heading2"/>
      </w:pPr>
      <w:r>
        <w:t>Generated answer evaluation</w:t>
      </w:r>
    </w:p>
    <w:p>
      <w:r>
        <w:t>The generated-answer evaluation uses 15 questions: twelve answerable, one combining a supported fact with an unsupported detail, and two testing evidence gaps or an adversarial secret request. Each case has a recorded expected answer. All 15 responses in the retest satisfied the stated grounding criteria. Assessment considers whether claims follow from the retained excerpts, whether citations are relevant and whether unsupported details remain unresolved. The result therefore captures answer behavior, rather than relying on a filename match in retrieval.</w:t>
      </w:r>
    </w:p>
    <w:p>
      <w:pPr>
        <w:pStyle w:val="Heading2"/>
      </w:pPr>
      <w:r>
        <w:t>Observed failures</w:t>
      </w:r>
    </w:p>
    <w:p>
      <w:r>
        <w:t>The first transfer questions exposed a lexical mismatch between “minimum” and source wording describing amounts “below” a limit. Clarifying the summary terminology improved retrieval of the existing UGX 500 rule. Output-limit failures led to explicit reasoning and completion settings in the retest. Inspection of signup-failure traces also exposed retrieval of QA Agent governance documents for a BudgetMe question. Passing a project-scoped retrieval function corrected that evidence boundary, with regression tests covering exclusion of unrelated sources.</w:t>
      </w:r>
    </w:p>
    <w:p>
      <w:r>
        <w:br w:type="page"/>
      </w:r>
    </w:p>
    <w:p>
      <w:pPr>
        <w:pStyle w:val="Heading1"/>
      </w:pPr>
      <w:r>
        <w:t>6  Tools and agentic workflow</w:t>
      </w:r>
    </w:p>
    <w:p>
      <w:pPr>
        <w:pStyle w:val="Heading2"/>
      </w:pPr>
      <w:r>
        <w:t>Explicit tools</w:t>
      </w:r>
    </w:p>
    <w:p>
      <w:r>
        <w:t>retrieve_project_evidence returns selected authorized evidence. create_issue_draft writes a local draft with submitted=false. Input/output schemas, the tool allow-list and permission checks are implemented in tool_contracts and tool_service. The one-step router asks the model for a tool decision and dispatches only after validation. The separate approval-controlled test workflow is not an unrestricted shell tool exposed to the planner.</w:t>
      </w:r>
    </w:p>
    <w:p>
      <w:pPr>
        <w:pStyle w:val="Heading2"/>
      </w:pPr>
      <w:r>
        <w:t>Bounded task</w:t>
      </w:r>
    </w:p>
    <w:p>
      <w:r>
        <w:t>The agent’s task is to link a reported failure to relevant evidence and prepare at most one local draft, or hand off. Its loop senses context, requests a decision, validates it, acts through an approved tool, observes the result and stops or replans. Limits are six iterations, three retrievals, one draft, two consecutive tool failures, two invalid decisions and a 900-second budget checked between iterations. An in-flight model call can outlast the between-step budget check.</w:t>
      </w:r>
    </w:p>
    <w:p>
      <w:pPr>
        <w:pStyle w:val="Heading2"/>
      </w:pPr>
      <w:r>
        <w:t>Current demonstrations</w:t>
      </w:r>
    </w:p>
    <w:p>
      <w:r>
        <w:t>The selected execution traces cover three distinct situations. Normal triage retrieves target evidence and saves a local draft. An adversarial report attempts to widen the allowed actions, while execution remains inside the permitted tool set. The recovery trace deliberately injects a retrieval error; a subsequent retrieval succeeds and the agent then creates a draft. These controlled demonstrations retain decisions, guards, tool results and stop reasons, allowing each transition to be checked against the task contract.</w:t>
      </w:r>
    </w:p>
    <w:p>
      <w:pPr>
        <w:pStyle w:val="Heading2"/>
      </w:pPr>
      <w:r>
        <w:t>Human control</w:t>
      </w:r>
    </w:p>
    <w:p>
      <w:r>
        <w:t>Before execution, the workflow verifies the source snapshot and generated-code hashes against approval records. The operator reviews the proposed cases and code and explicitly starts the selected run. Failure analysis retains the distinction between a failed assertion, an execution/setup error and a suspected product defect. Drafts preserve expected behavior, observed behavior and supporting evidence. Publication remains a separate human decision, outside the planner’s tool allow-list.</w:t>
      </w:r>
    </w:p>
    <w:p>
      <w:r>
        <w:br w:type="page"/>
      </w:r>
    </w:p>
    <w:p>
      <w:pPr>
        <w:pStyle w:val="Heading1"/>
      </w:pPr>
      <w:r>
        <w:t>7  Memory state and interoperability</w:t>
      </w:r>
    </w:p>
    <w:p>
      <w:pPr>
        <w:pStyle w:val="Heading2"/>
      </w:pPr>
      <w:r>
        <w:t>Explicit state</w:t>
      </w:r>
    </w:p>
    <w:p>
      <w:r>
        <w:t>Session records track connected source, requirements, proposals, review/code status, approvals, executions and errors. The agent also records stages and observations so a reviewer can see whether it retrieved, drafted or handed control back. Workflow state and long-term memory solve different problems: a saved session preserves the current project, while retained triage summaries help identify earlier reports for an exact test identifier.</w:t>
      </w:r>
    </w:p>
    <w:p>
      <w:pPr>
        <w:pStyle w:val="Heading2"/>
      </w:pPr>
      <w:r>
        <w:t>Justified memory</w:t>
      </w:r>
    </w:p>
    <w:p>
      <w:r>
        <w:t>HistoryStore persists small validated summaries in SQLite. It retains at most 500 summaries for up to 90 days, with expiry checked on access. Retained fields include exact test identifier, recorded time, stop reason, iteration/retrieval counts, draft reference and limited source identifiers. Repeated reports do not prove a test is flaky. Full failure descriptions and model analysis are not included in the small history digest sent for reuse.</w:t>
      </w:r>
    </w:p>
    <w:p>
      <w:pPr>
        <w:pStyle w:val="Heading2"/>
      </w:pPr>
      <w:r>
        <w:t>Clarity about reuse</w:t>
      </w:r>
    </w:p>
    <w:p>
      <w:r>
        <w:t>The standalone triage path supports explicit history reuse. When enabled, the model receives the prior report count and last outcome while still performing fresh retrieval. Two recorded runs completed for the same test identifier: the second received one earlier report and retrieved fresh evidence before saving its draft. The separate project failure-analysis route records the current summary with use_history=False. This keeps persistence available while leaving reuse an explicit choice in the supported triage path.</w:t>
      </w:r>
    </w:p>
    <w:p>
      <w:pPr>
        <w:pStyle w:val="Heading2"/>
      </w:pPr>
      <w:r>
        <w:t>Interface and handling</w:t>
      </w:r>
    </w:p>
    <w:p>
      <w:r>
        <w:t>query_run_history is implemented as a Python capability and a local HTTP adapter. Its MCP-style specification documents inputs, outputs, permissions and the security boundary; the brief accepts this option without requiring an actual MCP server. Queries can prune expired data, and deletion is a separate operator action. Deleting a summary does not remove detailed traces, drafts or backups. The application remains a trusted local demonstration without multi-user authentication.</w:t>
      </w:r>
    </w:p>
    <w:p>
      <w:r>
        <w:br w:type="page"/>
      </w:r>
    </w:p>
    <w:p>
      <w:pPr>
        <w:pStyle w:val="Heading1"/>
      </w:pPr>
      <w:r>
        <w:t>8  Evaluation observability and guardrails</w:t>
      </w:r>
    </w:p>
    <w:p>
      <w:pPr>
        <w:pStyle w:val="Heading2"/>
      </w:pPr>
      <w:r>
        <w:t>Evidence already collected</w:t>
      </w:r>
    </w:p>
    <w:p>
      <w:r>
        <w:t>All 66 offline checks passed. The 36-scenario run exercised live generation alongside controlled service faults and real approval guards. The 36 scenarios produced 31 full passes and 5 partial results after targeted retests. The full-pass rate is 86.1%; partial results are excluded from that rate. No unauthorized action or secret disclosure was observed. The separate BudgetMe suite ran 51 existing tests plus two corrected signup checks in Docker: 49 passed and four assertions failed. Tests used disposable SQLite settings and no network. The earlier 15-question RAG assessment remains a separate result.</w:t>
      </w:r>
    </w:p>
    <w:p>
      <w:pPr>
        <w:pStyle w:val="Heading2"/>
      </w:pPr>
      <w:r>
        <w:t>Scenario results</w:t>
      </w:r>
    </w:p>
    <w:p>
      <w:r>
        <w:t>Each of six categories contains six scenarios. The results CSV records actual behavior, task completion, instruction following, elapsed time, observed safety violations and evidence paths. Grounding was reviewed qualitatively against available excerpts; atomic factual-claim counts were not scored. Per-case time includes request pacing. Explicit retests completed an interrupted memory case and supplied conflicting or injected requirements as stored session records.</w:t>
      </w:r>
    </w:p>
    <w:p>
      <w:pPr>
        <w:pStyle w:val="Heading2"/>
      </w:pPr>
      <w:r>
        <w:t>Observability</w:t>
      </w:r>
    </w:p>
    <w:p>
      <w:r>
        <w:t>Agent and router traces record prompts/versions, decisions, guards, tool outcomes and timing where implemented. Workflow events preserve source/model information, response records, validation status and sandbox outputs. The milestone runner adds corpus hashes, explicit settings and provider usage/latency metadata when returned. The final evidence index identifies the files used by this report. Sensitive environment values are not written into the register or included in the evidence pack.</w:t>
      </w:r>
    </w:p>
    <w:p>
      <w:pPr>
        <w:pStyle w:val="Heading2"/>
      </w:pPr>
      <w:r>
        <w:t>Guardrails and observed failures</w:t>
      </w:r>
    </w:p>
    <w:p>
      <w:r>
        <w:t>The checked controls rejected forged approval, changed code, changed snapshots, escaping symlinks, malformed tool decisions and cross-origin or missing-CSRF writes. Retrieval recovered from an injected one-time failure within three iterations. Partial answers still matter: an overview omitted features, pending tests were described as confirmation, a setup-error answer missed the likely cause, and the planner continued triage instead of handing off on a merge/deploy request.</w:t>
      </w:r>
    </w:p>
    <w:p>
      <w:pPr>
        <w:pStyle w:val="Heading2"/>
      </w:pPr>
      <w:r>
        <w:t>Assessment limits</w:t>
      </w:r>
    </w:p>
    <w:p>
      <w:r>
        <w:t>Evaluation combines different kinds of evidence. Offline tests isolate deterministic guards; generated-answer assessment checks grounding and abstention; tool and agent traces show which actions actually occurred. Latency is recorded where the provider returns timing information. The same distinction applies to target testing: a test module can execute successfully while still using a weak oracle, and an execution error can arise from test setup. Evidence is therefore interpreted at the level of the individual claim, action or assertion.</w:t>
      </w:r>
    </w:p>
    <w:p>
      <w:r>
        <w:br w:type="page"/>
      </w:r>
    </w:p>
    <w:p>
      <w:pPr>
        <w:pStyle w:val="Heading1"/>
      </w:pPr>
      <w:r>
        <w:t>9  Software engineering quality and deployment</w:t>
      </w:r>
    </w:p>
    <w:p>
      <w:pPr>
        <w:pStyle w:val="Heading2"/>
      </w:pPr>
      <w:r>
        <w:t>Repository and run setup</w:t>
      </w:r>
    </w:p>
    <w:p>
      <w:r>
        <w:t>The repository separates application source, prompts, controlled knowledge, tests, formal documents and evidence. README provides Windows virtual-environment setup, environment-based credentials and loopback startup. Python dependencies are pinned in requirements.txt for the application. Docker execution also depends on the prepared local sandbox image; a reproducible demonstration needs that image and compatible dependencies rather than merely a running Flask server.</w:t>
      </w:r>
    </w:p>
    <w:p>
      <w:pPr>
        <w:pStyle w:val="Heading2"/>
      </w:pPr>
      <w:r>
        <w:t>Source handling and execution</w:t>
      </w:r>
    </w:p>
    <w:p>
      <w:r>
        <w:t>The project uses a local-folder connection. A public GitHub URL is recorded for BudgetMe provenance, but the application does not yet clone a pasted URL. The snapshot is fixed at connection time; later source edits need a fresh snapshot and approval. Docker runs as a non-root user with no network, a read-only root filesystem, limited temporary storage, memory/CPU/process caps and a 90-second per-test timeout. Tests use disposable database settings rather than the target’s production configuration.</w:t>
      </w:r>
    </w:p>
    <w:p>
      <w:pPr>
        <w:pStyle w:val="Heading2"/>
      </w:pPr>
      <w:r>
        <w:t>Testing and maintainability</w:t>
      </w:r>
    </w:p>
    <w:p>
      <w:r>
        <w:t>Regression coverage includes project-evidence isolation, requirement provenance, corpus growth, bounded knowledge payloads, approval and continuation state, tool guards and memory. The corpus assertion was updated to include the registered BudgetMe documents while retaining exclusions for evaluation and progress records. Verification scripts preserve observed outcomes and the settings used to produce them. Temporary builders and previews remain outside the submission repository; retained prompts, tests and evidence support reproducibility.</w:t>
      </w:r>
    </w:p>
    <w:p>
      <w:pPr>
        <w:pStyle w:val="Heading2"/>
      </w:pPr>
      <w:r>
        <w:t>Release and ownership</w:t>
      </w:r>
    </w:p>
    <w:p>
      <w:r>
        <w:t>Configuration keeps the API key outside source control and separates application dependencies from the Docker sandbox. The repository organizes requirements, architecture, prompts, tests and evidence so a reviewer can follow an implementation decision to its supporting record. The AI Engineering Log provides the required record of material assistance and decisions. Release preparation includes checking the run instructions, reviewing the selected evidence, linking task ownership and tagging the accepted repository state. Remote deployment would require an expanded authentication and authorization boundary.</w:t>
      </w:r>
    </w:p>
    <w:p>
      <w:r>
        <w:br w:type="page"/>
      </w:r>
    </w:p>
    <w:p>
      <w:pPr>
        <w:pStyle w:val="Heading1"/>
      </w:pPr>
      <w:r>
        <w:t>10  Results limitations and professional reflection</w:t>
      </w:r>
    </w:p>
    <w:p>
      <w:pPr>
        <w:pStyle w:val="Heading2"/>
      </w:pPr>
      <w:r>
        <w:t>What the implementation demonstrates</w:t>
      </w:r>
    </w:p>
    <w:p>
      <w:r>
        <w:t>The implementation provides a controlled route from requirements and snapshots through test proposals, approval, isolated execution and failure documentation. Its evidence includes 66 passing offline checks, the earlier 15-case RAG retest, three distinct bounded-agent demonstrations and 31 full passes across 36 scenarios. The target suite retains four failing assertions for review. These outcomes make the remaining work concrete.</w:t>
      </w:r>
    </w:p>
    <w:p>
      <w:pPr>
        <w:pStyle w:val="Heading2"/>
      </w:pPr>
      <w:r>
        <w:t>Operating limits</w:t>
      </w:r>
    </w:p>
    <w:p>
      <w:r>
        <w:t>Provider quotas and network availability affect model-backed requests. The corpus covers selected source facts, so retrieval quality depends on clear terminology, useful segmentation and correct project scope. Generated tests require careful review of helper signatures, assertions and expected behavior. In the signup example, a missing username argument caused a setup error and an assumed error string weakened another assertion. The sandbox contains execution risk, while source and test review address semantic correctness.</w:t>
      </w:r>
    </w:p>
    <w:p>
      <w:pPr>
        <w:pStyle w:val="Heading2"/>
      </w:pPr>
      <w:r>
        <w:t>Lessons from the failures</w:t>
      </w:r>
    </w:p>
    <w:p>
      <w:r>
        <w:t>The most useful corrections came from inspecting the actual request and trace paths. Registering documents did not automatically connect them to every answer endpoint. Retrieval similarity did not guarantee that a passage described the correct system. Approving a test description did not establish the correctness of its generated code. These findings led to scoped retrieval, bounded context, explicit response validation and clearer failure classification. The resulting workflow gives the developer a concrete basis for review and follow-up.</w:t>
      </w:r>
    </w:p>
    <w:p>
      <w:pPr>
        <w:pStyle w:val="Heading2"/>
      </w:pPr>
      <w:r>
        <w:t>Further development</w:t>
      </w:r>
    </w:p>
    <w:p>
      <w:r>
        <w:t>Corpus development should prioritize existing SRS IDs, acceptance criteria, source-level rules and reusable test evidence. The measured partial results give specific improvement targets: select more relevant overview and diagnostic excerpts, distinguish proposals from executed checks, and clarify when the planner must stop. Review the target UI/configuration contract before changing its failing assertions. Model assistance remains subject to software-enforced boundaries and developer review.</w:t>
      </w:r>
    </w:p>
    <w:p>
      <w:r>
        <w:br w:type="page"/>
      </w:r>
    </w:p>
    <w:p>
      <w:pPr>
        <w:pStyle w:val="Heading1"/>
      </w:pPr>
      <w:r>
        <w:t>References and evidence appendix</w:t>
      </w:r>
    </w:p>
    <w:p>
      <w:r>
        <w:t>Supporting sources and evidence for the main engineering report.</w:t>
      </w:r>
    </w:p>
    <w:p>
      <w:r>
        <w:t>Makerere University. (2026). BSE4104 Emerging Trends in Software Engineering: 8-week AI-native and agentic engineering capstone project brief. Course brief supplied by the user.</w:t>
      </w:r>
    </w:p>
    <w:p>
      <w:r>
        <w:t>Group O. (2026). Project charter, user stories and AI Boundary Matrix. docs/requirements/.</w:t>
      </w:r>
    </w:p>
    <w:p>
      <w:r>
        <w:t>Group O. (2026). Model selection and prompt evaluation. docs/architecture/ModelSelection.docx; docs/evaluation/prompt-evaluation.docx; tests/results/.</w:t>
      </w:r>
    </w:p>
    <w:p>
      <w:r>
        <w:t>Joritace. (2026). BudgetMe source repository, commit a55e0b28ba5ce00c0ca6034854abbab9ae444938. https://github.com/Joritace/BudgetMe. Retrieved 22 October 2026.</w:t>
      </w:r>
    </w:p>
    <w:p>
      <w:r>
        <w:t>Group O. (2026). Controlled source register. knowledge/source_register.csv and knowledge/Corpus_Source_Register.xlsx.</w:t>
      </w:r>
    </w:p>
    <w:p>
      <w:r>
        <w:t>Group O. (2026). Revised RAG evaluation and failure catalogue. docs/evaluation/RAG_Evaluation.docx; docs/evaluation/Failure_Catalogue.docx.</w:t>
      </w:r>
    </w:p>
    <w:p>
      <w:r>
        <w:t>Group O. (2026). Current offline regression results. evidence/traces/offline_regression_20261022.json.</w:t>
      </w:r>
    </w:p>
    <w:p>
      <w:r>
        <w:t>Group O. (2026). Current live milestone verification. evidence/traces/milestones_20261022T154858Z/verification.json.</w:t>
      </w:r>
    </w:p>
    <w:p>
      <w:r>
        <w:t>Group O. (2026). Selected Week 5 traces and Week 6 follow-up memory evidence. evidence/final/README.md; evidence/traces/agent_memory_20261022T160322Z/verification.json.</w:t>
      </w:r>
    </w:p>
    <w:p>
      <w:r>
        <w:t>Group O. (2026). Scenario dataset, measured results and assessment. docs/evaluation/Final_Evaluation_Dataset.csv; docs/evaluation/Final_Evaluation_Results.csv; evidence/final/scenario_assessment.json.</w:t>
      </w:r>
    </w:p>
    <w:sectPr w:rsidR="00FC693F" w:rsidRPr="0006063C" w:rsidSect="00034616">
      <w:headerReference w:type="default" r:id="rId9"/>
      <w:footerReference w:type="default" r:id="rId10"/>
      <w:headerReference w:type="first" r:id="rId12"/>
      <w:footerReference w:type="first" r:id="rId13"/>
      <w:headerReference w:type="even" r:id="rId14"/>
      <w:footerReference w:type="even" r:id="rId15"/>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6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QA Agent</dc:title>
  <dc:subject>Final engineering report | Group O | BSE4104 | 22 October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