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progress report</w:t>
      </w:r>
    </w:p>
    <w:p>
      <w:pPr>
        <w:pStyle w:val="Subtitle"/>
      </w:pPr>
      <w:r>
        <w:t>Evaluation and failure analysis | Updated 22 October 2026</w:t>
      </w:r>
    </w:p>
    <w:p>
      <w:pPr>
        <w:pStyle w:val="Heading1"/>
      </w:pPr>
      <w:r>
        <w:t>Work completed</w:t>
      </w:r>
    </w:p>
    <w:p>
      <w:r>
        <w:t>We executed the 36-case dataset across normal behavior, edge conditions, incorrect information, adversarial input, tool failures and unauthorized actions. The 36 scenarios produced 31 full passes and 5 partial results after targeted retests. The full-pass rate is 86.1%; partial results are excluded from that rate. No unauthorized action or secret disclosure was observed.</w:t>
      </w:r>
    </w:p>
    <w:p>
      <w:r>
        <w:t>The offline suite passed all 66 checks. Live checks covered project answers, requirement-specific proposals, history reuse, retrieval recovery and model-selected tools. Controlled local checks exercised request limits, state continuation, duplicate IDs, escaping paths, forged approval, code/source tampering, audit storage and injected provider or Docker failures.</w:t>
      </w:r>
    </w:p>
    <w:p>
      <w:pPr>
        <w:pStyle w:val="Heading1"/>
      </w:pPr>
      <w:r>
        <w:t>Target application results</w:t>
      </w:r>
    </w:p>
    <w:p>
      <w:r>
        <w:t>The BudgetMe snapshot contains 100 verified source files at commit a55e0b28ba5ce00c0ca6034854abbab9ae444938. We ran its 51 existing tests plus two corrected signup checks using disposable SQLite settings with networking disabled. After correcting the sandbox template path, 49 checks passed and four assertions failed. Both added signup checks passed. The approval/run route also passed two planning-boundary assertions.</w:t>
      </w:r>
    </w:p>
    <w:p>
      <w:pPr>
        <w:pStyle w:val="Heading1"/>
      </w:pPr>
      <w:r>
        <w:t>Findings</w:t>
      </w:r>
    </w:p>
    <w:p>
      <w:r>
        <w:t>The remaining QA Agent weaknesses are answer completeness, treating pending proposals as confirmation, diagnosing a generated-test setup error, and the required stop/handoff behavior for a merge/deploy request. The target failures concern Google login configuration and UI wording/version assumptions. We retained those failures rather than treating test completion as success.</w:t>
      </w:r>
    </w:p>
    <w:p>
      <w:r>
        <w:br w:type="page"/>
      </w:r>
    </w:p>
    <w:p>
      <w:pPr>
        <w:pStyle w:val="Heading1"/>
      </w:pPr>
      <w:r>
        <w:t>Decisions and retests</w:t>
      </w:r>
    </w:p>
    <w:p>
      <w:r>
        <w:t>We kept target evidence separate from QA Agent governance and left the registered corpus unchanged during this run. The Knowledge response now requests concise answers within its existing response allowance. The sandbox template directory now matches the target configuration. Quota and timeout interruptions remain in dated evidence folders; an explicit memory retest completed and confirmed that another process could read the stored summary.</w:t>
      </w:r>
    </w:p>
    <w:p>
      <w:pPr>
        <w:pStyle w:val="Heading1"/>
      </w:pPr>
      <w:r>
        <w:t>Measurements and limits</w:t>
      </w:r>
    </w:p>
    <w:p>
      <w:r>
        <w:t>Each results row records its observed behavior, verdict, elapsed time and evidence path. Partial results are excluded from the full-pass rate. Grounding was reviewed qualitatively, so no atomic-claim accuracy percentage is claimed. Scenario elapsed times include deliberate request pacing. The results cover this local configuration and these inputs, rather than all model behavior or deployed integrations.</w:t>
      </w:r>
    </w:p>
    <w:p>
      <w:pPr>
        <w:pStyle w:val="Heading1"/>
      </w:pPr>
      <w:r>
        <w:t>Evidence</w:t>
      </w:r>
    </w:p>
    <w:p>
      <w:r>
        <w:t>Evaluation_Results.docx explains the method and outcomes. Final_Evaluation_Results.csv contains all 36 verdicts. Failure_Catalogue.docx records fixes and retests. Raw records are linked by scenario in evidence/final/scenario_assessment.json. Screenshots show the BudgetMe execution and result views. The required AI Engineering Log retains the assistance record.</w:t>
      </w:r>
    </w:p>
    <w:p>
      <w:pPr>
        <w:pStyle w:val="Heading1"/>
      </w:pPr>
      <w:r>
        <w:t>Next work</w:t>
      </w:r>
    </w:p>
    <w:p>
      <w:r>
        <w:t>Improve source selection for overview and diagnostic questions, strengthen the distinction between proposed and executed tests, and clarify the planner handoff behavior. Review the four target assertions against the intended interface contract before editing BudgetMe. Human acceptance review, contribution verification and release/submission checks remain separate from this measured run.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