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Ind w:w="-115.0" w:type="dxa"/>
        <w:tblLayout w:type="fixed"/>
        <w:tblLook w:val="0400"/>
      </w:tblPr>
      <w:tblGrid>
        <w:gridCol w:w="6480"/>
        <w:gridCol w:w="3600"/>
        <w:tblGridChange w:id="0">
          <w:tblGrid>
            <w:gridCol w:w="6480"/>
            <w:gridCol w:w="3600"/>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0" distT="0" distL="114300" distR="114300">
                  <wp:extent cx="1982671" cy="76953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82671" cy="76953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color w:val="787878"/>
                <w:rtl w:val="0"/>
              </w:rPr>
              <w:br w:type="textWrapping"/>
              <w:t xml:space="preserve">C.R No. 12345, P.O Box: 31861, Doha, Qatar</w:t>
              <w:br w:type="textWrapping"/>
            </w:r>
            <w:r w:rsidDel="00000000" w:rsidR="00000000" w:rsidRPr="00000000">
              <w:rPr>
                <w:rtl w:val="0"/>
              </w:rPr>
              <w:t xml:space="preserve">T: +974 44116544 | E: info@argusshipping.co</w:t>
              <w:br w:type="textWrapping"/>
              <w:t xml:space="preserve">www.argusshipping.co</w:t>
            </w:r>
          </w:p>
        </w:tc>
        <w:tc>
          <w:tcPr/>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right"/>
              <w:rPr/>
            </w:pPr>
            <w:r w:rsidDel="00000000" w:rsidR="00000000" w:rsidRPr="00000000">
              <w:rPr>
                <w:b w:val="1"/>
                <w:bCs w:val="1"/>
                <w:color w:val="786936"/>
                <w:sz w:val="28"/>
                <w:szCs w:val="28"/>
                <w:rtl w:val="0"/>
              </w:rPr>
              <w:t xml:space="preserve">OFFICIAL QUOTATION</w:t>
            </w:r>
            <w:r w:rsidDel="00000000" w:rsidR="00000000" w:rsidRPr="00000000">
              <w:rPr>
                <w:b w:val="1"/>
                <w:bCs w:val="1"/>
                <w:rtl w:val="0"/>
              </w:rPr>
              <w:br w:type="textWrapping"/>
            </w:r>
            <w:r w:rsidDel="00000000" w:rsidR="00000000" w:rsidRPr="00000000">
              <w:rPr>
                <w:rtl w:val="0"/>
              </w:rPr>
              <w:t xml:space="preserve">Date: {DATE}</w:t>
              <w:br w:type="textWrapping"/>
              <w:t xml:space="preserve">Valid Until: {VALIDITY}</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color w:val="b8935a"/>
          <w:sz w:val="18"/>
          <w:szCs w:val="18"/>
          <w:rtl w:val="0"/>
        </w:rPr>
        <w:t xml:space="preserve">PREPARED FOR:</w:t>
      </w:r>
      <w:r w:rsidDel="00000000" w:rsidR="00000000" w:rsidRPr="00000000">
        <w:rPr>
          <w:rtl w:val="0"/>
        </w:rPr>
        <w:br w:type="textWrapping"/>
        <w:t xml:space="preserve">To Whom It May Concern</w:t>
        <w:br w:type="textWrapping"/>
        <w:t xml:space="preserve">Doha, Qatar</w:t>
      </w:r>
      <w:r w:rsidDel="00000000" w:rsidR="00000000" w:rsidRPr="00000000">
        <w:rPr>
          <w:rtl w:val="0"/>
        </w:rPr>
      </w:r>
    </w:p>
    <w:tbl>
      <w:tblPr>
        <w:tblStyle w:val="Table2"/>
        <w:tblW w:w="9645.0" w:type="dxa"/>
        <w:jc w:val="left"/>
        <w:tblInd w:w="-150.0" w:type="dxa"/>
        <w:tblLayout w:type="fixed"/>
        <w:tblLook w:val="0400"/>
      </w:tblPr>
      <w:tblGrid>
        <w:gridCol w:w="720"/>
        <w:gridCol w:w="5040"/>
        <w:gridCol w:w="510"/>
        <w:gridCol w:w="1710"/>
        <w:gridCol w:w="1665"/>
        <w:tblGridChange w:id="0">
          <w:tblGrid>
            <w:gridCol w:w="720"/>
            <w:gridCol w:w="5040"/>
            <w:gridCol w:w="510"/>
            <w:gridCol w:w="1710"/>
            <w:gridCol w:w="1665"/>
          </w:tblGrid>
        </w:tblGridChange>
      </w:tblGrid>
      <w:tr>
        <w:trPr>
          <w:cantSplit w:val="0"/>
          <w:trHeight w:val="400" w:hRule="atLeast"/>
          <w:tblHeader w:val="0"/>
        </w:trPr>
        <w:tc>
          <w:tcPr>
            <w:shd w:fill="40404a" w:val="clear"/>
            <w:tcMar>
              <w:top w:w="100.0" w:type="dxa"/>
              <w:left w:w="150.0" w:type="dxa"/>
              <w:bottom w:w="100.0" w:type="dxa"/>
              <w:right w:w="150.0" w:type="dxa"/>
            </w:tcMar>
          </w:tcPr>
          <w:p w:rsidR="00000000" w:rsidDel="00000000" w:rsidP="00000000" w:rsidRDefault="00000000" w:rsidRPr="00000000" w14:paraId="00000009">
            <w:pPr>
              <w:rPr/>
            </w:pPr>
            <w:r w:rsidDel="00000000" w:rsidR="00000000" w:rsidRPr="00000000">
              <w:rPr>
                <w:rtl w:val="0"/>
              </w:rPr>
            </w:r>
          </w:p>
        </w:tc>
        <w:tc>
          <w:tcPr>
            <w:gridSpan w:val="2"/>
            <w:shd w:fill="40404a" w:val="clear"/>
            <w:tcMar>
              <w:top w:w="100.0" w:type="dxa"/>
              <w:left w:w="150.0" w:type="dxa"/>
              <w:bottom w:w="100.0" w:type="dxa"/>
              <w:right w:w="150.0" w:type="dxa"/>
            </w:tcMar>
          </w:tcPr>
          <w:p w:rsidR="00000000" w:rsidDel="00000000" w:rsidP="00000000" w:rsidRDefault="00000000" w:rsidRPr="00000000" w14:paraId="0000000A">
            <w:pPr>
              <w:jc w:val="center"/>
              <w:rPr/>
            </w:pPr>
            <w:r w:rsidDel="00000000" w:rsidR="00000000" w:rsidRPr="00000000">
              <w:rPr>
                <w:b w:val="1"/>
                <w:bCs w:val="1"/>
                <w:color w:val="ffffff"/>
                <w:sz w:val="17"/>
                <w:szCs w:val="17"/>
                <w:rtl w:val="0"/>
              </w:rPr>
              <w:t xml:space="preserve">DESCRIPTION OF SERVICE</w:t>
            </w:r>
            <w:r w:rsidDel="00000000" w:rsidR="00000000" w:rsidRPr="00000000">
              <w:rPr>
                <w:rtl w:val="0"/>
              </w:rPr>
            </w:r>
          </w:p>
        </w:tc>
        <w:tc>
          <w:tcPr>
            <w:gridSpan w:val="2"/>
            <w:shd w:fill="40404a" w:val="clear"/>
            <w:tcMar>
              <w:top w:w="100.0" w:type="dxa"/>
              <w:left w:w="150.0" w:type="dxa"/>
              <w:bottom w:w="100.0" w:type="dxa"/>
              <w:right w:w="150.0" w:type="dxa"/>
            </w:tcMar>
          </w:tcPr>
          <w:p w:rsidR="00000000" w:rsidDel="00000000" w:rsidP="00000000" w:rsidRDefault="00000000" w:rsidRPr="00000000" w14:paraId="0000000C">
            <w:pPr>
              <w:jc w:val="center"/>
              <w:rPr/>
            </w:pPr>
            <w:r w:rsidDel="00000000" w:rsidR="00000000" w:rsidRPr="00000000">
              <w:rPr>
                <w:b w:val="1"/>
                <w:bCs w:val="1"/>
                <w:color w:val="ffffff"/>
                <w:sz w:val="17"/>
                <w:szCs w:val="17"/>
                <w:rtl w:val="0"/>
              </w:rPr>
              <w:t xml:space="preserve">TOTAL PRICE</w:t>
            </w:r>
            <w:r w:rsidDel="00000000" w:rsidR="00000000" w:rsidRPr="00000000">
              <w:rPr>
                <w:rtl w:val="0"/>
              </w:rPr>
            </w:r>
          </w:p>
        </w:tc>
      </w:tr>
      <w:tr>
        <w:trPr>
          <w:cantSplit w:val="0"/>
          <w:trHeight w:val="400" w:hRule="atLeast"/>
          <w:tblHeader w:val="0"/>
        </w:trPr>
        <w:tc>
          <w:tcP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color w:val="3c3c3c"/>
                <w:sz w:val="19"/>
                <w:szCs w:val="19"/>
                <w:rtl w:val="0"/>
              </w:rPr>
              <w:t xml:space="preserve">1</w:t>
            </w:r>
            <w:r w:rsidDel="00000000" w:rsidR="00000000" w:rsidRPr="00000000">
              <w:rPr>
                <w:rtl w:val="0"/>
              </w:rPr>
            </w:r>
          </w:p>
        </w:tc>
        <w:tc>
          <w:tcPr>
            <w:gridSpan w:val="2"/>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color w:val="3c3c3c"/>
                <w:sz w:val="19"/>
                <w:szCs w:val="19"/>
                <w:rtl w:val="0"/>
              </w:rPr>
              <w:t xml:space="preserve">Ocean Freight - {POL</w:t>
            </w:r>
            <w:r w:rsidDel="00000000" w:rsidR="00000000" w:rsidRPr="00000000">
              <w:rPr>
                <w:sz w:val="19"/>
                <w:szCs w:val="19"/>
                <w:rtl w:val="0"/>
              </w:rPr>
              <w:t xml:space="preserve">} </w:t>
            </w:r>
            <w:r w:rsidDel="00000000" w:rsidR="00000000" w:rsidRPr="00000000">
              <w:rPr>
                <w:color w:val="3c3c3c"/>
                <w:sz w:val="19"/>
                <w:szCs w:val="19"/>
                <w:rtl w:val="0"/>
              </w:rPr>
              <w:t xml:space="preserve">to {POD</w:t>
            </w:r>
            <w:r w:rsidDel="00000000" w:rsidR="00000000" w:rsidRPr="00000000">
              <w:rPr>
                <w:sz w:val="19"/>
                <w:szCs w:val="19"/>
                <w:rtl w:val="0"/>
              </w:rPr>
              <w:t xml:space="preserve">}</w:t>
            </w:r>
            <w:r w:rsidDel="00000000" w:rsidR="00000000" w:rsidRPr="00000000">
              <w:rPr>
                <w:color w:val="3c3c3c"/>
                <w:sz w:val="19"/>
                <w:szCs w:val="19"/>
                <w:rtl w:val="0"/>
              </w:rPr>
              <w:br w:type="textWrapping"/>
              <w:t xml:space="preserve">Route: </w:t>
            </w:r>
            <w:r w:rsidDel="00000000" w:rsidR="00000000" w:rsidRPr="00000000">
              <w:rPr>
                <w:sz w:val="19"/>
                <w:szCs w:val="19"/>
                <w:rtl w:val="0"/>
              </w:rPr>
              <w:t xml:space="preserve">{POD_PCODE}</w:t>
            </w:r>
            <w:r w:rsidDel="00000000" w:rsidR="00000000" w:rsidRPr="00000000">
              <w:rPr>
                <w:color w:val="3c3c3c"/>
                <w:sz w:val="19"/>
                <w:szCs w:val="19"/>
                <w:rtl w:val="0"/>
              </w:rPr>
              <w:t xml:space="preserve"> To {POL</w:t>
            </w:r>
            <w:r w:rsidDel="00000000" w:rsidR="00000000" w:rsidRPr="00000000">
              <w:rPr>
                <w:sz w:val="19"/>
                <w:szCs w:val="19"/>
                <w:rtl w:val="0"/>
              </w:rPr>
              <w:t xml:space="preserve">_PCODE}</w:t>
            </w:r>
            <w:r w:rsidDel="00000000" w:rsidR="00000000" w:rsidRPr="00000000">
              <w:rPr>
                <w:color w:val="3c3c3c"/>
                <w:sz w:val="19"/>
                <w:szCs w:val="19"/>
                <w:rtl w:val="0"/>
              </w:rPr>
              <w:br w:type="textWrapping"/>
              <w:t xml:space="preserve">Commodity:</w:t>
            </w:r>
            <w:r w:rsidDel="00000000" w:rsidR="00000000" w:rsidRPr="00000000">
              <w:rPr>
                <w:sz w:val="19"/>
                <w:szCs w:val="19"/>
                <w:rtl w:val="0"/>
              </w:rPr>
              <w:t xml:space="preserve"> {COMMODITY}</w:t>
            </w:r>
            <w:r w:rsidDel="00000000" w:rsidR="00000000" w:rsidRPr="00000000">
              <w:rPr>
                <w:rtl w:val="0"/>
              </w:rPr>
            </w:r>
          </w:p>
        </w:tc>
        <w:tc>
          <w:tcPr>
            <w:gridSpan w:val="2"/>
            <w:tcMar>
              <w:top w:w="100.0" w:type="dxa"/>
              <w:left w:w="150.0" w:type="dxa"/>
              <w:bottom w:w="100.0" w:type="dxa"/>
              <w:right w:w="150.0" w:type="dxa"/>
            </w:tcMar>
          </w:tcPr>
          <w:p w:rsidR="00000000" w:rsidDel="00000000" w:rsidP="00000000" w:rsidRDefault="00000000" w:rsidRPr="00000000" w14:paraId="00000011">
            <w:pPr>
              <w:jc w:val="center"/>
              <w:rPr/>
            </w:pPr>
            <w:r w:rsidDel="00000000" w:rsidR="00000000" w:rsidRPr="00000000">
              <w:rPr>
                <w:sz w:val="19"/>
                <w:szCs w:val="19"/>
                <w:rtl w:val="0"/>
              </w:rPr>
              <w:t xml:space="preserve">QAR {FREIGHT}</w:t>
            </w:r>
            <w:r w:rsidDel="00000000" w:rsidR="00000000" w:rsidRPr="00000000">
              <w:rPr>
                <w:rtl w:val="0"/>
              </w:rPr>
            </w:r>
          </w:p>
        </w:tc>
      </w:tr>
      <w:tr>
        <w:trPr>
          <w:cantSplit w:val="0"/>
          <w:trHeight w:val="400" w:hRule="atLeast"/>
          <w:tblHeader w:val="0"/>
        </w:trPr>
        <w:tc>
          <w:tcPr>
            <w:shd w:fill="f9fafb"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color w:val="3c3c3c"/>
                <w:sz w:val="19"/>
                <w:szCs w:val="19"/>
                <w:rtl w:val="0"/>
              </w:rPr>
              <w:t xml:space="preserve">2</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color w:val="3c3c3c"/>
                <w:sz w:val="19"/>
                <w:szCs w:val="19"/>
                <w:rtl w:val="0"/>
              </w:rPr>
              <w:t xml:space="preserve">Customs Clearance</w:t>
              <w:br w:type="textWrapping"/>
              <w:t xml:space="preserve">Type: Import Clearance </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tl w:val="0"/>
              </w:rPr>
            </w:r>
          </w:p>
        </w:tc>
        <w:tc>
          <w:tcPr>
            <w:gridSpan w:val="2"/>
            <w:shd w:fill="f9fafb" w:val="clear"/>
            <w:tcMar>
              <w:top w:w="100.0" w:type="dxa"/>
              <w:left w:w="150.0" w:type="dxa"/>
              <w:bottom w:w="100.0" w:type="dxa"/>
              <w:right w:w="150.0" w:type="dxa"/>
            </w:tcMar>
          </w:tcPr>
          <w:p w:rsidR="00000000" w:rsidDel="00000000" w:rsidP="00000000" w:rsidRDefault="00000000" w:rsidRPr="00000000" w14:paraId="00000016">
            <w:pPr>
              <w:jc w:val="center"/>
              <w:rPr/>
            </w:pPr>
            <w:r w:rsidDel="00000000" w:rsidR="00000000" w:rsidRPr="00000000">
              <w:rPr>
                <w:sz w:val="19"/>
                <w:szCs w:val="19"/>
                <w:rtl w:val="0"/>
              </w:rPr>
              <w:t xml:space="preserve">QAR 250.00</w:t>
            </w:r>
            <w:r w:rsidDel="00000000" w:rsidR="00000000" w:rsidRPr="00000000">
              <w:rPr>
                <w:rtl w:val="0"/>
              </w:rPr>
            </w:r>
          </w:p>
        </w:tc>
      </w:tr>
      <w:tr>
        <w:trPr>
          <w:cantSplit w:val="0"/>
          <w:trHeight w:val="400" w:hRule="atLeast"/>
          <w:tblHeader w:val="0"/>
        </w:trPr>
        <w:tc>
          <w:tcP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color w:val="3c3c3c"/>
                <w:sz w:val="19"/>
                <w:szCs w:val="19"/>
                <w:rtl w:val="0"/>
              </w:rPr>
              <w:t xml:space="preserve">3</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color w:val="3c3c3c"/>
                <w:sz w:val="19"/>
                <w:szCs w:val="19"/>
                <w:rtl w:val="0"/>
              </w:rPr>
              <w:t xml:space="preserve">Transportation</w:t>
              <w:br w:type="textWrapping"/>
              <w:t xml:space="preserve">Type: </w:t>
            </w:r>
            <w:r w:rsidDel="00000000" w:rsidR="00000000" w:rsidRPr="00000000">
              <w:rPr>
                <w:sz w:val="19"/>
                <w:szCs w:val="19"/>
                <w:rtl w:val="0"/>
              </w:rPr>
              <w:t xml:space="preserve">{Zone} </w:t>
            </w:r>
            <w:r w:rsidDel="00000000" w:rsidR="00000000" w:rsidRPr="00000000">
              <w:rPr>
                <w:color w:val="3c3c3c"/>
                <w:sz w:val="19"/>
                <w:szCs w:val="19"/>
                <w:rtl w:val="0"/>
              </w:rPr>
              <w:t xml:space="preserve">Delivery</w:t>
            </w:r>
            <w:r w:rsidDel="00000000" w:rsidR="00000000" w:rsidRPr="00000000">
              <w:rPr>
                <w:rtl w:val="0"/>
              </w:rPr>
            </w:r>
          </w:p>
        </w:tc>
        <w:tc>
          <w:tcP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tl w:val="0"/>
              </w:rPr>
            </w:r>
          </w:p>
        </w:tc>
        <w:tc>
          <w:tcPr>
            <w:gridSpan w:val="2"/>
            <w:tcMar>
              <w:top w:w="100.0" w:type="dxa"/>
              <w:left w:w="150.0" w:type="dxa"/>
              <w:bottom w:w="100.0" w:type="dxa"/>
              <w:right w:w="150.0" w:type="dxa"/>
            </w:tcMar>
          </w:tcPr>
          <w:p w:rsidR="00000000" w:rsidDel="00000000" w:rsidP="00000000" w:rsidRDefault="00000000" w:rsidRPr="00000000" w14:paraId="0000001B">
            <w:pPr>
              <w:jc w:val="center"/>
              <w:rPr/>
            </w:pPr>
            <w:r w:rsidDel="00000000" w:rsidR="00000000" w:rsidRPr="00000000">
              <w:rPr>
                <w:sz w:val="19"/>
                <w:szCs w:val="19"/>
                <w:rtl w:val="0"/>
              </w:rPr>
              <w:t xml:space="preserve">QAR {TRANS}</w:t>
            </w:r>
            <w:r w:rsidDel="00000000" w:rsidR="00000000" w:rsidRPr="00000000">
              <w:rPr>
                <w:rtl w:val="0"/>
              </w:rPr>
            </w:r>
          </w:p>
        </w:tc>
      </w:tr>
      <w:tr>
        <w:trPr>
          <w:cantSplit w:val="0"/>
          <w:trHeight w:val="400" w:hRule="atLeast"/>
          <w:tblHeader w:val="0"/>
        </w:trPr>
        <w:tc>
          <w:tcPr>
            <w:shd w:fill="f9fafb"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color w:val="3c3c3c"/>
                <w:sz w:val="19"/>
                <w:szCs w:val="19"/>
                <w:rtl w:val="0"/>
              </w:rPr>
              <w:t xml:space="preserve">4</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color w:val="3c3c3c"/>
                <w:sz w:val="19"/>
                <w:szCs w:val="19"/>
                <w:rtl w:val="0"/>
              </w:rPr>
              <w:t xml:space="preserve">Inspection</w:t>
              <w:br w:type="textWrapping"/>
              <w:t xml:space="preserve">Type: Standard Inspection</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rtl w:val="0"/>
              </w:rPr>
            </w:r>
          </w:p>
        </w:tc>
        <w:tc>
          <w:tcPr>
            <w:gridSpan w:val="2"/>
            <w:shd w:fill="f9fafb" w:val="clear"/>
            <w:tcMar>
              <w:top w:w="100.0" w:type="dxa"/>
              <w:left w:w="150.0" w:type="dxa"/>
              <w:bottom w:w="100.0" w:type="dxa"/>
              <w:right w:w="150.0" w:type="dxa"/>
            </w:tcMar>
          </w:tcPr>
          <w:p w:rsidR="00000000" w:rsidDel="00000000" w:rsidP="00000000" w:rsidRDefault="00000000" w:rsidRPr="00000000" w14:paraId="00000020">
            <w:pPr>
              <w:jc w:val="center"/>
              <w:rPr/>
            </w:pPr>
            <w:r w:rsidDel="00000000" w:rsidR="00000000" w:rsidRPr="00000000">
              <w:rPr>
                <w:sz w:val="19"/>
                <w:szCs w:val="19"/>
                <w:rtl w:val="0"/>
              </w:rPr>
              <w:t xml:space="preserve">QAR 150.00</w:t>
            </w:r>
            <w:r w:rsidDel="00000000" w:rsidR="00000000" w:rsidRPr="00000000">
              <w:rPr>
                <w:rtl w:val="0"/>
              </w:rPr>
            </w:r>
          </w:p>
        </w:tc>
      </w:tr>
      <w:tr>
        <w:trPr>
          <w:cantSplit w:val="0"/>
          <w:trHeight w:val="390" w:hRule="atLeast"/>
          <w:tblHeader w:val="0"/>
        </w:trPr>
        <w:tc>
          <w:tcPr>
            <w:shd w:fill="f9fafb" w:val="clear"/>
            <w:tcMar>
              <w:top w:w="100.0" w:type="dxa"/>
              <w:left w:w="150.0" w:type="dxa"/>
              <w:bottom w:w="100.0" w:type="dxa"/>
              <w:right w:w="150.0" w:type="dxa"/>
            </w:tcMar>
          </w:tcPr>
          <w:p w:rsidR="00000000" w:rsidDel="00000000" w:rsidP="00000000" w:rsidRDefault="00000000" w:rsidRPr="00000000" w14:paraId="00000022">
            <w:pPr>
              <w:rPr>
                <w:color w:val="3c3c3c"/>
                <w:sz w:val="19"/>
                <w:szCs w:val="19"/>
              </w:rPr>
            </w:pPr>
            <w:r w:rsidDel="00000000" w:rsidR="00000000" w:rsidRPr="00000000">
              <w:rPr>
                <w:sz w:val="19"/>
                <w:szCs w:val="19"/>
                <w:rtl w:val="0"/>
              </w:rPr>
              <w:t xml:space="preserve">5</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23">
            <w:pPr>
              <w:rPr>
                <w:color w:val="3c3c3c"/>
                <w:sz w:val="19"/>
                <w:szCs w:val="19"/>
              </w:rPr>
            </w:pPr>
            <w:r w:rsidDel="00000000" w:rsidR="00000000" w:rsidRPr="00000000">
              <w:rPr>
                <w:sz w:val="19"/>
                <w:szCs w:val="19"/>
                <w:rtl w:val="0"/>
              </w:rPr>
              <w:t xml:space="preserve">Customs Duty</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rtl w:val="0"/>
              </w:rPr>
            </w:r>
          </w:p>
        </w:tc>
        <w:tc>
          <w:tcPr>
            <w:gridSpan w:val="2"/>
            <w:shd w:fill="f9fafb" w:val="clear"/>
            <w:tcMar>
              <w:top w:w="100.0" w:type="dxa"/>
              <w:left w:w="150.0" w:type="dxa"/>
              <w:bottom w:w="100.0" w:type="dxa"/>
              <w:right w:w="150.0" w:type="dxa"/>
            </w:tcMar>
          </w:tcPr>
          <w:p w:rsidR="00000000" w:rsidDel="00000000" w:rsidP="00000000" w:rsidRDefault="00000000" w:rsidRPr="00000000" w14:paraId="00000025">
            <w:pPr>
              <w:jc w:val="center"/>
              <w:rPr>
                <w:color w:val="3c3c3c"/>
                <w:sz w:val="19"/>
                <w:szCs w:val="19"/>
              </w:rPr>
            </w:pPr>
            <w:r w:rsidDel="00000000" w:rsidR="00000000" w:rsidRPr="00000000">
              <w:rPr>
                <w:sz w:val="19"/>
                <w:szCs w:val="19"/>
                <w:rtl w:val="0"/>
              </w:rPr>
              <w:t xml:space="preserve">AT ACTUALS</w:t>
            </w:r>
            <w:r w:rsidDel="00000000" w:rsidR="00000000" w:rsidRPr="00000000">
              <w:rPr>
                <w:rtl w:val="0"/>
              </w:rPr>
            </w:r>
          </w:p>
        </w:tc>
      </w:tr>
      <w:tr>
        <w:trPr>
          <w:cantSplit w:val="0"/>
          <w:trHeight w:val="390" w:hRule="atLeast"/>
          <w:tblHeader w:val="0"/>
        </w:trPr>
        <w:tc>
          <w:tcPr>
            <w:shd w:fill="f9fafb" w:val="clear"/>
            <w:tcMar>
              <w:top w:w="100.0" w:type="dxa"/>
              <w:left w:w="150.0" w:type="dxa"/>
              <w:bottom w:w="100.0" w:type="dxa"/>
              <w:right w:w="150.0" w:type="dxa"/>
            </w:tcMar>
          </w:tcPr>
          <w:p w:rsidR="00000000" w:rsidDel="00000000" w:rsidP="00000000" w:rsidRDefault="00000000" w:rsidRPr="00000000" w14:paraId="00000027">
            <w:pPr>
              <w:rPr>
                <w:color w:val="3c3c3c"/>
                <w:sz w:val="19"/>
                <w:szCs w:val="19"/>
              </w:rPr>
            </w:pPr>
            <w:r w:rsidDel="00000000" w:rsidR="00000000" w:rsidRPr="00000000">
              <w:rPr>
                <w:sz w:val="19"/>
                <w:szCs w:val="19"/>
                <w:rtl w:val="0"/>
              </w:rPr>
              <w:t xml:space="preserve">6</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28">
            <w:pPr>
              <w:rPr>
                <w:color w:val="3c3c3c"/>
                <w:sz w:val="19"/>
                <w:szCs w:val="19"/>
              </w:rPr>
            </w:pPr>
            <w:r w:rsidDel="00000000" w:rsidR="00000000" w:rsidRPr="00000000">
              <w:rPr>
                <w:sz w:val="19"/>
                <w:szCs w:val="19"/>
                <w:rtl w:val="0"/>
              </w:rPr>
              <w:t xml:space="preserve">QAS Charges</w:t>
            </w:r>
            <w:r w:rsidDel="00000000" w:rsidR="00000000" w:rsidRPr="00000000">
              <w:rPr>
                <w:rtl w:val="0"/>
              </w:rPr>
            </w:r>
          </w:p>
        </w:tc>
        <w:tc>
          <w:tcPr>
            <w:shd w:fill="f9fafb"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rtl w:val="0"/>
              </w:rPr>
            </w:r>
          </w:p>
        </w:tc>
        <w:tc>
          <w:tcPr>
            <w:gridSpan w:val="2"/>
            <w:shd w:fill="f9fafb" w:val="clear"/>
            <w:tcMar>
              <w:top w:w="100.0" w:type="dxa"/>
              <w:left w:w="150.0" w:type="dxa"/>
              <w:bottom w:w="100.0" w:type="dxa"/>
              <w:right w:w="150.0" w:type="dxa"/>
            </w:tcMar>
          </w:tcPr>
          <w:p w:rsidR="00000000" w:rsidDel="00000000" w:rsidP="00000000" w:rsidRDefault="00000000" w:rsidRPr="00000000" w14:paraId="0000002A">
            <w:pPr>
              <w:jc w:val="center"/>
              <w:rPr>
                <w:color w:val="3c3c3c"/>
                <w:sz w:val="19"/>
                <w:szCs w:val="19"/>
              </w:rPr>
            </w:pPr>
            <w:r w:rsidDel="00000000" w:rsidR="00000000" w:rsidRPr="00000000">
              <w:rPr>
                <w:sz w:val="19"/>
                <w:szCs w:val="19"/>
                <w:rtl w:val="0"/>
              </w:rPr>
              <w:t xml:space="preserve">AT ACTUALS</w:t>
            </w:r>
            <w:r w:rsidDel="00000000" w:rsidR="00000000" w:rsidRPr="00000000">
              <w:rPr>
                <w:rtl w:val="0"/>
              </w:rPr>
            </w:r>
          </w:p>
        </w:tc>
      </w:tr>
      <w:tr>
        <w:trPr>
          <w:cantSplit w:val="0"/>
          <w:trHeight w:val="390" w:hRule="atLeast"/>
          <w:tblHeader w:val="0"/>
        </w:trPr>
        <w:tc>
          <w:tcPr>
            <w:shd w:fill="f9fafb" w:val="clear"/>
            <w:tcMar>
              <w:top w:w="100.0" w:type="dxa"/>
              <w:left w:w="150.0" w:type="dxa"/>
              <w:bottom w:w="100.0" w:type="dxa"/>
              <w:right w:w="150.0" w:type="dxa"/>
            </w:tcMar>
          </w:tcPr>
          <w:p w:rsidR="00000000" w:rsidDel="00000000" w:rsidP="00000000" w:rsidRDefault="00000000" w:rsidRPr="00000000" w14:paraId="0000002C">
            <w:pPr>
              <w:rPr>
                <w:sz w:val="19"/>
                <w:szCs w:val="19"/>
              </w:rPr>
            </w:pPr>
            <w:r w:rsidDel="00000000" w:rsidR="00000000" w:rsidRPr="00000000">
              <w:rPr>
                <w:sz w:val="19"/>
                <w:szCs w:val="19"/>
                <w:rtl w:val="0"/>
              </w:rPr>
              <w:t xml:space="preserve">7</w:t>
            </w:r>
          </w:p>
        </w:tc>
        <w:tc>
          <w:tcPr>
            <w:shd w:fill="f9fafb" w:val="clear"/>
            <w:tcMar>
              <w:top w:w="100.0" w:type="dxa"/>
              <w:left w:w="150.0" w:type="dxa"/>
              <w:bottom w:w="100.0" w:type="dxa"/>
              <w:right w:w="150.0" w:type="dxa"/>
            </w:tcMar>
          </w:tcPr>
          <w:p w:rsidR="00000000" w:rsidDel="00000000" w:rsidP="00000000" w:rsidRDefault="00000000" w:rsidRPr="00000000" w14:paraId="0000002D">
            <w:pPr>
              <w:rPr>
                <w:sz w:val="19"/>
                <w:szCs w:val="19"/>
              </w:rPr>
            </w:pPr>
            <w:r w:rsidDel="00000000" w:rsidR="00000000" w:rsidRPr="00000000">
              <w:rPr>
                <w:sz w:val="19"/>
                <w:szCs w:val="19"/>
                <w:rtl w:val="0"/>
              </w:rPr>
              <w:t xml:space="preserve">Local port charges at Hamad port</w:t>
            </w:r>
          </w:p>
        </w:tc>
        <w:tc>
          <w:tcPr>
            <w:shd w:fill="f9fafb" w:val="clea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rtl w:val="0"/>
              </w:rPr>
            </w:r>
          </w:p>
        </w:tc>
        <w:tc>
          <w:tcPr>
            <w:gridSpan w:val="2"/>
            <w:shd w:fill="f9fafb" w:val="clear"/>
            <w:tcMar>
              <w:top w:w="100.0" w:type="dxa"/>
              <w:left w:w="150.0" w:type="dxa"/>
              <w:bottom w:w="100.0" w:type="dxa"/>
              <w:right w:w="150.0" w:type="dxa"/>
            </w:tcMar>
          </w:tcPr>
          <w:p w:rsidR="00000000" w:rsidDel="00000000" w:rsidP="00000000" w:rsidRDefault="00000000" w:rsidRPr="00000000" w14:paraId="0000002F">
            <w:pPr>
              <w:jc w:val="center"/>
              <w:rPr>
                <w:sz w:val="19"/>
                <w:szCs w:val="19"/>
              </w:rPr>
            </w:pPr>
            <w:r w:rsidDel="00000000" w:rsidR="00000000" w:rsidRPr="00000000">
              <w:rPr>
                <w:sz w:val="19"/>
                <w:szCs w:val="19"/>
                <w:rtl w:val="0"/>
              </w:rPr>
              <w:t xml:space="preserve">AT ACTUALS</w:t>
            </w:r>
          </w:p>
        </w:tc>
      </w:tr>
      <w:tr>
        <w:trPr>
          <w:cantSplit w:val="0"/>
          <w:trHeight w:val="400" w:hRule="atLeast"/>
          <w:tblHeader w:val="0"/>
        </w:trPr>
        <w:tc>
          <w:tcPr>
            <w:gridSpan w:val="3"/>
            <w:shd w:fill="40404a" w:val="clear"/>
            <w:tcMar>
              <w:top w:w="100.0" w:type="dxa"/>
              <w:left w:w="150.0" w:type="dxa"/>
              <w:bottom w:w="100.0" w:type="dxa"/>
              <w:right w:w="150.0" w:type="dxa"/>
            </w:tcMar>
          </w:tcPr>
          <w:p w:rsidR="00000000" w:rsidDel="00000000" w:rsidP="00000000" w:rsidRDefault="00000000" w:rsidRPr="00000000" w14:paraId="00000031">
            <w:pPr>
              <w:jc w:val="center"/>
              <w:rPr>
                <w:b w:val="1"/>
                <w:bCs w:val="1"/>
                <w:color w:val="ffffff"/>
                <w:sz w:val="19"/>
                <w:szCs w:val="19"/>
              </w:rPr>
            </w:pPr>
            <w:r w:rsidDel="00000000" w:rsidR="00000000" w:rsidRPr="00000000">
              <w:rPr>
                <w:b w:val="1"/>
                <w:bCs w:val="1"/>
                <w:color w:val="ffffff"/>
                <w:sz w:val="19"/>
                <w:szCs w:val="19"/>
                <w:rtl w:val="0"/>
              </w:rPr>
              <w:t xml:space="preserve">TOTAL PRICE </w:t>
            </w:r>
          </w:p>
        </w:tc>
        <w:tc>
          <w:tcPr>
            <w:gridSpan w:val="2"/>
            <w:shd w:fill="f9fafb" w:val="clear"/>
            <w:tcMar>
              <w:top w:w="100.0" w:type="dxa"/>
              <w:left w:w="150.0" w:type="dxa"/>
              <w:bottom w:w="100.0" w:type="dxa"/>
              <w:right w:w="150.0" w:type="dxa"/>
            </w:tcMar>
          </w:tcPr>
          <w:p w:rsidR="00000000" w:rsidDel="00000000" w:rsidP="00000000" w:rsidRDefault="00000000" w:rsidRPr="00000000" w14:paraId="00000034">
            <w:pPr>
              <w:jc w:val="center"/>
              <w:rPr>
                <w:sz w:val="19"/>
                <w:szCs w:val="19"/>
              </w:rPr>
            </w:pPr>
            <w:r w:rsidDel="00000000" w:rsidR="00000000" w:rsidRPr="00000000">
              <w:rPr>
                <w:sz w:val="19"/>
                <w:szCs w:val="19"/>
                <w:rtl w:val="0"/>
              </w:rPr>
              <w:t xml:space="preserve">{400+TRANS+FREIGHT} + DUTY</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color w:val="b8935a"/>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color w:val="b8935a"/>
          <w:rtl w:val="0"/>
        </w:rPr>
        <w:t xml:space="preserve">IMPORTANT NOTICE: </w:t>
      </w:r>
      <w:r w:rsidDel="00000000" w:rsidR="00000000" w:rsidRPr="00000000">
        <w:rPr>
          <w:sz w:val="18"/>
          <w:szCs w:val="18"/>
          <w:rtl w:val="0"/>
        </w:rPr>
        <w:t xml:space="preserve">Shipping line charges, port charges, and customs duties will be charged at actuals as per Bayan. Rates are valid for general cargo only. If any HS code requires special approval, the consignee must arrange it.</w:t>
      </w:r>
      <w:r w:rsidDel="00000000" w:rsidR="00000000" w:rsidRPr="00000000">
        <w:rPr>
          <w:rtl w:val="0"/>
        </w:rPr>
      </w:r>
    </w:p>
    <w:p w:rsidR="00000000" w:rsidDel="00000000" w:rsidP="00000000" w:rsidRDefault="00000000" w:rsidRPr="00000000" w14:paraId="0000003B">
      <w:pPr>
        <w:rPr>
          <w:rFonts w:ascii="Arial" w:cs="Arial" w:eastAsia="Arial" w:hAnsi="Arial"/>
          <w:color w:val="222222"/>
        </w:rPr>
      </w:pPr>
      <w:r w:rsidDel="00000000" w:rsidR="00000000" w:rsidRPr="00000000">
        <w:rPr>
          <w:rFonts w:ascii="Arial" w:cs="Arial" w:eastAsia="Arial" w:hAnsi="Arial"/>
          <w:b w:val="1"/>
          <w:bCs w:val="1"/>
          <w:color w:val="786936"/>
          <w:sz w:val="22"/>
          <w:szCs w:val="22"/>
          <w:rtl w:val="0"/>
        </w:rPr>
        <w:t xml:space="preserve">1. General Terms</w:t>
      </w:r>
      <w:r w:rsidDel="00000000" w:rsidR="00000000" w:rsidRPr="00000000">
        <w:rPr>
          <w:rtl w:val="0"/>
        </w:rPr>
      </w:r>
    </w:p>
    <w:p w:rsidR="00000000" w:rsidDel="00000000" w:rsidP="00000000" w:rsidRDefault="00000000" w:rsidRPr="00000000" w14:paraId="0000003C">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Rate Validity &amp; Variations:</w:t>
      </w:r>
      <w:r w:rsidDel="00000000" w:rsidR="00000000" w:rsidRPr="00000000">
        <w:rPr>
          <w:rFonts w:ascii="Arial" w:cs="Arial" w:eastAsia="Arial" w:hAnsi="Arial"/>
          <w:color w:val="222222"/>
          <w:rtl w:val="0"/>
        </w:rPr>
        <w:t xml:space="preserve"> Quoted rates are strictly valid until {VALIDITY}. Rates are subject to market variations and fluctuations without prior notice.</w:t>
      </w:r>
    </w:p>
    <w:p w:rsidR="00000000" w:rsidDel="00000000" w:rsidP="00000000" w:rsidRDefault="00000000" w:rsidRPr="00000000" w14:paraId="0000003D">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Booking Notice:</w:t>
      </w:r>
      <w:r w:rsidDel="00000000" w:rsidR="00000000" w:rsidRPr="00000000">
        <w:rPr>
          <w:rFonts w:ascii="Arial" w:cs="Arial" w:eastAsia="Arial" w:hAnsi="Arial"/>
          <w:color w:val="222222"/>
          <w:rtl w:val="0"/>
        </w:rPr>
        <w:t xml:space="preserve"> All bookings are subject to the availability of carrier space and equipment. A minimum of a two-week advance booking is required to secure space allocations.</w:t>
      </w:r>
    </w:p>
    <w:p w:rsidR="00000000" w:rsidDel="00000000" w:rsidP="00000000" w:rsidRDefault="00000000" w:rsidRPr="00000000" w14:paraId="0000003E">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Accuracy of Details:</w:t>
      </w:r>
      <w:r w:rsidDel="00000000" w:rsidR="00000000" w:rsidRPr="00000000">
        <w:rPr>
          <w:rFonts w:ascii="Arial" w:cs="Arial" w:eastAsia="Arial" w:hAnsi="Arial"/>
          <w:color w:val="222222"/>
          <w:rtl w:val="0"/>
        </w:rPr>
        <w:t xml:space="preserve"> Clients must carefully review all details listed in the quotation. Any discrepancies or objections must be formally communicated and resolved before booking confirmation.</w:t>
      </w:r>
    </w:p>
    <w:p w:rsidR="00000000" w:rsidDel="00000000" w:rsidP="00000000" w:rsidRDefault="00000000" w:rsidRPr="00000000" w14:paraId="0000003F">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Quote Scope:</w:t>
      </w:r>
      <w:r w:rsidDel="00000000" w:rsidR="00000000" w:rsidRPr="00000000">
        <w:rPr>
          <w:rFonts w:ascii="Arial" w:cs="Arial" w:eastAsia="Arial" w:hAnsi="Arial"/>
          <w:color w:val="222222"/>
          <w:rtl w:val="0"/>
        </w:rPr>
        <w:t xml:space="preserve"> The quoted rates explicitly exclude any services, fees, or surcharges not specifically itemized herein.</w:t>
      </w:r>
    </w:p>
    <w:p w:rsidR="00000000" w:rsidDel="00000000" w:rsidP="00000000" w:rsidRDefault="00000000" w:rsidRPr="00000000" w14:paraId="00000040">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Incidental &amp; Unforeseen Costs:</w:t>
      </w:r>
      <w:r w:rsidDel="00000000" w:rsidR="00000000" w:rsidRPr="00000000">
        <w:rPr>
          <w:rFonts w:ascii="Arial" w:cs="Arial" w:eastAsia="Arial" w:hAnsi="Arial"/>
          <w:color w:val="222222"/>
          <w:rtl w:val="0"/>
        </w:rPr>
        <w:t xml:space="preserve"> Any incidental, unexpected, or unforeseen charges arising at either the origin or destination will be communicated transparently and billed additionally at actual cost.</w:t>
      </w:r>
    </w:p>
    <w:p w:rsidR="00000000" w:rsidDel="00000000" w:rsidP="00000000" w:rsidRDefault="00000000" w:rsidRPr="00000000" w14:paraId="00000041">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Cargo Specifications:</w:t>
      </w:r>
      <w:r w:rsidDel="00000000" w:rsidR="00000000" w:rsidRPr="00000000">
        <w:rPr>
          <w:rFonts w:ascii="Arial" w:cs="Arial" w:eastAsia="Arial" w:hAnsi="Arial"/>
          <w:color w:val="222222"/>
          <w:rtl w:val="0"/>
        </w:rPr>
        <w:t xml:space="preserve"> Unless otherwise explicitly specified, all rates are based on standard legal weight limits and Non-Hazardous (Non-DG) cargo.</w:t>
      </w:r>
    </w:p>
    <w:p w:rsidR="00000000" w:rsidDel="00000000" w:rsidP="00000000" w:rsidRDefault="00000000" w:rsidRPr="00000000" w14:paraId="00000042">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Packing &amp; Shipper Responsibility:</w:t>
      </w:r>
      <w:r w:rsidDel="00000000" w:rsidR="00000000" w:rsidRPr="00000000">
        <w:rPr>
          <w:rFonts w:ascii="Arial" w:cs="Arial" w:eastAsia="Arial" w:hAnsi="Arial"/>
          <w:color w:val="222222"/>
          <w:rtl w:val="0"/>
        </w:rPr>
        <w:t xml:space="preserve"> The shipper is solely responsible for ensuring all cargo is packed to standard export and seaworthy specifications. The shipper must explicitly declare and properly mark any non-stackable, fragile, or Dangerous Goods (DG).</w:t>
      </w:r>
    </w:p>
    <w:p w:rsidR="00000000" w:rsidDel="00000000" w:rsidP="00000000" w:rsidRDefault="00000000" w:rsidRPr="00000000" w14:paraId="00000043">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Scope of Service:</w:t>
      </w:r>
      <w:r w:rsidDel="00000000" w:rsidR="00000000" w:rsidRPr="00000000">
        <w:rPr>
          <w:rFonts w:ascii="Arial" w:cs="Arial" w:eastAsia="Arial" w:hAnsi="Arial"/>
          <w:color w:val="222222"/>
          <w:rtl w:val="0"/>
        </w:rPr>
        <w:t xml:space="preserve"> Cargo loading and unloading operations at either the shipper's or the consignee’s premises are strictly outside our operational scope.</w:t>
      </w:r>
    </w:p>
    <w:p w:rsidR="00000000" w:rsidDel="00000000" w:rsidP="00000000" w:rsidRDefault="00000000" w:rsidRPr="00000000" w14:paraId="00000044">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Transit Time Estimates:</w:t>
      </w:r>
      <w:r w:rsidDel="00000000" w:rsidR="00000000" w:rsidRPr="00000000">
        <w:rPr>
          <w:rFonts w:ascii="Arial" w:cs="Arial" w:eastAsia="Arial" w:hAnsi="Arial"/>
          <w:color w:val="222222"/>
          <w:rtl w:val="0"/>
        </w:rPr>
        <w:t xml:space="preserve"> Provided transit times are purely indicative estimates and do not constitute a guarantee. Exact transit times are specified and confirmed by the respective carriers only at the time of vessel/aircraft departure.</w:t>
      </w:r>
    </w:p>
    <w:p w:rsidR="00000000" w:rsidDel="00000000" w:rsidP="00000000" w:rsidRDefault="00000000" w:rsidRPr="00000000" w14:paraId="00000045">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Cargo Insurance:</w:t>
      </w:r>
      <w:r w:rsidDel="00000000" w:rsidR="00000000" w:rsidRPr="00000000">
        <w:rPr>
          <w:rFonts w:ascii="Arial" w:cs="Arial" w:eastAsia="Arial" w:hAnsi="Arial"/>
          <w:color w:val="222222"/>
          <w:rtl w:val="0"/>
        </w:rPr>
        <w:t xml:space="preserve"> Cargo insurance is excluded from standard rates. Insurance coverage can be arranged upon explicit written request, subject to additional premium charges.</w:t>
      </w:r>
    </w:p>
    <w:p w:rsidR="00000000" w:rsidDel="00000000" w:rsidP="00000000" w:rsidRDefault="00000000" w:rsidRPr="00000000" w14:paraId="00000046">
      <w:pPr>
        <w:numPr>
          <w:ilvl w:val="0"/>
          <w:numId w:val="1"/>
        </w:numPr>
        <w:spacing w:after="60" w:lineRule="auto"/>
        <w:ind w:left="360"/>
        <w:rPr>
          <w:color w:val="222222"/>
        </w:rPr>
      </w:pPr>
      <w:r w:rsidDel="00000000" w:rsidR="00000000" w:rsidRPr="00000000">
        <w:rPr>
          <w:rFonts w:ascii="Arial" w:cs="Arial" w:eastAsia="Arial" w:hAnsi="Arial"/>
          <w:b w:val="1"/>
          <w:bCs w:val="1"/>
          <w:color w:val="222222"/>
          <w:rtl w:val="0"/>
        </w:rPr>
        <w:t xml:space="preserve">Payment Terms:</w:t>
      </w:r>
      <w:r w:rsidDel="00000000" w:rsidR="00000000" w:rsidRPr="00000000">
        <w:rPr>
          <w:rFonts w:ascii="Arial" w:cs="Arial" w:eastAsia="Arial" w:hAnsi="Arial"/>
          <w:color w:val="222222"/>
          <w:rtl w:val="0"/>
        </w:rPr>
        <w:t xml:space="preserve"> Settlement must be executed strictly in accordance with previously agreed-upon credit or payment terms.</w:t>
      </w:r>
    </w:p>
    <w:p w:rsidR="00000000" w:rsidDel="00000000" w:rsidP="00000000" w:rsidRDefault="00000000" w:rsidRPr="00000000" w14:paraId="00000047">
      <w:pPr>
        <w:rPr>
          <w:rFonts w:ascii="Arial" w:cs="Arial" w:eastAsia="Arial" w:hAnsi="Arial"/>
          <w:color w:val="222222"/>
        </w:rPr>
      </w:pPr>
      <w:r w:rsidDel="00000000" w:rsidR="00000000" w:rsidRPr="00000000">
        <w:rPr>
          <w:rFonts w:ascii="Arial" w:cs="Arial" w:eastAsia="Arial" w:hAnsi="Arial"/>
          <w:b w:val="1"/>
          <w:bCs w:val="1"/>
          <w:color w:val="786936"/>
          <w:sz w:val="22"/>
          <w:szCs w:val="22"/>
          <w:rtl w:val="0"/>
        </w:rPr>
        <w:t xml:space="preserve">2. Sea Freight Terms</w:t>
      </w:r>
      <w:r w:rsidDel="00000000" w:rsidR="00000000" w:rsidRPr="00000000">
        <w:rPr>
          <w:rtl w:val="0"/>
        </w:rPr>
      </w:r>
    </w:p>
    <w:p w:rsidR="00000000" w:rsidDel="00000000" w:rsidP="00000000" w:rsidRDefault="00000000" w:rsidRPr="00000000" w14:paraId="00000048">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Incoterms Basis:</w:t>
      </w:r>
      <w:r w:rsidDel="00000000" w:rsidR="00000000" w:rsidRPr="00000000">
        <w:rPr>
          <w:rFonts w:ascii="Arial" w:cs="Arial" w:eastAsia="Arial" w:hAnsi="Arial"/>
          <w:color w:val="222222"/>
          <w:rtl w:val="0"/>
        </w:rPr>
        <w:t xml:space="preserve"> All ocean freight rates are quoted on an FOB (Free on Board) basis unless specified otherwise.</w:t>
      </w:r>
    </w:p>
    <w:p w:rsidR="00000000" w:rsidDel="00000000" w:rsidP="00000000" w:rsidRDefault="00000000" w:rsidRPr="00000000" w14:paraId="00000049">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Local Fees &amp; Duties:</w:t>
      </w:r>
      <w:r w:rsidDel="00000000" w:rsidR="00000000" w:rsidRPr="00000000">
        <w:rPr>
          <w:rFonts w:ascii="Arial" w:cs="Arial" w:eastAsia="Arial" w:hAnsi="Arial"/>
          <w:color w:val="222222"/>
          <w:rtl w:val="0"/>
        </w:rPr>
        <w:t xml:space="preserve"> Rates are subject to local destination/origin charges. Customs duties, port charges, and shipping line terminal fees will be billed at actual cost.</w:t>
      </w:r>
    </w:p>
    <w:p w:rsidR="00000000" w:rsidDel="00000000" w:rsidP="00000000" w:rsidRDefault="00000000" w:rsidRPr="00000000" w14:paraId="0000004A">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Documentation Fees:</w:t>
      </w:r>
      <w:r w:rsidDel="00000000" w:rsidR="00000000" w:rsidRPr="00000000">
        <w:rPr>
          <w:rFonts w:ascii="Arial" w:cs="Arial" w:eastAsia="Arial" w:hAnsi="Arial"/>
          <w:color w:val="222222"/>
          <w:rtl w:val="0"/>
        </w:rPr>
        <w:t xml:space="preserve"> Standard Bill of Lading (B/L) exchange fees apply to all maritime shipments.</w:t>
      </w:r>
    </w:p>
    <w:p w:rsidR="00000000" w:rsidDel="00000000" w:rsidP="00000000" w:rsidRDefault="00000000" w:rsidRPr="00000000" w14:paraId="0000004B">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War Risk &amp; Emergency Surcharges:</w:t>
      </w:r>
      <w:r w:rsidDel="00000000" w:rsidR="00000000" w:rsidRPr="00000000">
        <w:rPr>
          <w:rFonts w:ascii="Arial" w:cs="Arial" w:eastAsia="Arial" w:hAnsi="Arial"/>
          <w:color w:val="222222"/>
          <w:rtl w:val="0"/>
        </w:rPr>
        <w:t xml:space="preserve"> Rates explicitly exclude War Risk Surcharges (WRS) and any emergency operational surcharges imposed arbitrarily by shipping lines.</w:t>
      </w:r>
    </w:p>
    <w:p w:rsidR="00000000" w:rsidDel="00000000" w:rsidP="00000000" w:rsidRDefault="00000000" w:rsidRPr="00000000" w14:paraId="0000004C">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Regional Crisis &amp; Rerouting:</w:t>
      </w:r>
      <w:r w:rsidDel="00000000" w:rsidR="00000000" w:rsidRPr="00000000">
        <w:rPr>
          <w:rFonts w:ascii="Arial" w:cs="Arial" w:eastAsia="Arial" w:hAnsi="Arial"/>
          <w:color w:val="222222"/>
          <w:rtl w:val="0"/>
        </w:rPr>
        <w:t xml:space="preserve"> Due to ongoing geopolitical and regional maritime volatility, carriers reserve the right to reroute vessels.</w:t>
      </w:r>
    </w:p>
    <w:p w:rsidR="00000000" w:rsidDel="00000000" w:rsidP="00000000" w:rsidRDefault="00000000" w:rsidRPr="00000000" w14:paraId="0000004D">
      <w:pPr>
        <w:numPr>
          <w:ilvl w:val="0"/>
          <w:numId w:val="1"/>
        </w:numPr>
        <w:spacing w:after="60" w:lineRule="auto"/>
        <w:ind w:left="360"/>
        <w:rPr>
          <w:color w:val="222222"/>
        </w:rPr>
      </w:pPr>
      <w:r w:rsidDel="00000000" w:rsidR="00000000" w:rsidRPr="00000000">
        <w:rPr>
          <w:rFonts w:ascii="Arial" w:cs="Arial" w:eastAsia="Arial" w:hAnsi="Arial"/>
          <w:b w:val="1"/>
          <w:bCs w:val="1"/>
          <w:color w:val="222222"/>
          <w:rtl w:val="0"/>
        </w:rPr>
        <w:t xml:space="preserve">Contingency Port Discharge:</w:t>
      </w:r>
      <w:r w:rsidDel="00000000" w:rsidR="00000000" w:rsidRPr="00000000">
        <w:rPr>
          <w:rFonts w:ascii="Arial" w:cs="Arial" w:eastAsia="Arial" w:hAnsi="Arial"/>
          <w:color w:val="222222"/>
          <w:rtl w:val="0"/>
        </w:rPr>
        <w:t xml:space="preserve"> In the event of a forced end-of-voyage or cargo discharge at an alternate contingency port, the consignee assumes full liability for all resulting secondary transport, storage, and handling costs.</w:t>
      </w:r>
    </w:p>
    <w:p w:rsidR="00000000" w:rsidDel="00000000" w:rsidP="00000000" w:rsidRDefault="00000000" w:rsidRPr="00000000" w14:paraId="0000004E">
      <w:pPr>
        <w:spacing w:after="6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004F">
      <w:pPr>
        <w:rPr>
          <w:rFonts w:ascii="Arial" w:cs="Arial" w:eastAsia="Arial" w:hAnsi="Arial"/>
          <w:b w:val="1"/>
          <w:bCs w:val="1"/>
          <w:color w:val="786936"/>
          <w:sz w:val="22"/>
          <w:szCs w:val="22"/>
        </w:rPr>
      </w:pPr>
      <w:r w:rsidDel="00000000" w:rsidR="00000000" w:rsidRPr="00000000">
        <w:rPr>
          <w:rFonts w:ascii="Arial" w:cs="Arial" w:eastAsia="Arial" w:hAnsi="Arial"/>
          <w:b w:val="1"/>
          <w:bCs w:val="1"/>
          <w:color w:val="786936"/>
          <w:sz w:val="22"/>
          <w:szCs w:val="22"/>
          <w:rtl w:val="0"/>
        </w:rPr>
        <w:t xml:space="preserve">3. Air Freight Terms</w:t>
      </w:r>
    </w:p>
    <w:p w:rsidR="00000000" w:rsidDel="00000000" w:rsidP="00000000" w:rsidRDefault="00000000" w:rsidRPr="00000000" w14:paraId="00000050">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Incoterms Basis:</w:t>
      </w:r>
      <w:r w:rsidDel="00000000" w:rsidR="00000000" w:rsidRPr="00000000">
        <w:rPr>
          <w:rFonts w:ascii="Arial" w:cs="Arial" w:eastAsia="Arial" w:hAnsi="Arial"/>
          <w:color w:val="222222"/>
          <w:rtl w:val="0"/>
        </w:rPr>
        <w:t xml:space="preserve"> All air freight rates are quoted strictly on an Ex-Works (EXW) basis unless specified otherwise.</w:t>
      </w:r>
    </w:p>
    <w:p w:rsidR="00000000" w:rsidDel="00000000" w:rsidP="00000000" w:rsidRDefault="00000000" w:rsidRPr="00000000" w14:paraId="00000051">
      <w:pPr>
        <w:numPr>
          <w:ilvl w:val="0"/>
          <w:numId w:val="1"/>
        </w:numPr>
        <w:spacing w:after="60" w:lineRule="auto"/>
        <w:ind w:left="360"/>
        <w:rPr>
          <w:color w:val="222222"/>
        </w:rPr>
      </w:pPr>
      <w:r w:rsidDel="00000000" w:rsidR="00000000" w:rsidRPr="00000000">
        <w:rPr>
          <w:rFonts w:ascii="Arial" w:cs="Arial" w:eastAsia="Arial" w:hAnsi="Arial"/>
          <w:b w:val="1"/>
          <w:bCs w:val="1"/>
          <w:color w:val="222222"/>
          <w:rtl w:val="0"/>
        </w:rPr>
        <w:t xml:space="preserve">Export Documentation:</w:t>
      </w:r>
      <w:r w:rsidDel="00000000" w:rsidR="00000000" w:rsidRPr="00000000">
        <w:rPr>
          <w:rFonts w:ascii="Arial" w:cs="Arial" w:eastAsia="Arial" w:hAnsi="Arial"/>
          <w:color w:val="222222"/>
          <w:rtl w:val="0"/>
        </w:rPr>
        <w:t xml:space="preserve"> The shipper is solely responsible for procuring and executing all mandatory export compliance documentation, including the generation of the initial Certificate of Origin (COO).</w:t>
      </w:r>
    </w:p>
    <w:p w:rsidR="00000000" w:rsidDel="00000000" w:rsidP="00000000" w:rsidRDefault="00000000" w:rsidRPr="00000000" w14:paraId="00000052">
      <w:pPr>
        <w:rPr>
          <w:rFonts w:ascii="Arial" w:cs="Arial" w:eastAsia="Arial" w:hAnsi="Arial"/>
          <w:color w:val="222222"/>
        </w:rPr>
      </w:pPr>
      <w:r w:rsidDel="00000000" w:rsidR="00000000" w:rsidRPr="00000000">
        <w:rPr>
          <w:rFonts w:ascii="Arial" w:cs="Arial" w:eastAsia="Arial" w:hAnsi="Arial"/>
          <w:b w:val="1"/>
          <w:bCs w:val="1"/>
          <w:color w:val="786936"/>
          <w:sz w:val="22"/>
          <w:szCs w:val="22"/>
          <w:rtl w:val="0"/>
        </w:rPr>
        <w:t xml:space="preserve">4. Customs &amp; Compliance Terms</w:t>
      </w:r>
      <w:r w:rsidDel="00000000" w:rsidR="00000000" w:rsidRPr="00000000">
        <w:rPr>
          <w:rtl w:val="0"/>
        </w:rPr>
      </w:r>
    </w:p>
    <w:p w:rsidR="00000000" w:rsidDel="00000000" w:rsidP="00000000" w:rsidRDefault="00000000" w:rsidRPr="00000000" w14:paraId="00000053">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Palletization Mandate:</w:t>
      </w:r>
      <w:r w:rsidDel="00000000" w:rsidR="00000000" w:rsidRPr="00000000">
        <w:rPr>
          <w:rFonts w:ascii="Arial" w:cs="Arial" w:eastAsia="Arial" w:hAnsi="Arial"/>
          <w:color w:val="222222"/>
          <w:rtl w:val="0"/>
        </w:rPr>
        <w:t xml:space="preserve"> In strict compliance with regulatory mandates at Hamad Port and regional Qatari customs entry points, all cargo must be properly palletized prior to presentation for clearance. Failure to comply will result in regulatory fines and clearance delays passed back to the client.</w:t>
      </w:r>
    </w:p>
    <w:p w:rsidR="00000000" w:rsidDel="00000000" w:rsidP="00000000" w:rsidRDefault="00000000" w:rsidRPr="00000000" w14:paraId="00000054">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Inspection Surcharges:</w:t>
      </w:r>
      <w:r w:rsidDel="00000000" w:rsidR="00000000" w:rsidRPr="00000000">
        <w:rPr>
          <w:rFonts w:ascii="Arial" w:cs="Arial" w:eastAsia="Arial" w:hAnsi="Arial"/>
          <w:color w:val="222222"/>
          <w:rtl w:val="0"/>
        </w:rPr>
        <w:t xml:space="preserve"> Rates are subject to any unexpected physical or radiographic Customs inspection charges, which will be billed additionally at actual cost.</w:t>
      </w:r>
    </w:p>
    <w:p w:rsidR="00000000" w:rsidDel="00000000" w:rsidP="00000000" w:rsidRDefault="00000000" w:rsidRPr="00000000" w14:paraId="00000055">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Clearance Documentation:</w:t>
      </w:r>
      <w:r w:rsidDel="00000000" w:rsidR="00000000" w:rsidRPr="00000000">
        <w:rPr>
          <w:rFonts w:ascii="Arial" w:cs="Arial" w:eastAsia="Arial" w:hAnsi="Arial"/>
          <w:color w:val="222222"/>
          <w:rtl w:val="0"/>
        </w:rPr>
        <w:t xml:space="preserve"> The consignee is legally obligated to submit all authentic original documents required for customs clearance, including but not limited to: a Certificate of Origin (COO), and a Chamber of Commerce-attested Commercial Invoice and Packing List.</w:t>
      </w:r>
    </w:p>
    <w:p w:rsidR="00000000" w:rsidDel="00000000" w:rsidP="00000000" w:rsidRDefault="00000000" w:rsidRPr="00000000" w14:paraId="00000056">
      <w:pPr>
        <w:numPr>
          <w:ilvl w:val="0"/>
          <w:numId w:val="1"/>
        </w:numPr>
        <w:spacing w:after="0" w:lineRule="auto"/>
        <w:ind w:left="360"/>
        <w:rPr>
          <w:color w:val="222222"/>
        </w:rPr>
      </w:pPr>
      <w:r w:rsidDel="00000000" w:rsidR="00000000" w:rsidRPr="00000000">
        <w:rPr>
          <w:rFonts w:ascii="Arial" w:cs="Arial" w:eastAsia="Arial" w:hAnsi="Arial"/>
          <w:b w:val="1"/>
          <w:bCs w:val="1"/>
          <w:color w:val="222222"/>
          <w:rtl w:val="0"/>
        </w:rPr>
        <w:t xml:space="preserve">Import Licensing:</w:t>
      </w:r>
      <w:r w:rsidDel="00000000" w:rsidR="00000000" w:rsidRPr="00000000">
        <w:rPr>
          <w:rFonts w:ascii="Arial" w:cs="Arial" w:eastAsia="Arial" w:hAnsi="Arial"/>
          <w:color w:val="222222"/>
          <w:rtl w:val="0"/>
        </w:rPr>
        <w:t xml:space="preserve"> The consignee must hold a valid, active import license registered in Qatar authorizing the import of the specific commodities involved.</w:t>
      </w:r>
    </w:p>
    <w:p w:rsidR="00000000" w:rsidDel="00000000" w:rsidP="00000000" w:rsidRDefault="00000000" w:rsidRPr="00000000" w14:paraId="00000057">
      <w:pPr>
        <w:numPr>
          <w:ilvl w:val="0"/>
          <w:numId w:val="1"/>
        </w:numPr>
        <w:spacing w:after="60" w:lineRule="auto"/>
        <w:ind w:left="360"/>
        <w:rPr>
          <w:color w:val="222222"/>
        </w:rPr>
      </w:pPr>
      <w:r w:rsidDel="00000000" w:rsidR="00000000" w:rsidRPr="00000000">
        <w:rPr>
          <w:rFonts w:ascii="Arial" w:cs="Arial" w:eastAsia="Arial" w:hAnsi="Arial"/>
          <w:b w:val="1"/>
          <w:bCs w:val="1"/>
          <w:color w:val="222222"/>
          <w:rtl w:val="0"/>
        </w:rPr>
        <w:t xml:space="preserve">Governmental Approvals:</w:t>
      </w:r>
      <w:r w:rsidDel="00000000" w:rsidR="00000000" w:rsidRPr="00000000">
        <w:rPr>
          <w:rFonts w:ascii="Arial" w:cs="Arial" w:eastAsia="Arial" w:hAnsi="Arial"/>
          <w:color w:val="222222"/>
          <w:rtl w:val="0"/>
        </w:rPr>
        <w:t xml:space="preserve"> The arrangement and procurement of any specialized ministry approvals, health certificates, or environmental permits rest entirely under the consignee's scope and responsibility.</w:t>
      </w:r>
      <w:r w:rsidDel="00000000" w:rsidR="00000000" w:rsidRPr="00000000">
        <w:rPr>
          <w:rtl w:val="0"/>
        </w:rPr>
      </w:r>
    </w:p>
    <w:sectPr>
      <w:headerReference r:id="rId7" w:type="default"/>
      <w:footerReference r:id="rId8" w:type="default"/>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-4362449</wp:posOffset>
          </wp:positionH>
          <wp:positionV relativeFrom="paragraph">
            <wp:posOffset>114300</wp:posOffset>
          </wp:positionV>
          <wp:extent cx="13535342" cy="9048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535342" cy="9048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-1585911</wp:posOffset>
          </wp:positionH>
          <wp:positionV relativeFrom="page">
            <wp:posOffset>28575</wp:posOffset>
          </wp:positionV>
          <wp:extent cx="11344275" cy="90487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rot="10800000">
                    <a:off x="0" y="0"/>
                    <a:ext cx="11344275" cy="90487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color w:val="3c3c3c"/>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