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aps/>
          <w:color w:val="888888"/>
          <w:sz w:val="20"/>
          <w:szCs w:val="20"/>
        </w:rPr>
        <w:t>NCSC NZ</w:t>
      </w:r>
    </w:p>
    <w:p>
      <w:pPr>
        <w:pStyle w:val="Normal"/>
        <w:spacing w:before="0" w:after="200"/>
        <w:rPr/>
      </w:pPr>
      <w:r>
        <w:rPr>
          <w:rFonts w:eastAsia="Arial" w:cs="Arial"/>
          <w:b/>
          <w:bCs/>
          <w:color w:val="1A1A2E"/>
          <w:sz w:val="64"/>
          <w:szCs w:val="64"/>
        </w:rPr>
        <w:t>10 Critical Controls</w:t>
      </w:r>
    </w:p>
    <w:p>
      <w:pPr>
        <w:pStyle w:val="Normal"/>
        <w:pBdr>
          <w:left w:val="single" w:sz="20" w:space="16" w:color="E8272A"/>
        </w:pBdr>
        <w:spacing w:before="0" w:after="120"/>
        <w:rPr/>
      </w:pPr>
      <w:r>
        <w:rPr>
          <w:rFonts w:eastAsia="Arial" w:cs="Arial"/>
          <w:b/>
          <w:bCs/>
          <w:color w:val="E8272A"/>
          <w:sz w:val="44"/>
          <w:szCs w:val="44"/>
        </w:rPr>
        <w:t xml:space="preserve">  </w:t>
      </w:r>
      <w:r>
        <w:rPr>
          <w:rFonts w:eastAsia="Arial" w:cs="Arial"/>
          <w:b/>
          <w:bCs/>
          <w:color w:val="E8272A"/>
          <w:sz w:val="44"/>
          <w:szCs w:val="44"/>
        </w:rPr>
        <w:t>CrowdStrike Solution Mapping</w:t>
      </w:r>
    </w:p>
    <w:p>
      <w:pPr>
        <w:pStyle w:val="Normal"/>
        <w:spacing w:before="200" w:after="200"/>
        <w:rPr/>
      </w:pPr>
      <w:r>
        <w:rPr/>
      </w:r>
    </w:p>
    <w:p>
      <w:pPr>
        <w:pStyle w:val="Normal"/>
        <w:spacing w:before="0" w:after="80"/>
        <w:rPr/>
      </w:pPr>
      <w:r>
        <w:rPr>
          <w:rFonts w:eastAsia="Arial" w:cs="Arial"/>
          <w:color w:val="555555"/>
          <w:sz w:val="24"/>
          <w:szCs w:val="24"/>
        </w:rPr>
        <w:t>Research Reference Document</w:t>
      </w:r>
    </w:p>
    <w:p>
      <w:pPr>
        <w:pStyle w:val="Normal"/>
        <w:spacing w:before="0" w:after="600"/>
        <w:rPr/>
      </w:pPr>
      <w:r>
        <w:rPr/>
      </w:r>
    </w:p>
    <w:p>
      <w:pPr>
        <w:pStyle w:val="Normal"/>
        <w:pBdr>
          <w:bottom w:val="single" w:sz="12" w:space="6" w:color="1A1A2E"/>
        </w:pBdr>
        <w:spacing w:before="0" w:after="400"/>
        <w:rPr/>
      </w:pPr>
      <w:r>
        <w:rPr/>
      </w:r>
    </w:p>
    <w:p>
      <w:pPr>
        <w:pStyle w:val="Normal"/>
        <w:spacing w:before="0" w:after="80"/>
        <w:rPr/>
      </w:pPr>
      <w:r>
        <w:rPr>
          <w:rFonts w:eastAsia="Arial" w:cs="Arial"/>
          <w:b/>
          <w:bCs/>
          <w:color w:val="1A1A2E"/>
          <w:sz w:val="20"/>
          <w:szCs w:val="20"/>
        </w:rPr>
        <w:t>Sources</w:t>
      </w:r>
    </w:p>
    <w:p>
      <w:pPr>
        <w:pStyle w:val="Normal"/>
        <w:spacing w:before="0" w:after="60"/>
        <w:rPr/>
      </w:pPr>
      <w:r>
        <w:rPr>
          <w:rFonts w:eastAsia="Arial" w:cs="Arial"/>
          <w:color w:val="555555"/>
          <w:sz w:val="18"/>
          <w:szCs w:val="18"/>
        </w:rPr>
        <w:t>NCSC Critical Controls  —  https://www.ncsc.govt.nz/protect-your-organisation/summary/</w:t>
      </w:r>
    </w:p>
    <w:p>
      <w:pPr>
        <w:pStyle w:val="Normal"/>
        <w:spacing w:before="0" w:after="60"/>
        <w:rPr/>
      </w:pPr>
      <w:r>
        <w:rPr>
          <w:rFonts w:eastAsia="Arial" w:cs="Arial"/>
          <w:color w:val="555555"/>
          <w:sz w:val="18"/>
          <w:szCs w:val="18"/>
        </w:rPr>
        <w:t>Individual control detail pages  —  https://www.ncsc.govt.nz/protect-your-organisation/</w:t>
      </w:r>
    </w:p>
    <w:p>
      <w:pPr>
        <w:pStyle w:val="Normal"/>
        <w:rPr/>
      </w:pPr>
      <w:r>
        <w:rPr/>
        <w:br/>
      </w:r>
    </w:p>
    <w:p>
      <w:pPr>
        <w:pStyle w:val="Heading2"/>
        <w:pBdr>
          <w:bottom w:val="single" w:sz="6" w:space="2" w:color="E8272A"/>
        </w:pBdr>
        <w:spacing w:before="280" w:after="160"/>
        <w:rPr/>
      </w:pPr>
      <w:r>
        <w:rPr>
          <w:rFonts w:eastAsia="Arial" w:cs="Arial"/>
          <w:b/>
          <w:bCs/>
          <w:color w:val="1A1A2E"/>
          <w:sz w:val="28"/>
          <w:szCs w:val="28"/>
        </w:rPr>
        <w:t>Coverage Rating Legend</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2398"/>
        <w:gridCol w:w="6962"/>
      </w:tblGrid>
      <w:tr>
        <w:trPr>
          <w:tblHeader w:val="true"/>
        </w:trPr>
        <w:tc>
          <w:tcPr>
            <w:tcW w:w="2398"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Rating</w:t>
            </w:r>
          </w:p>
        </w:tc>
        <w:tc>
          <w:tcPr>
            <w:tcW w:w="6962"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Meaning</w:t>
            </w:r>
          </w:p>
        </w:tc>
      </w:tr>
      <w:tr>
        <w:trPr/>
        <w:tc>
          <w:tcPr>
            <w:tcW w:w="2398" w:type="dxa"/>
            <w:tcBorders>
              <w:top w:val="single" w:sz="2" w:space="0" w:color="DDDDDD"/>
              <w:start w:val="single" w:sz="2" w:space="0" w:color="DDDDDD"/>
              <w:bottom w:val="single" w:sz="2" w:space="0" w:color="DDDDDD"/>
              <w:end w:val="single" w:sz="2" w:space="0" w:color="DDDDDD"/>
            </w:tcBorders>
            <w:shd w:fill="1A7A1A" w:val="clear"/>
            <w:tcMar>
              <w:top w:w="120" w:type="dxa"/>
              <w:bottom w:w="120" w:type="dxa"/>
            </w:tcMar>
            <w:vAlign w:val="center"/>
          </w:tcPr>
          <w:p>
            <w:pPr>
              <w:pStyle w:val="Normal"/>
              <w:rPr/>
            </w:pPr>
            <w:r>
              <w:rPr>
                <w:rFonts w:eastAsia="Arial" w:cs="Arial"/>
                <w:b/>
                <w:bCs/>
                <w:color w:val="FFFFFF"/>
                <w:sz w:val="18"/>
                <w:szCs w:val="18"/>
              </w:rPr>
              <w:t>STRONG</w:t>
            </w:r>
          </w:p>
        </w:tc>
        <w:tc>
          <w:tcPr>
            <w:tcW w:w="6962" w:type="dxa"/>
            <w:tcBorders>
              <w:top w:val="single" w:sz="2" w:space="0" w:color="DDDDDD"/>
              <w:start w:val="single" w:sz="2" w:space="0" w:color="DDDDDD"/>
              <w:bottom w:val="single" w:sz="2" w:space="0" w:color="DDDDDD"/>
              <w:end w:val="single" w:sz="2" w:space="0" w:color="DDDDDD"/>
            </w:tcBorders>
            <w:shd w:fill="F2F4F7" w:val="clear"/>
            <w:tcMar>
              <w:top w:w="120" w:type="dxa"/>
              <w:bottom w:w="120" w:type="dxa"/>
            </w:tcMar>
          </w:tcPr>
          <w:p>
            <w:pPr>
              <w:pStyle w:val="Normal"/>
              <w:rPr/>
            </w:pPr>
            <w:r>
              <w:rPr>
                <w:rFonts w:eastAsia="Arial" w:cs="Arial"/>
                <w:sz w:val="19"/>
                <w:szCs w:val="19"/>
              </w:rPr>
              <w:t>CrowdStrike provides primary or substantial native coverage for this control</w:t>
            </w:r>
          </w:p>
        </w:tc>
      </w:tr>
      <w:tr>
        <w:trPr/>
        <w:tc>
          <w:tcPr>
            <w:tcW w:w="2398" w:type="dxa"/>
            <w:tcBorders>
              <w:top w:val="single" w:sz="2" w:space="0" w:color="DDDDDD"/>
              <w:start w:val="single" w:sz="2" w:space="0" w:color="DDDDDD"/>
              <w:bottom w:val="single" w:sz="2" w:space="0" w:color="DDDDDD"/>
              <w:end w:val="single" w:sz="2" w:space="0" w:color="DDDDDD"/>
            </w:tcBorders>
            <w:shd w:fill="0A7EC2" w:val="clear"/>
            <w:tcMar>
              <w:top w:w="120" w:type="dxa"/>
              <w:bottom w:w="120" w:type="dxa"/>
            </w:tcMar>
            <w:vAlign w:val="center"/>
          </w:tcPr>
          <w:p>
            <w:pPr>
              <w:pStyle w:val="Normal"/>
              <w:rPr/>
            </w:pPr>
            <w:r>
              <w:rPr>
                <w:rFonts w:eastAsia="Arial" w:cs="Arial"/>
                <w:b/>
                <w:bCs/>
                <w:color w:val="FFFFFF"/>
                <w:sz w:val="18"/>
                <w:szCs w:val="18"/>
              </w:rPr>
              <w:t>DETECT / PRIORITISE</w:t>
            </w:r>
          </w:p>
        </w:tc>
        <w:tc>
          <w:tcPr>
            <w:tcW w:w="6962" w:type="dxa"/>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rPr/>
            </w:pPr>
            <w:r>
              <w:rPr>
                <w:rFonts w:eastAsia="Arial" w:cs="Arial"/>
                <w:sz w:val="19"/>
                <w:szCs w:val="19"/>
              </w:rPr>
              <w:t>CrowdStrike surfaces and prioritises the problem; remediation tooling still required</w:t>
            </w:r>
          </w:p>
        </w:tc>
      </w:tr>
      <w:tr>
        <w:trPr/>
        <w:tc>
          <w:tcPr>
            <w:tcW w:w="2398" w:type="dxa"/>
            <w:tcBorders>
              <w:top w:val="single" w:sz="2" w:space="0" w:color="DDDDDD"/>
              <w:start w:val="single" w:sz="2" w:space="0" w:color="DDDDDD"/>
              <w:bottom w:val="single" w:sz="2" w:space="0" w:color="DDDDDD"/>
              <w:end w:val="single" w:sz="2" w:space="0" w:color="DDDDDD"/>
            </w:tcBorders>
            <w:shd w:fill="E8820A" w:val="clear"/>
            <w:tcMar>
              <w:top w:w="120" w:type="dxa"/>
              <w:bottom w:w="120" w:type="dxa"/>
            </w:tcMar>
            <w:vAlign w:val="center"/>
          </w:tcPr>
          <w:p>
            <w:pPr>
              <w:pStyle w:val="Normal"/>
              <w:rPr/>
            </w:pPr>
            <w:r>
              <w:rPr>
                <w:rFonts w:eastAsia="Arial" w:cs="Arial"/>
                <w:b/>
                <w:bCs/>
                <w:color w:val="FFFFFF"/>
                <w:sz w:val="18"/>
                <w:szCs w:val="18"/>
              </w:rPr>
              <w:t>PARTIAL</w:t>
            </w:r>
          </w:p>
        </w:tc>
        <w:tc>
          <w:tcPr>
            <w:tcW w:w="6962" w:type="dxa"/>
            <w:tcBorders>
              <w:top w:val="single" w:sz="2" w:space="0" w:color="DDDDDD"/>
              <w:start w:val="single" w:sz="2" w:space="0" w:color="DDDDDD"/>
              <w:bottom w:val="single" w:sz="2" w:space="0" w:color="DDDDDD"/>
              <w:end w:val="single" w:sz="2" w:space="0" w:color="DDDDDD"/>
            </w:tcBorders>
            <w:shd w:fill="F2F4F7" w:val="clear"/>
            <w:tcMar>
              <w:top w:w="120" w:type="dxa"/>
              <w:bottom w:w="120" w:type="dxa"/>
            </w:tcMar>
          </w:tcPr>
          <w:p>
            <w:pPr>
              <w:pStyle w:val="Normal"/>
              <w:rPr/>
            </w:pPr>
            <w:r>
              <w:rPr>
                <w:rFonts w:eastAsia="Arial" w:cs="Arial"/>
                <w:sz w:val="19"/>
                <w:szCs w:val="19"/>
              </w:rPr>
              <w:t>CrowdStrike covers detection and early-warning aspects but core capability gap exists</w:t>
            </w:r>
          </w:p>
        </w:tc>
      </w:tr>
      <w:tr>
        <w:trPr/>
        <w:tc>
          <w:tcPr>
            <w:tcW w:w="2398" w:type="dxa"/>
            <w:tcBorders>
              <w:top w:val="single" w:sz="2" w:space="0" w:color="DDDDDD"/>
              <w:start w:val="single" w:sz="2" w:space="0" w:color="DDDDDD"/>
              <w:bottom w:val="single" w:sz="2" w:space="0" w:color="DDDDDD"/>
              <w:end w:val="single" w:sz="2" w:space="0" w:color="DDDDDD"/>
            </w:tcBorders>
            <w:shd w:fill="E8820A" w:val="clear"/>
            <w:tcMar>
              <w:top w:w="120" w:type="dxa"/>
              <w:bottom w:w="120" w:type="dxa"/>
            </w:tcMar>
            <w:vAlign w:val="center"/>
          </w:tcPr>
          <w:p>
            <w:pPr>
              <w:pStyle w:val="Normal"/>
              <w:rPr/>
            </w:pPr>
            <w:r>
              <w:rPr>
                <w:rFonts w:eastAsia="Arial" w:cs="Arial"/>
                <w:b/>
                <w:bCs/>
                <w:color w:val="FFFFFF"/>
                <w:sz w:val="18"/>
                <w:szCs w:val="18"/>
              </w:rPr>
              <w:t>DETECT ONLY</w:t>
            </w:r>
          </w:p>
        </w:tc>
        <w:tc>
          <w:tcPr>
            <w:tcW w:w="6962" w:type="dxa"/>
            <w:tcBorders>
              <w:top w:val="single" w:sz="2" w:space="0" w:color="DDDDDD"/>
              <w:start w:val="single" w:sz="2" w:space="0" w:color="DDDDDD"/>
              <w:bottom w:val="single" w:sz="2" w:space="0" w:color="DDDDDD"/>
              <w:end w:val="single" w:sz="2" w:space="0" w:color="DDDDDD"/>
            </w:tcBorders>
            <w:shd w:fill="FFFFFF" w:val="clear"/>
            <w:tcMar>
              <w:top w:w="120" w:type="dxa"/>
              <w:bottom w:w="120" w:type="dxa"/>
            </w:tcMar>
          </w:tcPr>
          <w:p>
            <w:pPr>
              <w:pStyle w:val="Normal"/>
              <w:rPr/>
            </w:pPr>
            <w:r>
              <w:rPr>
                <w:rFonts w:eastAsia="Arial" w:cs="Arial"/>
                <w:sz w:val="19"/>
                <w:szCs w:val="19"/>
              </w:rPr>
              <w:t>Detection-layer coverage; separate infrastructure or tooling required for enforcement</w:t>
            </w:r>
          </w:p>
        </w:tc>
      </w:tr>
      <w:tr>
        <w:trPr/>
        <w:tc>
          <w:tcPr>
            <w:tcW w:w="2398" w:type="dxa"/>
            <w:tcBorders>
              <w:top w:val="single" w:sz="2" w:space="0" w:color="DDDDDD"/>
              <w:start w:val="single" w:sz="2" w:space="0" w:color="DDDDDD"/>
              <w:bottom w:val="single" w:sz="2" w:space="0" w:color="DDDDDD"/>
              <w:end w:val="single" w:sz="2" w:space="0" w:color="DDDDDD"/>
            </w:tcBorders>
            <w:shd w:fill="C0392B" w:val="clear"/>
            <w:tcMar>
              <w:top w:w="120" w:type="dxa"/>
              <w:bottom w:w="120" w:type="dxa"/>
            </w:tcMar>
            <w:vAlign w:val="center"/>
          </w:tcPr>
          <w:p>
            <w:pPr>
              <w:pStyle w:val="Normal"/>
              <w:rPr/>
            </w:pPr>
            <w:r>
              <w:rPr>
                <w:rFonts w:eastAsia="Arial" w:cs="Arial"/>
                <w:b/>
                <w:bCs/>
                <w:color w:val="FFFFFF"/>
                <w:sz w:val="18"/>
                <w:szCs w:val="18"/>
              </w:rPr>
              <w:t>MINIMAL</w:t>
            </w:r>
          </w:p>
        </w:tc>
        <w:tc>
          <w:tcPr>
            <w:tcW w:w="6962" w:type="dxa"/>
            <w:tcBorders>
              <w:top w:val="single" w:sz="2" w:space="0" w:color="DDDDDD"/>
              <w:start w:val="single" w:sz="2" w:space="0" w:color="DDDDDD"/>
              <w:bottom w:val="single" w:sz="2" w:space="0" w:color="DDDDDD"/>
              <w:end w:val="single" w:sz="2" w:space="0" w:color="DDDDDD"/>
            </w:tcBorders>
            <w:shd w:fill="F2F4F7" w:val="clear"/>
            <w:tcMar>
              <w:top w:w="120" w:type="dxa"/>
              <w:bottom w:w="120" w:type="dxa"/>
            </w:tcMar>
          </w:tcPr>
          <w:p>
            <w:pPr>
              <w:pStyle w:val="Normal"/>
              <w:rPr/>
            </w:pPr>
            <w:r>
              <w:rPr>
                <w:rFonts w:eastAsia="Arial" w:cs="Arial"/>
                <w:sz w:val="19"/>
                <w:szCs w:val="19"/>
              </w:rPr>
              <w:t>Near-full gap; CrowdStrike provides limited compensating detective value only</w:t>
            </w:r>
          </w:p>
        </w:tc>
      </w:tr>
    </w:tbl>
    <w:p>
      <w:pPr>
        <w:pStyle w:val="Normal"/>
        <w:spacing w:before="240" w:after="240"/>
        <w:rPr/>
      </w:pPr>
      <w:r>
        <w:rPr/>
      </w:r>
    </w:p>
    <w:p>
      <w:pPr>
        <w:pStyle w:val="Heading2"/>
        <w:pBdr>
          <w:bottom w:val="single" w:sz="6" w:space="2" w:color="E8272A"/>
        </w:pBdr>
        <w:spacing w:before="280" w:after="160"/>
        <w:rPr>
          <w:rFonts w:ascii="Arial" w:hAnsi="Arial" w:eastAsia="Arial" w:cs="Arial"/>
          <w:b/>
          <w:bCs/>
          <w:color w:val="1A1A2E"/>
          <w:sz w:val="28"/>
          <w:szCs w:val="28"/>
        </w:rPr>
      </w:pPr>
      <w:r>
        <w:rPr>
          <w:rFonts w:eastAsia="Arial" w:cs="Arial"/>
          <w:b/>
          <w:bCs/>
          <w:color w:val="1A1A2E"/>
          <w:sz w:val="28"/>
          <w:szCs w:val="28"/>
        </w:rPr>
      </w:r>
      <w:r>
        <w:br w:type="page"/>
      </w:r>
    </w:p>
    <w:p>
      <w:pPr>
        <w:pStyle w:val="Heading2"/>
        <w:pBdr>
          <w:bottom w:val="single" w:sz="6" w:space="2" w:color="E8272A"/>
        </w:pBdr>
        <w:spacing w:before="0" w:after="160"/>
        <w:rPr>
          <w:rFonts w:ascii="Arial" w:hAnsi="Arial" w:eastAsia="Arial" w:cs="Arial"/>
          <w:b/>
          <w:bCs/>
          <w:color w:val="1A1A2E"/>
          <w:sz w:val="28"/>
          <w:szCs w:val="28"/>
        </w:rPr>
      </w:pPr>
      <w:r>
        <w:rPr>
          <w:rFonts w:eastAsia="Arial" w:cs="Arial"/>
          <w:b/>
          <w:bCs/>
          <w:color w:val="1A1A2E"/>
          <w:sz w:val="28"/>
          <w:szCs w:val="28"/>
        </w:rPr>
        <w:t>All 10 Controls at a Glance</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480"/>
        <w:gridCol w:w="2698"/>
        <w:gridCol w:w="3982"/>
        <w:gridCol w:w="2200"/>
      </w:tblGrid>
      <w:tr>
        <w:trPr>
          <w:tblHeader w:val="true"/>
        </w:trPr>
        <w:tc>
          <w:tcPr>
            <w:tcW w:w="48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w:t>
            </w:r>
          </w:p>
        </w:tc>
        <w:tc>
          <w:tcPr>
            <w:tcW w:w="2698"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NCSC Critical Control</w:t>
            </w:r>
          </w:p>
        </w:tc>
        <w:tc>
          <w:tcPr>
            <w:tcW w:w="3982"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Primary CrowdStrike Products</w:t>
            </w:r>
          </w:p>
        </w:tc>
        <w:tc>
          <w:tcPr>
            <w:tcW w:w="22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Coverage Rating</w:t>
            </w:r>
          </w:p>
        </w:tc>
      </w:tr>
      <w:tr>
        <w:trPr/>
        <w:tc>
          <w:tcPr>
            <w:tcW w:w="48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01</w:t>
            </w:r>
          </w:p>
        </w:tc>
        <w:tc>
          <w:tcPr>
            <w:tcW w:w="2698"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Patch Your Software and Systems</w:t>
            </w:r>
          </w:p>
        </w:tc>
        <w:tc>
          <w:tcPr>
            <w:tcW w:w="3982"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8"/>
                <w:szCs w:val="18"/>
              </w:rPr>
              <w:t>Exposure Management</w:t>
            </w:r>
          </w:p>
        </w:tc>
        <w:tc>
          <w:tcPr>
            <w:tcW w:w="2200" w:type="dxa"/>
            <w:tcBorders>
              <w:top w:val="single" w:sz="2" w:space="0" w:color="DDDDDD"/>
              <w:start w:val="single" w:sz="2" w:space="0" w:color="DDDDDD"/>
              <w:bottom w:val="single" w:sz="2" w:space="0" w:color="DDDDDD"/>
              <w:end w:val="single" w:sz="2" w:space="0" w:color="DDDDDD"/>
            </w:tcBorders>
            <w:shd w:fill="0A7EC2" w:val="clear"/>
            <w:vAlign w:val="center"/>
          </w:tcPr>
          <w:p>
            <w:pPr>
              <w:pStyle w:val="Normal"/>
              <w:jc w:val="center"/>
              <w:rPr/>
            </w:pPr>
            <w:r>
              <w:rPr>
                <w:rFonts w:eastAsia="Arial" w:cs="Arial"/>
                <w:b/>
                <w:bCs/>
                <w:color w:val="FFFFFF"/>
                <w:sz w:val="17"/>
                <w:szCs w:val="17"/>
              </w:rPr>
              <w:t>DETECT / PRIORITISE</w:t>
            </w:r>
          </w:p>
        </w:tc>
      </w:tr>
      <w:tr>
        <w:trPr/>
        <w:tc>
          <w:tcPr>
            <w:tcW w:w="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02</w:t>
            </w:r>
          </w:p>
        </w:tc>
        <w:tc>
          <w:tcPr>
            <w:tcW w:w="26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Implement Multi-Factor Authentication and Verification</w:t>
            </w:r>
          </w:p>
        </w:tc>
        <w:tc>
          <w:tcPr>
            <w:tcW w:w="3982"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8"/>
                <w:szCs w:val="18"/>
              </w:rPr>
              <w:t>FalconID (GA February 2026), Falcon Identity Protection (Next Gen Identity), NG-SIEM, Counter Adversary Operations</w:t>
            </w:r>
          </w:p>
        </w:tc>
        <w:tc>
          <w:tcPr>
            <w:tcW w:w="2200" w:type="dxa"/>
            <w:tcBorders>
              <w:top w:val="single" w:sz="2" w:space="0" w:color="DDDDDD"/>
              <w:start w:val="single" w:sz="2" w:space="0" w:color="DDDDDD"/>
              <w:bottom w:val="single" w:sz="2" w:space="0" w:color="DDDDDD"/>
              <w:end w:val="single" w:sz="2" w:space="0" w:color="DDDDDD"/>
            </w:tcBorders>
            <w:shd w:fill="1A7A1A" w:val="clear"/>
            <w:vAlign w:val="center"/>
          </w:tcPr>
          <w:p>
            <w:pPr>
              <w:pStyle w:val="Normal"/>
              <w:jc w:val="center"/>
              <w:rPr/>
            </w:pPr>
            <w:r>
              <w:rPr>
                <w:rFonts w:eastAsia="Arial" w:cs="Arial"/>
                <w:b/>
                <w:bCs/>
                <w:color w:val="FFFFFF"/>
                <w:sz w:val="17"/>
                <w:szCs w:val="17"/>
              </w:rPr>
              <w:t>STRONG — NATIVE FIDO2 MFA + DETECT</w:t>
            </w:r>
          </w:p>
        </w:tc>
      </w:tr>
      <w:tr>
        <w:trPr/>
        <w:tc>
          <w:tcPr>
            <w:tcW w:w="48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03</w:t>
            </w:r>
          </w:p>
        </w:tc>
        <w:tc>
          <w:tcPr>
            <w:tcW w:w="2698"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Provide and Use a Password Manager</w:t>
            </w:r>
          </w:p>
        </w:tc>
        <w:tc>
          <w:tcPr>
            <w:tcW w:w="3982"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8"/>
                <w:szCs w:val="18"/>
              </w:rPr>
              <w:t>Falcon Identity Protection (Next Gen Identity), Counter Adversary Operations</w:t>
            </w:r>
          </w:p>
        </w:tc>
        <w:tc>
          <w:tcPr>
            <w:tcW w:w="2200" w:type="dxa"/>
            <w:tcBorders>
              <w:top w:val="single" w:sz="2" w:space="0" w:color="DDDDDD"/>
              <w:start w:val="single" w:sz="2" w:space="0" w:color="DDDDDD"/>
              <w:bottom w:val="single" w:sz="2" w:space="0" w:color="DDDDDD"/>
              <w:end w:val="single" w:sz="2" w:space="0" w:color="DDDDDD"/>
            </w:tcBorders>
            <w:shd w:fill="C0392B" w:val="clear"/>
            <w:vAlign w:val="center"/>
          </w:tcPr>
          <w:p>
            <w:pPr>
              <w:pStyle w:val="Normal"/>
              <w:jc w:val="center"/>
              <w:rPr/>
            </w:pPr>
            <w:r>
              <w:rPr>
                <w:rFonts w:eastAsia="Arial" w:cs="Arial"/>
                <w:b/>
                <w:bCs/>
                <w:color w:val="FFFFFF"/>
                <w:sz w:val="17"/>
                <w:szCs w:val="17"/>
              </w:rPr>
              <w:t>MINIMAL — DETECTIVE ONLY</w:t>
            </w:r>
          </w:p>
        </w:tc>
      </w:tr>
      <w:tr>
        <w:trPr/>
        <w:tc>
          <w:tcPr>
            <w:tcW w:w="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04</w:t>
            </w:r>
          </w:p>
        </w:tc>
        <w:tc>
          <w:tcPr>
            <w:tcW w:w="26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Centralised Logging</w:t>
            </w:r>
          </w:p>
        </w:tc>
        <w:tc>
          <w:tcPr>
            <w:tcW w:w="3982"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8"/>
                <w:szCs w:val="18"/>
              </w:rPr>
              <w:t>NG-SIEM (Next Generation SIEM), Falcon Insight XDR (EDR), Falcon Identity Protection</w:t>
            </w:r>
          </w:p>
        </w:tc>
        <w:tc>
          <w:tcPr>
            <w:tcW w:w="2200" w:type="dxa"/>
            <w:tcBorders>
              <w:top w:val="single" w:sz="2" w:space="0" w:color="DDDDDD"/>
              <w:start w:val="single" w:sz="2" w:space="0" w:color="DDDDDD"/>
              <w:bottom w:val="single" w:sz="2" w:space="0" w:color="DDDDDD"/>
              <w:end w:val="single" w:sz="2" w:space="0" w:color="DDDDDD"/>
            </w:tcBorders>
            <w:shd w:fill="1A7A1A" w:val="clear"/>
            <w:vAlign w:val="center"/>
          </w:tcPr>
          <w:p>
            <w:pPr>
              <w:pStyle w:val="Normal"/>
              <w:jc w:val="center"/>
              <w:rPr/>
            </w:pPr>
            <w:r>
              <w:rPr>
                <w:rFonts w:eastAsia="Arial" w:cs="Arial"/>
                <w:b/>
                <w:bCs/>
                <w:color w:val="FFFFFF"/>
                <w:sz w:val="17"/>
                <w:szCs w:val="17"/>
              </w:rPr>
              <w:t>STRONG</w:t>
            </w:r>
          </w:p>
        </w:tc>
      </w:tr>
      <w:tr>
        <w:trPr/>
        <w:tc>
          <w:tcPr>
            <w:tcW w:w="48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05</w:t>
            </w:r>
          </w:p>
        </w:tc>
        <w:tc>
          <w:tcPr>
            <w:tcW w:w="2698"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Build Security Awareness in Your Organisation</w:t>
            </w:r>
          </w:p>
        </w:tc>
        <w:tc>
          <w:tcPr>
            <w:tcW w:w="3982"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8"/>
                <w:szCs w:val="18"/>
              </w:rPr>
              <w:t>Counter Adversary Operations (Threat Intelligence), Falcon Complete MDR</w:t>
            </w:r>
          </w:p>
        </w:tc>
        <w:tc>
          <w:tcPr>
            <w:tcW w:w="2200" w:type="dxa"/>
            <w:tcBorders>
              <w:top w:val="single" w:sz="2" w:space="0" w:color="DDDDDD"/>
              <w:start w:val="single" w:sz="2" w:space="0" w:color="DDDDDD"/>
              <w:bottom w:val="single" w:sz="2" w:space="0" w:color="DDDDDD"/>
              <w:end w:val="single" w:sz="2" w:space="0" w:color="DDDDDD"/>
            </w:tcBorders>
            <w:shd w:fill="C0392B" w:val="clear"/>
            <w:vAlign w:val="center"/>
          </w:tcPr>
          <w:p>
            <w:pPr>
              <w:pStyle w:val="Normal"/>
              <w:jc w:val="center"/>
              <w:rPr/>
            </w:pPr>
            <w:r>
              <w:rPr>
                <w:rFonts w:eastAsia="Arial" w:cs="Arial"/>
                <w:b/>
                <w:bCs/>
                <w:color w:val="FFFFFF"/>
                <w:sz w:val="17"/>
                <w:szCs w:val="17"/>
              </w:rPr>
              <w:t>MINIMAL — INTEL INPUT ONLY</w:t>
            </w:r>
          </w:p>
        </w:tc>
      </w:tr>
      <w:tr>
        <w:trPr/>
        <w:tc>
          <w:tcPr>
            <w:tcW w:w="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06</w:t>
            </w:r>
          </w:p>
        </w:tc>
        <w:tc>
          <w:tcPr>
            <w:tcW w:w="26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Asset Lifecycle Management</w:t>
            </w:r>
          </w:p>
        </w:tc>
        <w:tc>
          <w:tcPr>
            <w:tcW w:w="3982"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8"/>
                <w:szCs w:val="18"/>
              </w:rPr>
              <w:t>Exposure Management, Cloud Security (CSPM)</w:t>
            </w:r>
          </w:p>
        </w:tc>
        <w:tc>
          <w:tcPr>
            <w:tcW w:w="2200" w:type="dxa"/>
            <w:tcBorders>
              <w:top w:val="single" w:sz="2" w:space="0" w:color="DDDDDD"/>
              <w:start w:val="single" w:sz="2" w:space="0" w:color="DDDDDD"/>
              <w:bottom w:val="single" w:sz="2" w:space="0" w:color="DDDDDD"/>
              <w:end w:val="single" w:sz="2" w:space="0" w:color="DDDDDD"/>
            </w:tcBorders>
            <w:shd w:fill="1A7A1A" w:val="clear"/>
            <w:vAlign w:val="center"/>
          </w:tcPr>
          <w:p>
            <w:pPr>
              <w:pStyle w:val="Normal"/>
              <w:jc w:val="center"/>
              <w:rPr/>
            </w:pPr>
            <w:r>
              <w:rPr>
                <w:rFonts w:eastAsia="Arial" w:cs="Arial"/>
                <w:b/>
                <w:bCs/>
                <w:color w:val="FFFFFF"/>
                <w:sz w:val="17"/>
                <w:szCs w:val="17"/>
              </w:rPr>
              <w:t>STRONG</w:t>
            </w:r>
          </w:p>
        </w:tc>
      </w:tr>
      <w:tr>
        <w:trPr/>
        <w:tc>
          <w:tcPr>
            <w:tcW w:w="48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07</w:t>
            </w:r>
          </w:p>
        </w:tc>
        <w:tc>
          <w:tcPr>
            <w:tcW w:w="2698"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Implement and Test Backups</w:t>
            </w:r>
          </w:p>
        </w:tc>
        <w:tc>
          <w:tcPr>
            <w:tcW w:w="3982"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8"/>
                <w:szCs w:val="18"/>
              </w:rPr>
              <w:t>Falcon Insight XDR (EDR) / Falcon Prevent, NG-SIEM</w:t>
            </w:r>
          </w:p>
        </w:tc>
        <w:tc>
          <w:tcPr>
            <w:tcW w:w="2200" w:type="dxa"/>
            <w:tcBorders>
              <w:top w:val="single" w:sz="2" w:space="0" w:color="DDDDDD"/>
              <w:start w:val="single" w:sz="2" w:space="0" w:color="DDDDDD"/>
              <w:bottom w:val="single" w:sz="2" w:space="0" w:color="DDDDDD"/>
              <w:end w:val="single" w:sz="2" w:space="0" w:color="DDDDDD"/>
            </w:tcBorders>
            <w:shd w:fill="E8820A" w:val="clear"/>
            <w:vAlign w:val="center"/>
          </w:tcPr>
          <w:p>
            <w:pPr>
              <w:pStyle w:val="Normal"/>
              <w:jc w:val="center"/>
              <w:rPr/>
            </w:pPr>
            <w:r>
              <w:rPr>
                <w:rFonts w:eastAsia="Arial" w:cs="Arial"/>
                <w:b/>
                <w:bCs/>
                <w:color w:val="FFFFFF"/>
                <w:sz w:val="17"/>
                <w:szCs w:val="17"/>
              </w:rPr>
              <w:t>PARTIAL — DETECTION ONLY</w:t>
            </w:r>
          </w:p>
        </w:tc>
      </w:tr>
      <w:tr>
        <w:trPr/>
        <w:tc>
          <w:tcPr>
            <w:tcW w:w="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08</w:t>
            </w:r>
          </w:p>
        </w:tc>
        <w:tc>
          <w:tcPr>
            <w:tcW w:w="26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Implement Application Control</w:t>
            </w:r>
          </w:p>
        </w:tc>
        <w:tc>
          <w:tcPr>
            <w:tcW w:w="3982"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8"/>
                <w:szCs w:val="18"/>
              </w:rPr>
              <w:t>Falcon Prevent (Next-Gen Antivirus), Falcon Insight XDR (EDR), Exposure Management, Falcon Fusion (SOAR)</w:t>
            </w:r>
          </w:p>
        </w:tc>
        <w:tc>
          <w:tcPr>
            <w:tcW w:w="2200" w:type="dxa"/>
            <w:tcBorders>
              <w:top w:val="single" w:sz="2" w:space="0" w:color="DDDDDD"/>
              <w:start w:val="single" w:sz="2" w:space="0" w:color="DDDDDD"/>
              <w:bottom w:val="single" w:sz="2" w:space="0" w:color="DDDDDD"/>
              <w:end w:val="single" w:sz="2" w:space="0" w:color="DDDDDD"/>
            </w:tcBorders>
            <w:shd w:fill="1A7A1A" w:val="clear"/>
            <w:vAlign w:val="center"/>
          </w:tcPr>
          <w:p>
            <w:pPr>
              <w:pStyle w:val="Normal"/>
              <w:jc w:val="center"/>
              <w:rPr/>
            </w:pPr>
            <w:r>
              <w:rPr>
                <w:rFonts w:eastAsia="Arial" w:cs="Arial"/>
                <w:b/>
                <w:bCs/>
                <w:color w:val="FFFFFF"/>
                <w:sz w:val="17"/>
                <w:szCs w:val="17"/>
              </w:rPr>
              <w:t>STRONG (behavioural) / PARTIAL (strict allowlisting)</w:t>
            </w:r>
          </w:p>
        </w:tc>
      </w:tr>
      <w:tr>
        <w:trPr/>
        <w:tc>
          <w:tcPr>
            <w:tcW w:w="48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09</w:t>
            </w:r>
          </w:p>
        </w:tc>
        <w:tc>
          <w:tcPr>
            <w:tcW w:w="2698"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Enforce the Principle of Least Privilege</w:t>
            </w:r>
          </w:p>
        </w:tc>
        <w:tc>
          <w:tcPr>
            <w:tcW w:w="3982"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8"/>
                <w:szCs w:val="18"/>
              </w:rPr>
              <w:t>Falcon Identity Protection (Next Gen Identity), Falcon Privileged Access (FPA), Cloud Security CNAPP, Exposure Management</w:t>
            </w:r>
          </w:p>
        </w:tc>
        <w:tc>
          <w:tcPr>
            <w:tcW w:w="2200" w:type="dxa"/>
            <w:tcBorders>
              <w:top w:val="single" w:sz="2" w:space="0" w:color="DDDDDD"/>
              <w:start w:val="single" w:sz="2" w:space="0" w:color="DDDDDD"/>
              <w:bottom w:val="single" w:sz="2" w:space="0" w:color="DDDDDD"/>
              <w:end w:val="single" w:sz="2" w:space="0" w:color="DDDDDD"/>
            </w:tcBorders>
            <w:shd w:fill="1A7A1A" w:val="clear"/>
            <w:vAlign w:val="center"/>
          </w:tcPr>
          <w:p>
            <w:pPr>
              <w:pStyle w:val="Normal"/>
              <w:jc w:val="center"/>
              <w:rPr/>
            </w:pPr>
            <w:r>
              <w:rPr>
                <w:rFonts w:eastAsia="Arial" w:cs="Arial"/>
                <w:b/>
                <w:bCs/>
                <w:color w:val="FFFFFF"/>
                <w:sz w:val="17"/>
                <w:szCs w:val="17"/>
              </w:rPr>
              <w:t>STRONG — DETECT + ENFORCE + JIT</w:t>
            </w:r>
          </w:p>
        </w:tc>
      </w:tr>
      <w:tr>
        <w:trPr/>
        <w:tc>
          <w:tcPr>
            <w:tcW w:w="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10</w:t>
            </w:r>
          </w:p>
        </w:tc>
        <w:tc>
          <w:tcPr>
            <w:tcW w:w="26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Implement Network Segmentation and Separation</w:t>
            </w:r>
          </w:p>
        </w:tc>
        <w:tc>
          <w:tcPr>
            <w:tcW w:w="3982"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8"/>
                <w:szCs w:val="18"/>
              </w:rPr>
              <w:t>Falcon Insight XDR (EDR) + NG-SIEM, Falcon XioT, Cloud Security CNAPP</w:t>
            </w:r>
          </w:p>
        </w:tc>
        <w:tc>
          <w:tcPr>
            <w:tcW w:w="2200" w:type="dxa"/>
            <w:tcBorders>
              <w:top w:val="single" w:sz="2" w:space="0" w:color="DDDDDD"/>
              <w:start w:val="single" w:sz="2" w:space="0" w:color="DDDDDD"/>
              <w:bottom w:val="single" w:sz="2" w:space="0" w:color="DDDDDD"/>
              <w:end w:val="single" w:sz="2" w:space="0" w:color="DDDDDD"/>
            </w:tcBorders>
            <w:shd w:fill="E8820A" w:val="clear"/>
            <w:vAlign w:val="center"/>
          </w:tcPr>
          <w:p>
            <w:pPr>
              <w:pStyle w:val="Normal"/>
              <w:jc w:val="center"/>
              <w:rPr/>
            </w:pPr>
            <w:r>
              <w:rPr>
                <w:rFonts w:eastAsia="Arial" w:cs="Arial"/>
                <w:b/>
                <w:bCs/>
                <w:color w:val="FFFFFF"/>
                <w:sz w:val="17"/>
                <w:szCs w:val="17"/>
              </w:rPr>
              <w:t>DETECT ONLY — INFRA GAP</w:t>
            </w:r>
          </w:p>
        </w:tc>
      </w:tr>
    </w:tbl>
    <w:p>
      <w:pPr>
        <w:pStyle w:val="Normal"/>
        <w:rPr/>
      </w:pPr>
      <w:r>
        <w:rPr/>
        <w:b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01</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Patch Your Software and Systems</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DETECT / PRIORITISE</w:t>
      </w:r>
      <w:r>
        <w:rPr>
          <w:rFonts w:eastAsia="Arial" w:cs="Arial"/>
          <w:color w:val="555555"/>
          <w:sz w:val="20"/>
          <w:szCs w:val="20"/>
        </w:rPr>
        <w:t xml:space="preserve">    ·    </w:t>
      </w:r>
      <w:r>
        <w:rPr>
          <w:rFonts w:eastAsia="Arial" w:cs="Arial"/>
          <w:i/>
          <w:iCs/>
          <w:color w:val="888888"/>
          <w:sz w:val="18"/>
          <w:szCs w:val="18"/>
        </w:rPr>
        <w:t>https://www.ncsc.govt.nz/protect-your-organisation/patching/</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Ensure all software — OS, applications, firmware, IoT — is kept current. Timely patching is NCSC's single most-cited control; unpatched vulnerabilities remain the top attack vector seen in their incident data.</w:t>
      </w:r>
    </w:p>
    <w:p>
      <w:pPr>
        <w:pStyle w:val="Heading3"/>
        <w:spacing w:before="200" w:after="80"/>
        <w:rPr/>
      </w:pPr>
      <w:r>
        <w:rPr>
          <w:rFonts w:eastAsia="Arial" w:cs="Arial"/>
          <w:b/>
          <w:bCs/>
          <w:color w:val="0A7EC2"/>
          <w:sz w:val="22"/>
          <w:szCs w:val="22"/>
        </w:rPr>
        <w:t>Key Requirements</w:t>
      </w:r>
    </w:p>
    <w:p>
      <w:pPr>
        <w:pStyle w:val="ListParagraph"/>
        <w:numPr>
          <w:ilvl w:val="0"/>
          <w:numId w:val="4"/>
        </w:numPr>
        <w:spacing w:before="40" w:after="60"/>
        <w:rPr/>
      </w:pPr>
      <w:r>
        <w:rPr>
          <w:rFonts w:eastAsia="Arial" w:cs="Arial"/>
          <w:sz w:val="20"/>
          <w:szCs w:val="20"/>
        </w:rPr>
        <w:t>Maintain a full inventory of software/firmware (CMDB or discovery tooling)</w:t>
      </w:r>
    </w:p>
    <w:p>
      <w:pPr>
        <w:pStyle w:val="ListParagraph"/>
        <w:numPr>
          <w:ilvl w:val="0"/>
          <w:numId w:val="5"/>
        </w:numPr>
        <w:spacing w:before="40" w:after="60"/>
        <w:rPr/>
      </w:pPr>
      <w:r>
        <w:rPr>
          <w:rFonts w:eastAsia="Arial" w:cs="Arial"/>
          <w:sz w:val="20"/>
          <w:szCs w:val="20"/>
        </w:rPr>
        <w:t>Subscribe to vendor patch feeds; track CVEs via NIST NVD RSS</w:t>
      </w:r>
    </w:p>
    <w:p>
      <w:pPr>
        <w:pStyle w:val="ListParagraph"/>
        <w:numPr>
          <w:ilvl w:val="0"/>
          <w:numId w:val="6"/>
        </w:numPr>
        <w:spacing w:before="40" w:after="60"/>
        <w:rPr/>
      </w:pPr>
      <w:r>
        <w:rPr>
          <w:rFonts w:eastAsia="Arial" w:cs="Arial"/>
          <w:sz w:val="20"/>
          <w:szCs w:val="20"/>
        </w:rPr>
        <w:t>Define patch SLAs: emergency (24–72 hr), critical (7 days), routine (30 days)</w:t>
      </w:r>
    </w:p>
    <w:p>
      <w:pPr>
        <w:pStyle w:val="ListParagraph"/>
        <w:numPr>
          <w:ilvl w:val="0"/>
          <w:numId w:val="7"/>
        </w:numPr>
        <w:spacing w:before="40" w:after="60"/>
        <w:rPr/>
      </w:pPr>
      <w:r>
        <w:rPr>
          <w:rFonts w:eastAsia="Arial" w:cs="Arial"/>
          <w:sz w:val="20"/>
          <w:szCs w:val="20"/>
        </w:rPr>
        <w:t>Automate download, staging, testing, and deployment where possible</w:t>
      </w:r>
    </w:p>
    <w:p>
      <w:pPr>
        <w:pStyle w:val="ListParagraph"/>
        <w:numPr>
          <w:ilvl w:val="0"/>
          <w:numId w:val="8"/>
        </w:numPr>
        <w:spacing w:before="40" w:after="60"/>
        <w:rPr/>
      </w:pPr>
      <w:r>
        <w:rPr>
          <w:rFonts w:eastAsia="Arial" w:cs="Arial"/>
          <w:sz w:val="20"/>
          <w:szCs w:val="20"/>
        </w:rPr>
        <w:t>Document and risk-accept any delayed/cancelled patches</w:t>
      </w:r>
    </w:p>
    <w:p>
      <w:pPr>
        <w:pStyle w:val="ListParagraph"/>
        <w:numPr>
          <w:ilvl w:val="0"/>
          <w:numId w:val="9"/>
        </w:numPr>
        <w:spacing w:before="40" w:after="60"/>
        <w:rPr/>
      </w:pPr>
      <w:r>
        <w:rPr>
          <w:rFonts w:eastAsia="Arial" w:cs="Arial"/>
          <w:sz w:val="20"/>
          <w:szCs w:val="20"/>
        </w:rPr>
        <w:t>Cover IoT and legacy systems explicitly; compensating controls for EOL kit</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Complete software inventory; all systems current; mostly automated pipeline; patch exceptions tracked and risk-owned.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Exposure Management — Falcon Spotlight</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Continuous vulnerability scanning across all managed endpoints; maps CVEs to affected hosts; prioritises by exploitability and asset criticality. Directly addresses NCSC's requirement for scanning and patch verification.</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Exposure Management — Falcon Discover</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Real-time asset inventory (hardware, software, unmanaged devices). Satisfies CMDB accuracy requirement; detects shadow IT and legacy systems that fall outside normal patch cycles.</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Exposure Management — Falcon Surface (EASM)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External attack surface view; identifies internet-facing assets that may be running unpatched services visible to attackers before defenders notice.</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Exposure Management — CTEM</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Aggregates VM, CMDB, and threat intel data into prioritised remediation workflows. Bridges the gap between 'knowing you're unpatched' and 'knowing what to fix first'.</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CrowdStrike surfaces what needs patching and validates post-remediation — it does not deliver patches. Organisations still need a patching tool (e.g., WSUS, Intune, Ansible). Falcon Spotlight coverage requires the Falcon sensor to be deployed; coverage of OT/IoT/legacy devices depends on Falcon XioT or network scanning integrations.</w:t>
      </w:r>
    </w:p>
    <w:p>
      <w:pPr>
        <w:pStyle w:val="Normal"/>
        <w:rPr/>
      </w:pPr>
      <w:r>
        <w:rPr/>
        <w:b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02</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Implement Multi-Factor Authentication and Verification</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STRONG — NATIVE FIDO2 MFA + DETECT</w:t>
      </w:r>
      <w:r>
        <w:rPr>
          <w:rFonts w:eastAsia="Arial" w:cs="Arial"/>
          <w:color w:val="555555"/>
          <w:sz w:val="20"/>
          <w:szCs w:val="20"/>
        </w:rPr>
        <w:t xml:space="preserve">    ·    </w:t>
      </w:r>
      <w:r>
        <w:rPr>
          <w:rFonts w:eastAsia="Arial" w:cs="Arial"/>
          <w:i/>
          <w:iCs/>
          <w:color w:val="888888"/>
          <w:sz w:val="18"/>
          <w:szCs w:val="18"/>
        </w:rPr>
        <w:t>https://www.ncsc.govt.nz/protect-your-organisation/multi-factor-authentication-and-verification/</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Enforce MFA on all internet-facing accounts, admin accounts, and critical systems. Extends to business process verification — out-of-band checks on payment and credential change requests — to counter BEC and invoice fraud.</w:t>
      </w:r>
    </w:p>
    <w:p>
      <w:pPr>
        <w:pStyle w:val="Heading3"/>
        <w:spacing w:before="200" w:after="80"/>
        <w:rPr/>
      </w:pPr>
      <w:r>
        <w:rPr>
          <w:rFonts w:eastAsia="Arial" w:cs="Arial"/>
          <w:b/>
          <w:bCs/>
          <w:color w:val="0A7EC2"/>
          <w:sz w:val="22"/>
          <w:szCs w:val="22"/>
        </w:rPr>
        <w:t>Key Requirements</w:t>
      </w:r>
    </w:p>
    <w:p>
      <w:pPr>
        <w:pStyle w:val="ListParagraph"/>
        <w:numPr>
          <w:ilvl w:val="0"/>
          <w:numId w:val="10"/>
        </w:numPr>
        <w:spacing w:before="40" w:after="60"/>
        <w:rPr/>
      </w:pPr>
      <w:r>
        <w:rPr>
          <w:rFonts w:eastAsia="Arial" w:cs="Arial"/>
          <w:sz w:val="20"/>
          <w:szCs w:val="20"/>
        </w:rPr>
        <w:t>Identify high-risk systems: VPN, webmail, financial platforms, cloud admin, code repos</w:t>
      </w:r>
    </w:p>
    <w:p>
      <w:pPr>
        <w:pStyle w:val="ListParagraph"/>
        <w:numPr>
          <w:ilvl w:val="0"/>
          <w:numId w:val="11"/>
        </w:numPr>
        <w:spacing w:before="40" w:after="60"/>
        <w:rPr/>
      </w:pPr>
      <w:r>
        <w:rPr>
          <w:rFonts w:eastAsia="Arial" w:cs="Arial"/>
          <w:sz w:val="20"/>
          <w:szCs w:val="20"/>
        </w:rPr>
        <w:t>Prefer phishing-resistant methods: FIDO2/U2F (YubiKey), push-notification apps</w:t>
      </w:r>
    </w:p>
    <w:p>
      <w:pPr>
        <w:pStyle w:val="ListParagraph"/>
        <w:numPr>
          <w:ilvl w:val="0"/>
          <w:numId w:val="12"/>
        </w:numPr>
        <w:spacing w:before="40" w:after="60"/>
        <w:rPr/>
      </w:pPr>
      <w:r>
        <w:rPr>
          <w:rFonts w:eastAsia="Arial" w:cs="Arial"/>
          <w:sz w:val="20"/>
          <w:szCs w:val="20"/>
        </w:rPr>
        <w:t>Avoid SMS OTP where possible — acceptable only if no better option exists</w:t>
      </w:r>
    </w:p>
    <w:p>
      <w:pPr>
        <w:pStyle w:val="ListParagraph"/>
        <w:numPr>
          <w:ilvl w:val="0"/>
          <w:numId w:val="13"/>
        </w:numPr>
        <w:spacing w:before="40" w:after="60"/>
        <w:rPr/>
      </w:pPr>
      <w:r>
        <w:rPr>
          <w:rFonts w:eastAsia="Arial" w:cs="Arial"/>
          <w:sz w:val="20"/>
          <w:szCs w:val="20"/>
        </w:rPr>
        <w:t>Train users to report unsolicited MFA challenges (MFA fatigue attacks)</w:t>
      </w:r>
    </w:p>
    <w:p>
      <w:pPr>
        <w:pStyle w:val="ListParagraph"/>
        <w:numPr>
          <w:ilvl w:val="0"/>
          <w:numId w:val="14"/>
        </w:numPr>
        <w:spacing w:before="40" w:after="60"/>
        <w:rPr/>
      </w:pPr>
      <w:r>
        <w:rPr>
          <w:rFonts w:eastAsia="Arial" w:cs="Arial"/>
          <w:sz w:val="20"/>
          <w:szCs w:val="20"/>
        </w:rPr>
        <w:t>Configure centralised auth logs; alert on unusual location and failed MFA patterns</w:t>
      </w:r>
    </w:p>
    <w:p>
      <w:pPr>
        <w:pStyle w:val="ListParagraph"/>
        <w:numPr>
          <w:ilvl w:val="0"/>
          <w:numId w:val="15"/>
        </w:numPr>
        <w:spacing w:before="40" w:after="60"/>
        <w:rPr/>
      </w:pPr>
      <w:r>
        <w:rPr>
          <w:rFonts w:eastAsia="Arial" w:cs="Arial"/>
          <w:sz w:val="20"/>
          <w:szCs w:val="20"/>
        </w:rPr>
        <w:t>Implement out-of-band business process verification for payments and access changes</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All internet-facing and admin systems require MFA; auth logs centralised; MFA fatigue attack training completed; verification processes tested.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FalconID (GA February 2026)</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CrowdStrike's native phishing-resistant MFA — directly aligned to NCSC's top-tier recommendation. FalconID is FIDO2-based biometric authentication delivered through the Falcon for Mobile app. It eliminates passwords, push notifications, and OTPs entirely. Authentication is device-bound (Bluetooth proximity check validates physical presence near the login device, structurally blocking remote MFA fatigue attacks) and domain-bound (authentication tied to legitimate domains so fake login pages cannot intercept credentials). Unlike traditional MFA tools that make a binary pass/fail decision at login, FalconID evaluates real-time Falcon platform risk signals.</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Identity Protection (Next Gen Identity)</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Detection and enforcement layer for identity-based attacks: credential stuffing, password spraying, pass-the-hash, pass-the-ticket, Kerberoasting, MFA fatigue patterns, and impossible travel logins. Enforces conditional access policies and can trigger step-up authentication or block access based on risk score — operating across existing AD, Azure AD, and hybrid environments regardless of which MFA mechanism is in use.</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NG-SIEM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Centralises authentication logs from AD, Azure AD, cloud apps, and VPN gateways. Enables correlation rules and alerting on failed MFA attempts, bypass attempts, and unusual login geography — supporting NCSC's monitoring and centralised logging requirements for this control.</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Counter Adversary Operations</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Threat intelligence on adversary credential theft and MFA bypass techniques (e.g., Scattered Spider's social engineering campaigns). Contextualises identity threats with actor TTPs to inform policy hardening and user awareness.</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rFonts w:eastAsia="Arial" w:cs="Arial"/>
          <w:i/>
          <w:i/>
          <w:iCs/>
          <w:color w:val="444444"/>
          <w:sz w:val="19"/>
          <w:szCs w:val="19"/>
        </w:rPr>
      </w:pPr>
      <w:r>
        <w:rPr>
          <w:rFonts w:eastAsia="Arial" w:cs="Arial"/>
          <w:i/>
          <w:iCs/>
          <w:color w:val="444444"/>
          <w:sz w:val="19"/>
          <w:szCs w:val="19"/>
        </w:rPr>
        <w:t xml:space="preserve">  </w:t>
      </w:r>
      <w:r>
        <w:rPr>
          <w:rFonts w:eastAsia="Arial" w:cs="Arial"/>
          <w:i/>
          <w:iCs/>
          <w:color w:val="444444"/>
          <w:sz w:val="19"/>
          <w:szCs w:val="19"/>
        </w:rPr>
        <w:t>FalconID closes the long-standing gap where CrowdStrike had no native MFA delivery mechanism and relied entirely on an external IdP. For organisations with an existing IdP (Entra ID, Okta, Ping), FalconID operates as an additional or replacement authentication layer. Business process verification (out-of-band confirmation for payment changes, credential resets) remains entirely outside CrowdStrike's scope and requires organisational process design.</w:t>
      </w:r>
    </w:p>
    <w:p>
      <w:pPr>
        <w:pStyle w:val="Normal"/>
        <w:rPr/>
      </w:pPr>
      <w:r>
        <w:rPr/>
      </w:r>
      <w:r>
        <w:br w:type="page"/>
      </w:r>
    </w:p>
    <w:p>
      <w:pPr>
        <w:pStyle w:val="Normal"/>
        <w:rPr/>
      </w:pPr>
      <w:r>
        <w:rP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03</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Provide and Use a Password Manager</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MINIMAL — DETECTIVE ONLY</w:t>
      </w:r>
      <w:r>
        <w:rPr>
          <w:rFonts w:eastAsia="Arial" w:cs="Arial"/>
          <w:color w:val="555555"/>
          <w:sz w:val="20"/>
          <w:szCs w:val="20"/>
        </w:rPr>
        <w:t xml:space="preserve">    ·    </w:t>
      </w:r>
      <w:r>
        <w:rPr>
          <w:rFonts w:eastAsia="Arial" w:cs="Arial"/>
          <w:i/>
          <w:iCs/>
          <w:color w:val="888888"/>
          <w:sz w:val="18"/>
          <w:szCs w:val="18"/>
        </w:rPr>
        <w:t>https://www.ncsc.govt.nz/protect-your-organisation/password-managers/</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Equip staff with a sanctioned password manager so every account gets a long, unique, randomly generated credential. Reduces credential reuse, simplifies shared-account management, and shrinks the blast radius of phishing.</w:t>
      </w:r>
    </w:p>
    <w:p>
      <w:pPr>
        <w:pStyle w:val="Heading3"/>
        <w:spacing w:before="200" w:after="80"/>
        <w:rPr/>
      </w:pPr>
      <w:r>
        <w:rPr>
          <w:rFonts w:eastAsia="Arial" w:cs="Arial"/>
          <w:b/>
          <w:bCs/>
          <w:color w:val="0A7EC2"/>
          <w:sz w:val="22"/>
          <w:szCs w:val="22"/>
        </w:rPr>
        <w:t>Key Requirements</w:t>
      </w:r>
    </w:p>
    <w:p>
      <w:pPr>
        <w:pStyle w:val="ListParagraph"/>
        <w:numPr>
          <w:ilvl w:val="0"/>
          <w:numId w:val="16"/>
        </w:numPr>
        <w:spacing w:before="40" w:after="60"/>
        <w:rPr/>
      </w:pPr>
      <w:r>
        <w:rPr>
          <w:rFonts w:eastAsia="Arial" w:cs="Arial"/>
          <w:sz w:val="20"/>
          <w:szCs w:val="20"/>
        </w:rPr>
        <w:t>Procure and provision an enterprise password manager (e.g., 1Password, Bitwarden, Keeper)</w:t>
      </w:r>
    </w:p>
    <w:p>
      <w:pPr>
        <w:pStyle w:val="ListParagraph"/>
        <w:numPr>
          <w:ilvl w:val="0"/>
          <w:numId w:val="17"/>
        </w:numPr>
        <w:spacing w:before="40" w:after="60"/>
        <w:rPr/>
      </w:pPr>
      <w:r>
        <w:rPr>
          <w:rFonts w:eastAsia="Arial" w:cs="Arial"/>
          <w:sz w:val="20"/>
          <w:szCs w:val="20"/>
        </w:rPr>
        <w:t>Enforce use through policy and ideally technical controls</w:t>
      </w:r>
    </w:p>
    <w:p>
      <w:pPr>
        <w:pStyle w:val="ListParagraph"/>
        <w:numPr>
          <w:ilvl w:val="0"/>
          <w:numId w:val="18"/>
        </w:numPr>
        <w:spacing w:before="40" w:after="60"/>
        <w:rPr/>
      </w:pPr>
      <w:r>
        <w:rPr>
          <w:rFonts w:eastAsia="Arial" w:cs="Arial"/>
          <w:sz w:val="20"/>
          <w:szCs w:val="20"/>
        </w:rPr>
        <w:t>Train staff on generating and using strong, unique passphrases</w:t>
      </w:r>
    </w:p>
    <w:p>
      <w:pPr>
        <w:pStyle w:val="ListParagraph"/>
        <w:numPr>
          <w:ilvl w:val="0"/>
          <w:numId w:val="19"/>
        </w:numPr>
        <w:spacing w:before="40" w:after="60"/>
        <w:rPr/>
      </w:pPr>
      <w:r>
        <w:rPr>
          <w:rFonts w:eastAsia="Arial" w:cs="Arial"/>
          <w:sz w:val="20"/>
          <w:szCs w:val="20"/>
        </w:rPr>
        <w:t>Manage shared credentials (social media, service accounts) through vault</w:t>
      </w:r>
    </w:p>
    <w:p>
      <w:pPr>
        <w:pStyle w:val="ListParagraph"/>
        <w:numPr>
          <w:ilvl w:val="0"/>
          <w:numId w:val="20"/>
        </w:numPr>
        <w:spacing w:before="40" w:after="60"/>
        <w:rPr/>
      </w:pPr>
      <w:r>
        <w:rPr>
          <w:rFonts w:eastAsia="Arial" w:cs="Arial"/>
          <w:sz w:val="20"/>
          <w:szCs w:val="20"/>
        </w:rPr>
        <w:t>Integrate with SSO/IdP where possible for seamless employee experience</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All staff have access to and actively use the password manager; no passwords reused across systems; shared accounts managed in vault.</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Identity Protection (Next Gen Identity)</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Detects use of compromised credentials (cross-referenced against threat intel) and weak or shared passwords across Active Directory. Provides compensating visibility when password hygiene is poor — effectively alerting when the problem this control is meant to prevent has already occurred.</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Counter Adversary Operations — Recon / Overwatch Identity</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Dark web monitoring for credential exposure. If employee credentials appear in breach dumps — precisely what poor password hygiene enables — this provides early warning before attackers act on them.</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CrowdStrike does not provide a password manager. The products listed above are detective compensating controls, not the preventive tooling NCSC recommends. Organisations must source a separate enterprise password manager.</w:t>
      </w:r>
    </w:p>
    <w:p>
      <w:pPr>
        <w:pStyle w:val="Normal"/>
        <w:rPr/>
      </w:pPr>
      <w:r>
        <w:rPr/>
      </w:r>
      <w:r>
        <w:br w:type="page"/>
      </w:r>
    </w:p>
    <w:p>
      <w:pPr>
        <w:pStyle w:val="Normal"/>
        <w:rPr/>
      </w:pPr>
      <w:r>
        <w:rP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04</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Centralised Logging</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STRONG</w:t>
      </w:r>
      <w:r>
        <w:rPr>
          <w:rFonts w:eastAsia="Arial" w:cs="Arial"/>
          <w:color w:val="555555"/>
          <w:sz w:val="20"/>
          <w:szCs w:val="20"/>
        </w:rPr>
        <w:t xml:space="preserve">    ·    </w:t>
      </w:r>
      <w:r>
        <w:rPr>
          <w:rFonts w:eastAsia="Arial" w:cs="Arial"/>
          <w:i/>
          <w:iCs/>
          <w:color w:val="888888"/>
          <w:sz w:val="18"/>
          <w:szCs w:val="18"/>
        </w:rPr>
        <w:t>https://www.ncsc.govt.nz/protect-your-organisation/centralised-logging/</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Aggregate all security-relevant logs (endpoints, auth, network, cloud) into a tamper-protected central system. NCSC notes that lack of logs is a recurring problem in incident investigations — without them, scope and root cause remain unknown.</w:t>
      </w:r>
    </w:p>
    <w:p>
      <w:pPr>
        <w:pStyle w:val="Heading3"/>
        <w:spacing w:before="200" w:after="80"/>
        <w:rPr/>
      </w:pPr>
      <w:r>
        <w:rPr>
          <w:rFonts w:eastAsia="Arial" w:cs="Arial"/>
          <w:b/>
          <w:bCs/>
          <w:color w:val="0A7EC2"/>
          <w:sz w:val="22"/>
          <w:szCs w:val="22"/>
        </w:rPr>
        <w:t>Key Requirements</w:t>
      </w:r>
    </w:p>
    <w:p>
      <w:pPr>
        <w:pStyle w:val="ListParagraph"/>
        <w:numPr>
          <w:ilvl w:val="0"/>
          <w:numId w:val="21"/>
        </w:numPr>
        <w:spacing w:before="40" w:after="60"/>
        <w:rPr/>
      </w:pPr>
      <w:r>
        <w:rPr>
          <w:rFonts w:eastAsia="Arial" w:cs="Arial"/>
          <w:sz w:val="20"/>
          <w:szCs w:val="20"/>
        </w:rPr>
        <w:t>Define a log inventory: business-critical systems, auth failures, legacy protocol usage, physical access</w:t>
      </w:r>
    </w:p>
    <w:p>
      <w:pPr>
        <w:pStyle w:val="ListParagraph"/>
        <w:numPr>
          <w:ilvl w:val="0"/>
          <w:numId w:val="22"/>
        </w:numPr>
        <w:spacing w:before="40" w:after="60"/>
        <w:rPr/>
      </w:pPr>
      <w:r>
        <w:rPr>
          <w:rFonts w:eastAsia="Arial" w:cs="Arial"/>
          <w:sz w:val="20"/>
          <w:szCs w:val="20"/>
        </w:rPr>
        <w:t>Send all logs to a hardened central system with RBAC (read-only for analysts)</w:t>
      </w:r>
    </w:p>
    <w:p>
      <w:pPr>
        <w:pStyle w:val="ListParagraph"/>
        <w:numPr>
          <w:ilvl w:val="0"/>
          <w:numId w:val="23"/>
        </w:numPr>
        <w:spacing w:before="40" w:after="60"/>
        <w:rPr/>
      </w:pPr>
      <w:r>
        <w:rPr>
          <w:rFonts w:eastAsia="Arial" w:cs="Arial"/>
          <w:sz w:val="20"/>
          <w:szCs w:val="20"/>
        </w:rPr>
        <w:t>Normalise timestamps across all sources (UTC)</w:t>
      </w:r>
    </w:p>
    <w:p>
      <w:pPr>
        <w:pStyle w:val="ListParagraph"/>
        <w:numPr>
          <w:ilvl w:val="0"/>
          <w:numId w:val="24"/>
        </w:numPr>
        <w:spacing w:before="40" w:after="60"/>
        <w:rPr/>
      </w:pPr>
      <w:r>
        <w:rPr>
          <w:rFonts w:eastAsia="Arial" w:cs="Arial"/>
          <w:sz w:val="20"/>
          <w:szCs w:val="20"/>
        </w:rPr>
        <w:t>Retain logs long enough for investigation — NCSC notes incidents are often discovered months later</w:t>
      </w:r>
    </w:p>
    <w:p>
      <w:pPr>
        <w:pStyle w:val="ListParagraph"/>
        <w:numPr>
          <w:ilvl w:val="0"/>
          <w:numId w:val="25"/>
        </w:numPr>
        <w:spacing w:before="40" w:after="60"/>
        <w:rPr/>
      </w:pPr>
      <w:r>
        <w:rPr>
          <w:rFonts w:eastAsia="Arial" w:cs="Arial"/>
          <w:sz w:val="20"/>
          <w:szCs w:val="20"/>
        </w:rPr>
        <w:t>Set up automated alerting on high-priority events (admin auth failures, config changes)</w:t>
      </w:r>
    </w:p>
    <w:p>
      <w:pPr>
        <w:pStyle w:val="ListParagraph"/>
        <w:numPr>
          <w:ilvl w:val="0"/>
          <w:numId w:val="26"/>
        </w:numPr>
        <w:spacing w:before="40" w:after="60"/>
        <w:rPr/>
      </w:pPr>
      <w:r>
        <w:rPr>
          <w:rFonts w:eastAsia="Arial" w:cs="Arial"/>
          <w:sz w:val="20"/>
          <w:szCs w:val="20"/>
        </w:rPr>
        <w:t>Build dashboards for anomaly detection (traffic spikes, blocked URLs)</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All critical sources logging centrally; tamper-evident storage; automated alerting configured; sufficient retention for investigation scope.</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NG-SIEM (Next Generation SIEM)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CrowdStrike's primary response to this control. Ingests telemetry from Falcon endpoints, identity, cloud, and third-party sources. Provides correlation rules, detection dashboards, and alerting. Cloud-native, petabyte-scale log platform that replaces or augments traditional SIEMs. Directly maps to NCSC's requirement for a central logging system with alerting.</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Insight XDR (EDR)</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Provides rich, continuous endpoint telemetry — process trees, network connections, file writes, registry changes — that feeds into NG-SIEM. Each endpoint becomes a high-fidelity log source without manual log configuration.</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Identity Protection</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Authentication event logs (AD, Azure AD, LDAP) are captured and enriched with risk scoring before being forwarded to NG-SIEM, supporting NCSC's requirement to log and alert on authentication failures.</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 xml:space="preserve">NG-SIEM requires connectors for non-CrowdStrike sources (firewalls, SaaS apps, network devices). </w:t>
      </w:r>
      <w:r>
        <w:rPr>
          <w:rFonts w:eastAsia="Arial" w:cs="Arial"/>
          <w:i/>
          <w:iCs/>
          <w:color w:val="444444"/>
          <w:sz w:val="19"/>
          <w:szCs w:val="19"/>
        </w:rPr>
        <w:t>CrowdStrike recommends partnering with an Authorized Services Partner for NG-SIEM</w:t>
      </w:r>
      <w:r>
        <w:rPr>
          <w:rFonts w:eastAsia="Arial" w:cs="Arial"/>
          <w:i/>
          <w:iCs/>
          <w:color w:val="444444"/>
          <w:sz w:val="19"/>
          <w:szCs w:val="19"/>
        </w:rPr>
        <w:t xml:space="preserve">. Log retention duration is a commercial and licencing consideration that must be aligned to NCSC's investigation-ready requirements. NG-SIEM does not cover physical access control systems (swipe card logs) referenced by NCSC </w:t>
      </w:r>
      <w:r>
        <w:rPr>
          <w:rFonts w:eastAsia="Arial" w:cs="Arial"/>
          <w:i/>
          <w:iCs/>
          <w:color w:val="444444"/>
          <w:sz w:val="19"/>
          <w:szCs w:val="19"/>
        </w:rPr>
        <w:t>unless they can be ingested as supported source and operationalized through the Partner.</w:t>
      </w:r>
    </w:p>
    <w:p>
      <w:pPr>
        <w:pStyle w:val="Normal"/>
        <w:rPr/>
      </w:pPr>
      <w:r>
        <w:rPr/>
        <w:b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05</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Build Security Awareness in Your Organisation</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MINIMAL — INTEL INPUT ONLY</w:t>
      </w:r>
      <w:r>
        <w:rPr>
          <w:rFonts w:eastAsia="Arial" w:cs="Arial"/>
          <w:color w:val="555555"/>
          <w:sz w:val="20"/>
          <w:szCs w:val="20"/>
        </w:rPr>
        <w:t xml:space="preserve">    ·    </w:t>
      </w:r>
      <w:r>
        <w:rPr>
          <w:rFonts w:eastAsia="Arial" w:cs="Arial"/>
          <w:i/>
          <w:iCs/>
          <w:color w:val="888888"/>
          <w:sz w:val="18"/>
          <w:szCs w:val="18"/>
        </w:rPr>
        <w:t>https://www.ncsc.govt.nz/protect-your-organisation/build-security-awareness-in-your-organisation/</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Invest in ongoing human-layer security. NCSC reports that a significant percentage of breaches involve a human element. Phishing, credential theft, and social engineering depend on exploiting human behaviour, making technical controls alone insufficient.</w:t>
      </w:r>
    </w:p>
    <w:p>
      <w:pPr>
        <w:pStyle w:val="Heading3"/>
        <w:spacing w:before="200" w:after="80"/>
        <w:rPr/>
      </w:pPr>
      <w:r>
        <w:rPr>
          <w:rFonts w:eastAsia="Arial" w:cs="Arial"/>
          <w:b/>
          <w:bCs/>
          <w:color w:val="0A7EC2"/>
          <w:sz w:val="22"/>
          <w:szCs w:val="22"/>
        </w:rPr>
        <w:t>Key Requirements</w:t>
      </w:r>
    </w:p>
    <w:p>
      <w:pPr>
        <w:pStyle w:val="ListParagraph"/>
        <w:numPr>
          <w:ilvl w:val="0"/>
          <w:numId w:val="27"/>
        </w:numPr>
        <w:spacing w:before="40" w:after="60"/>
        <w:rPr/>
      </w:pPr>
      <w:r>
        <w:rPr>
          <w:rFonts w:eastAsia="Arial" w:cs="Arial"/>
          <w:sz w:val="20"/>
          <w:szCs w:val="20"/>
        </w:rPr>
        <w:t>Regular, recurring security awareness training — not just annual compliance checkbox</w:t>
      </w:r>
    </w:p>
    <w:p>
      <w:pPr>
        <w:pStyle w:val="ListParagraph"/>
        <w:numPr>
          <w:ilvl w:val="0"/>
          <w:numId w:val="28"/>
        </w:numPr>
        <w:spacing w:before="40" w:after="60"/>
        <w:rPr/>
      </w:pPr>
      <w:r>
        <w:rPr>
          <w:rFonts w:eastAsia="Arial" w:cs="Arial"/>
          <w:sz w:val="20"/>
          <w:szCs w:val="20"/>
        </w:rPr>
        <w:t>Simulated phishing exercises to test and reinforce awareness</w:t>
      </w:r>
    </w:p>
    <w:p>
      <w:pPr>
        <w:pStyle w:val="ListParagraph"/>
        <w:numPr>
          <w:ilvl w:val="0"/>
          <w:numId w:val="29"/>
        </w:numPr>
        <w:spacing w:before="40" w:after="60"/>
        <w:rPr/>
      </w:pPr>
      <w:r>
        <w:rPr>
          <w:rFonts w:eastAsia="Arial" w:cs="Arial"/>
          <w:sz w:val="20"/>
          <w:szCs w:val="20"/>
        </w:rPr>
        <w:t>Tailored content for different roles (finance, IT admin, general staff)</w:t>
      </w:r>
    </w:p>
    <w:p>
      <w:pPr>
        <w:pStyle w:val="ListParagraph"/>
        <w:numPr>
          <w:ilvl w:val="0"/>
          <w:numId w:val="30"/>
        </w:numPr>
        <w:spacing w:before="40" w:after="60"/>
        <w:rPr/>
      </w:pPr>
      <w:r>
        <w:rPr>
          <w:rFonts w:eastAsia="Arial" w:cs="Arial"/>
          <w:sz w:val="20"/>
          <w:szCs w:val="20"/>
        </w:rPr>
        <w:t>Clear reporting mechanism for suspicious emails and calls</w:t>
      </w:r>
    </w:p>
    <w:p>
      <w:pPr>
        <w:pStyle w:val="ListParagraph"/>
        <w:numPr>
          <w:ilvl w:val="0"/>
          <w:numId w:val="31"/>
        </w:numPr>
        <w:spacing w:before="40" w:after="60"/>
        <w:rPr/>
      </w:pPr>
      <w:r>
        <w:rPr>
          <w:rFonts w:eastAsia="Arial" w:cs="Arial"/>
          <w:sz w:val="20"/>
          <w:szCs w:val="20"/>
        </w:rPr>
        <w:t>Culture of security: people feel safe reporting mistakes without fear of blame</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Measurable reduction in phishing simulation click rates; staff actively report suspicious activity; security culture embedded in onboarding.</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Counter Adversary Operations (Threat Intelligence)</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Provides current, contextual threat intelligence on active campaigns targeting NZ/AU organisations and specific industries. Feeds security awareness content with real, relevant examples rather than generic training scenarios — making awareness programmes more compelling and accurate.</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highlight w:val="none"/>
                <w:shd w:fill="FF4000" w:val="clear"/>
              </w:rPr>
            </w:pPr>
            <w:r>
              <w:rPr>
                <w:rFonts w:eastAsia="Arial" w:cs="Arial"/>
                <w:b/>
                <w:bCs/>
                <w:sz w:val="19"/>
                <w:szCs w:val="19"/>
                <w:shd w:fill="FF4000" w:val="clear"/>
              </w:rPr>
              <w:t>Falcon Complete MDR — Threat Intelligence Briefings</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highlight w:val="none"/>
                <w:shd w:fill="FF4000" w:val="clear"/>
              </w:rPr>
            </w:pPr>
            <w:r>
              <w:rPr>
                <w:rFonts w:eastAsia="Arial" w:cs="Arial"/>
                <w:sz w:val="19"/>
                <w:szCs w:val="19"/>
                <w:shd w:fill="FF4000" w:val="clear"/>
              </w:rPr>
              <w:t>Regular threat briefings available via Falcon Complete and Overwatch can be translated into security awareness content relevant to your industry and region.</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CrowdStrike does not provide a security awareness training platform or phishing simulation tool. Organisations need a dedicated platform (e.g., KnowBe4, Proofpoint Security Awareness, Cofense). The CrowdStrike value here is enriching training content with real threat intelligence — not delivering the training itself.</w:t>
      </w:r>
    </w:p>
    <w:p>
      <w:pPr>
        <w:pStyle w:val="Normal"/>
        <w:rPr/>
      </w:pPr>
      <w:r>
        <w:rPr/>
        <w:br/>
      </w:r>
      <w:r>
        <w:br w:type="page"/>
      </w:r>
    </w:p>
    <w:p>
      <w:pPr>
        <w:pStyle w:val="Normal"/>
        <w:rPr/>
      </w:pPr>
      <w:r>
        <w:rP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06</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Asset Lifecycle Management</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STRONG</w:t>
      </w:r>
      <w:r>
        <w:rPr>
          <w:rFonts w:eastAsia="Arial" w:cs="Arial"/>
          <w:color w:val="555555"/>
          <w:sz w:val="20"/>
          <w:szCs w:val="20"/>
        </w:rPr>
        <w:t xml:space="preserve">    ·    </w:t>
      </w:r>
      <w:r>
        <w:rPr>
          <w:rFonts w:eastAsia="Arial" w:cs="Arial"/>
          <w:i/>
          <w:iCs/>
          <w:color w:val="888888"/>
          <w:sz w:val="18"/>
          <w:szCs w:val="18"/>
        </w:rPr>
        <w:t>https://www.ncsc.govt.nz/protect-your-organisation/asset-lifecycle-management/</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Track all hardware and software through their full lifecycle: procurement, deployment, maintenance, and decommissioning. NCSC has seen many incidents caused by forgotten systems — left unpatched, hardened at deployment but never maintained, or running past end-of-support.</w:t>
      </w:r>
    </w:p>
    <w:p>
      <w:pPr>
        <w:pStyle w:val="Heading3"/>
        <w:spacing w:before="200" w:after="80"/>
        <w:rPr/>
      </w:pPr>
      <w:r>
        <w:rPr>
          <w:rFonts w:eastAsia="Arial" w:cs="Arial"/>
          <w:b/>
          <w:bCs/>
          <w:color w:val="0A7EC2"/>
          <w:sz w:val="22"/>
          <w:szCs w:val="22"/>
        </w:rPr>
        <w:t>Key Requirements</w:t>
      </w:r>
    </w:p>
    <w:p>
      <w:pPr>
        <w:pStyle w:val="ListParagraph"/>
        <w:numPr>
          <w:ilvl w:val="0"/>
          <w:numId w:val="32"/>
        </w:numPr>
        <w:spacing w:before="40" w:after="60"/>
        <w:rPr/>
      </w:pPr>
      <w:r>
        <w:rPr>
          <w:rFonts w:eastAsia="Arial" w:cs="Arial"/>
          <w:sz w:val="20"/>
          <w:szCs w:val="20"/>
        </w:rPr>
        <w:t>Maintain an accurate, automated asset inventory (not manually-maintained spreadsheets)</w:t>
      </w:r>
    </w:p>
    <w:p>
      <w:pPr>
        <w:pStyle w:val="ListParagraph"/>
        <w:numPr>
          <w:ilvl w:val="0"/>
          <w:numId w:val="33"/>
        </w:numPr>
        <w:spacing w:before="40" w:after="60"/>
        <w:rPr/>
      </w:pPr>
      <w:r>
        <w:rPr>
          <w:rFonts w:eastAsia="Arial" w:cs="Arial"/>
          <w:sz w:val="20"/>
          <w:szCs w:val="20"/>
        </w:rPr>
        <w:t>Track software versions and patch levels per asset</w:t>
      </w:r>
    </w:p>
    <w:p>
      <w:pPr>
        <w:pStyle w:val="ListParagraph"/>
        <w:numPr>
          <w:ilvl w:val="0"/>
          <w:numId w:val="34"/>
        </w:numPr>
        <w:spacing w:before="40" w:after="60"/>
        <w:rPr/>
      </w:pPr>
      <w:r>
        <w:rPr>
          <w:rFonts w:eastAsia="Arial" w:cs="Arial"/>
          <w:sz w:val="20"/>
          <w:szCs w:val="20"/>
        </w:rPr>
        <w:t>Monitor vendor support status; flag assets approaching EOL</w:t>
      </w:r>
    </w:p>
    <w:p>
      <w:pPr>
        <w:pStyle w:val="ListParagraph"/>
        <w:numPr>
          <w:ilvl w:val="0"/>
          <w:numId w:val="35"/>
        </w:numPr>
        <w:spacing w:before="40" w:after="60"/>
        <w:rPr/>
      </w:pPr>
      <w:r>
        <w:rPr>
          <w:rFonts w:eastAsia="Arial" w:cs="Arial"/>
          <w:sz w:val="20"/>
          <w:szCs w:val="20"/>
        </w:rPr>
        <w:t>Define decommissioning procedures (data wiping, credential and certificate revocation)</w:t>
      </w:r>
    </w:p>
    <w:p>
      <w:pPr>
        <w:pStyle w:val="ListParagraph"/>
        <w:numPr>
          <w:ilvl w:val="0"/>
          <w:numId w:val="36"/>
        </w:numPr>
        <w:spacing w:before="40" w:after="60"/>
        <w:rPr/>
      </w:pPr>
      <w:r>
        <w:rPr>
          <w:rFonts w:eastAsia="Arial" w:cs="Arial"/>
          <w:sz w:val="20"/>
          <w:szCs w:val="20"/>
        </w:rPr>
        <w:t>Ensure CMDB accuracy via automated discovery, not manual entry alone</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Real-time, automated inventory of all hardware and software; EOL systems identified and risk-owned; decommissioned assets properly sanitised.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Exposure Management — Falcon Discover</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Real-time, automated asset inventory drawn from Falcon sensors. Tracks managed assets, unmanaged devices on the network, cloud workloads, and SaaS accounts. Replaces the out-of-date spreadsheet CMDB anti-pattern. Continuously updated without manual input.</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Exposure Management — Falcon Spotlight</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Cross-references the asset inventory with vulnerability data to flag assets running EOL software or operating systems with no available patches — directly supporting NCSC's EOL tracking requirement.</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Exposure Management — Falcon Surface (EASM)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Discovers externally exposed assets that may have been forgotten — shadow IT or retired systems left internet-facing. Specifically addresses NCSC's concern about systems left undecommissioned.</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Cloud Security (CSPM)</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For cloud-based assets, continuously inventories cloud resources and flags orphaned or unmanaged workloads that represent lifecycle management failures.</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Falcon Discover provides strong coverage for systems where the Falcon sensor is deployed. Coverage of unmanaged endpoints, OT/ICS systems, and network infrastructure devices is more limited. Full CMDB integration (feeding Falcon data into a ServiceNow or JIRA-style CMDB) requires additional configuration. Physical hardware lifecycle tracking (asset tagging, procurement records) is outside CrowdStrike's scope.</w:t>
      </w:r>
    </w:p>
    <w:p>
      <w:pPr>
        <w:pStyle w:val="Normal"/>
        <w:rPr/>
      </w:pPr>
      <w:r>
        <w:rPr/>
        <w:br/>
      </w:r>
      <w:r>
        <w:br w:type="page"/>
      </w:r>
    </w:p>
    <w:p>
      <w:pPr>
        <w:pStyle w:val="Normal"/>
        <w:rPr/>
      </w:pPr>
      <w:r>
        <w:rP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07</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Implement and Test Backups</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PARTIAL — DETECTION ONLY</w:t>
      </w:r>
      <w:r>
        <w:rPr>
          <w:rFonts w:eastAsia="Arial" w:cs="Arial"/>
          <w:color w:val="555555"/>
          <w:sz w:val="20"/>
          <w:szCs w:val="20"/>
        </w:rPr>
        <w:t xml:space="preserve">    ·    </w:t>
      </w:r>
      <w:r>
        <w:rPr>
          <w:rFonts w:eastAsia="Arial" w:cs="Arial"/>
          <w:i/>
          <w:iCs/>
          <w:color w:val="888888"/>
          <w:sz w:val="18"/>
          <w:szCs w:val="18"/>
        </w:rPr>
        <w:t>https://www.ncsc.govt.nz/protect-your-organisation/implement-and-test-backups/</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Ensure business-critical data can be restored quickly after a cyber incident (particularly ransomware) or accidental loss. NCSC highlights that ransomware appears consistently in quarterly reports — tested backups are the most cost-effective resilience control.</w:t>
      </w:r>
    </w:p>
    <w:p>
      <w:pPr>
        <w:pStyle w:val="Heading3"/>
        <w:spacing w:before="200" w:after="80"/>
        <w:rPr/>
      </w:pPr>
      <w:r>
        <w:rPr>
          <w:rFonts w:eastAsia="Arial" w:cs="Arial"/>
          <w:b/>
          <w:bCs/>
          <w:color w:val="0A7EC2"/>
          <w:sz w:val="22"/>
          <w:szCs w:val="22"/>
        </w:rPr>
        <w:t>Key Requirements</w:t>
      </w:r>
    </w:p>
    <w:p>
      <w:pPr>
        <w:pStyle w:val="ListParagraph"/>
        <w:numPr>
          <w:ilvl w:val="0"/>
          <w:numId w:val="37"/>
        </w:numPr>
        <w:spacing w:before="40" w:after="60"/>
        <w:rPr/>
      </w:pPr>
      <w:r>
        <w:rPr>
          <w:rFonts w:eastAsia="Arial" w:cs="Arial"/>
          <w:sz w:val="20"/>
          <w:szCs w:val="20"/>
        </w:rPr>
        <w:t>Identify and prioritise critical data for backup</w:t>
      </w:r>
    </w:p>
    <w:p>
      <w:pPr>
        <w:pStyle w:val="ListParagraph"/>
        <w:numPr>
          <w:ilvl w:val="0"/>
          <w:numId w:val="38"/>
        </w:numPr>
        <w:spacing w:before="40" w:after="60"/>
        <w:rPr/>
      </w:pPr>
      <w:r>
        <w:rPr>
          <w:rFonts w:eastAsia="Arial" w:cs="Arial"/>
          <w:sz w:val="20"/>
          <w:szCs w:val="20"/>
        </w:rPr>
        <w:t>Follow 3-2-1 rule: 3 copies, 2 different media types, 1 offsite or air-gapped</w:t>
      </w:r>
    </w:p>
    <w:p>
      <w:pPr>
        <w:pStyle w:val="ListParagraph"/>
        <w:numPr>
          <w:ilvl w:val="0"/>
          <w:numId w:val="39"/>
        </w:numPr>
        <w:spacing w:before="40" w:after="60"/>
        <w:rPr/>
      </w:pPr>
      <w:r>
        <w:rPr>
          <w:rFonts w:eastAsia="Arial" w:cs="Arial"/>
          <w:sz w:val="20"/>
          <w:szCs w:val="20"/>
        </w:rPr>
        <w:t>Ensure backups are immutable and protected from ransomware encryption</w:t>
      </w:r>
    </w:p>
    <w:p>
      <w:pPr>
        <w:pStyle w:val="ListParagraph"/>
        <w:numPr>
          <w:ilvl w:val="0"/>
          <w:numId w:val="40"/>
        </w:numPr>
        <w:spacing w:before="40" w:after="60"/>
        <w:rPr/>
      </w:pPr>
      <w:r>
        <w:rPr>
          <w:rFonts w:eastAsia="Arial" w:cs="Arial"/>
          <w:sz w:val="20"/>
          <w:szCs w:val="20"/>
        </w:rPr>
        <w:t>Test restoration regularly — backups that have not been tested are not backups</w:t>
      </w:r>
    </w:p>
    <w:p>
      <w:pPr>
        <w:pStyle w:val="ListParagraph"/>
        <w:numPr>
          <w:ilvl w:val="0"/>
          <w:numId w:val="41"/>
        </w:numPr>
        <w:spacing w:before="40" w:after="60"/>
        <w:rPr/>
      </w:pPr>
      <w:r>
        <w:rPr>
          <w:rFonts w:eastAsia="Arial" w:cs="Arial"/>
          <w:sz w:val="20"/>
          <w:szCs w:val="20"/>
        </w:rPr>
        <w:t>Document RTO/RPO for critical systems and align with business expectations</w:t>
      </w:r>
    </w:p>
    <w:p>
      <w:pPr>
        <w:pStyle w:val="ListParagraph"/>
        <w:numPr>
          <w:ilvl w:val="0"/>
          <w:numId w:val="42"/>
        </w:numPr>
        <w:spacing w:before="40" w:after="60"/>
        <w:rPr/>
      </w:pPr>
      <w:r>
        <w:rPr>
          <w:rFonts w:eastAsia="Arial" w:cs="Arial"/>
          <w:sz w:val="20"/>
          <w:szCs w:val="20"/>
        </w:rPr>
        <w:t>Protect backup infrastructure credentials (a common ransomware pivot target)</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Tested, air-gapped, immutable backups in place for all critical systems; RTO/RPO defined and validated; backup credentials protected.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Insight XDR (EDR) / Falcon Prevent</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Detects ransomware behaviour — mass file encryption, shadow copy deletion, backup service tampering — before encryption is complete. Early detection reduces the scope of data loss and reduces the likelihood of needing a full restoration. This is not a backup solution; it reduces the frequency with which backups need to be invoked by stopping attacks earlier in the kill chain.</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NG-SIEM</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Alerting on Volume Shadow Copy Service (VSS) deletion commands, backup service tampering, and unusual access to backup infrastructure paths — providing early warning of ransomware pre-staging before encryption begins. This supports NCSC's monitoring requirement but does not replace backup tooling or backup testing.</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 xml:space="preserve">CrowdStrike does not provide backup infrastructure, backup testing, or data recovery capabilities. </w:t>
      </w:r>
      <w:r>
        <w:rPr>
          <w:rFonts w:eastAsia="Arial" w:cs="Arial"/>
          <w:i/>
          <w:iCs/>
          <w:color w:val="444444"/>
          <w:sz w:val="19"/>
          <w:szCs w:val="19"/>
          <w:shd w:fill="FF4000" w:val="clear"/>
        </w:rPr>
        <w:t xml:space="preserve">The control specifically calls for tested, immutable, air-gapped backups with validated RTO/RPO — none of which CrowdStrike delivers. </w:t>
      </w:r>
      <w:r>
        <w:rPr>
          <w:rFonts w:eastAsia="Arial" w:cs="Arial"/>
          <w:i/>
          <w:iCs/>
          <w:color w:val="444444"/>
          <w:sz w:val="19"/>
          <w:szCs w:val="19"/>
        </w:rPr>
        <w:t>Organisations need dedicated solutions (e.g., Veeam, Commvault, Azure Backup, AWS Backup). Falcon Complete MDR, while excellent at threat detection and response, does not assist with backup testing or recovery validation either — that scope sits firmly with backup vendors and the organisation's own IT operations team.</w:t>
      </w:r>
    </w:p>
    <w:p>
      <w:pPr>
        <w:pStyle w:val="Normal"/>
        <w:rPr/>
      </w:pPr>
      <w:r>
        <w:rPr/>
        <w:br/>
      </w:r>
      <w:r>
        <w:br w:type="page"/>
      </w:r>
    </w:p>
    <w:p>
      <w:pPr>
        <w:pStyle w:val="Normal"/>
        <w:rPr/>
      </w:pPr>
      <w:r>
        <w:rP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08</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Implement Application Control</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STRONG (behavioural) / PARTIAL (strict allowlisting)</w:t>
      </w:r>
      <w:r>
        <w:rPr>
          <w:rFonts w:eastAsia="Arial" w:cs="Arial"/>
          <w:color w:val="555555"/>
          <w:sz w:val="20"/>
          <w:szCs w:val="20"/>
        </w:rPr>
        <w:t xml:space="preserve">    ·    </w:t>
      </w:r>
      <w:r>
        <w:rPr>
          <w:rFonts w:eastAsia="Arial" w:cs="Arial"/>
          <w:i/>
          <w:iCs/>
          <w:color w:val="888888"/>
          <w:sz w:val="18"/>
          <w:szCs w:val="18"/>
        </w:rPr>
        <w:t>https://www.ncsc.govt.nz/protect-your-organisation/application-control/</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Prevent unauthorised or malicious software from running. NCSC describes this as one of the most effective controls against malware and ransomware — ranging from full allowlisting (only approved hashes/signatures can execute) to EDR-based behavioural blocking as a lower-effort starting point.</w:t>
      </w:r>
    </w:p>
    <w:p>
      <w:pPr>
        <w:pStyle w:val="Heading3"/>
        <w:spacing w:before="200" w:after="80"/>
        <w:rPr/>
      </w:pPr>
      <w:r>
        <w:rPr>
          <w:rFonts w:eastAsia="Arial" w:cs="Arial"/>
          <w:b/>
          <w:bCs/>
          <w:color w:val="0A7EC2"/>
          <w:sz w:val="22"/>
          <w:szCs w:val="22"/>
        </w:rPr>
        <w:t>Key Requirements</w:t>
      </w:r>
    </w:p>
    <w:p>
      <w:pPr>
        <w:pStyle w:val="ListParagraph"/>
        <w:numPr>
          <w:ilvl w:val="0"/>
          <w:numId w:val="43"/>
        </w:numPr>
        <w:spacing w:before="40" w:after="60"/>
        <w:rPr/>
      </w:pPr>
      <w:r>
        <w:rPr>
          <w:rFonts w:eastAsia="Arial" w:cs="Arial"/>
          <w:sz w:val="20"/>
          <w:szCs w:val="20"/>
        </w:rPr>
        <w:t>Use EDR-based behavioural blocking as minimum viable control</w:t>
      </w:r>
    </w:p>
    <w:p>
      <w:pPr>
        <w:pStyle w:val="ListParagraph"/>
        <w:numPr>
          <w:ilvl w:val="0"/>
          <w:numId w:val="44"/>
        </w:numPr>
        <w:spacing w:before="40" w:after="60"/>
        <w:rPr/>
      </w:pPr>
      <w:r>
        <w:rPr>
          <w:rFonts w:eastAsia="Arial" w:cs="Arial"/>
          <w:sz w:val="20"/>
          <w:szCs w:val="20"/>
        </w:rPr>
        <w:t>For higher assurance: implement application allowlisting with hash or publisher-based rules</w:t>
      </w:r>
    </w:p>
    <w:p>
      <w:pPr>
        <w:pStyle w:val="ListParagraph"/>
        <w:numPr>
          <w:ilvl w:val="0"/>
          <w:numId w:val="45"/>
        </w:numPr>
        <w:spacing w:before="40" w:after="60"/>
        <w:rPr/>
      </w:pPr>
      <w:r>
        <w:rPr>
          <w:rFonts w:eastAsia="Arial" w:cs="Arial"/>
          <w:sz w:val="20"/>
          <w:szCs w:val="20"/>
        </w:rPr>
        <w:t>Run in audit mode first; move to enforce mode after validation</w:t>
      </w:r>
    </w:p>
    <w:p>
      <w:pPr>
        <w:pStyle w:val="ListParagraph"/>
        <w:numPr>
          <w:ilvl w:val="0"/>
          <w:numId w:val="46"/>
        </w:numPr>
        <w:spacing w:before="40" w:after="60"/>
        <w:rPr/>
      </w:pPr>
      <w:r>
        <w:rPr>
          <w:rFonts w:eastAsia="Arial" w:cs="Arial"/>
          <w:sz w:val="20"/>
          <w:szCs w:val="20"/>
        </w:rPr>
        <w:t>Block high-risk file types (macros, script files, executable downloads from internet)</w:t>
      </w:r>
    </w:p>
    <w:p>
      <w:pPr>
        <w:pStyle w:val="ListParagraph"/>
        <w:numPr>
          <w:ilvl w:val="0"/>
          <w:numId w:val="47"/>
        </w:numPr>
        <w:spacing w:before="40" w:after="60"/>
        <w:rPr/>
      </w:pPr>
      <w:r>
        <w:rPr>
          <w:rFonts w:eastAsia="Arial" w:cs="Arial"/>
          <w:sz w:val="20"/>
          <w:szCs w:val="20"/>
        </w:rPr>
        <w:t>Monitor for LOLBin (living-off-the-land binary) bypass techniques</w:t>
      </w:r>
    </w:p>
    <w:p>
      <w:pPr>
        <w:pStyle w:val="ListParagraph"/>
        <w:numPr>
          <w:ilvl w:val="0"/>
          <w:numId w:val="48"/>
        </w:numPr>
        <w:spacing w:before="40" w:after="60"/>
        <w:rPr/>
      </w:pPr>
      <w:r>
        <w:rPr>
          <w:rFonts w:eastAsia="Arial" w:cs="Arial"/>
          <w:sz w:val="20"/>
          <w:szCs w:val="20"/>
        </w:rPr>
        <w:t>Review policies at least annually; automate rule updates via vendor feeds</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All endpoints have enforced application control; blocked execution attempts logged centrally; policies auto-updated; bypass techniques monitored.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Prevent (Next-Gen Antivirus)</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Machine learning-based prevention that blocks known and unknown malware without relying solely on signatures. Provides script control (blocks malicious PowerShell, WScript, CScript), macro protection, and suspicious process blocking — effectively implementing behavioural application control.</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Insight XDR (EDR)</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Records all process executions, parent-child relationships, and lateral movement. Enables both real-time blocking and retrospective investigation of execution chains. Supports NCSC's requirement to log all blocked execution attempts centrally.</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Exposure Management — Falcon Discover (via Falcon for IT)</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 xml:space="preserve">Provides a full software and package inventory across all managed endpoints — surfaced in the Falcon Exposure Management console. This gives security teams the baseline they need to know what is installed before they can control what is allowed to run. </w:t>
            </w:r>
            <w:r>
              <w:rPr>
                <w:rFonts w:eastAsia="Arial" w:cs="Arial"/>
                <w:sz w:val="19"/>
                <w:szCs w:val="19"/>
                <w:shd w:fill="FF4000" w:val="clear"/>
              </w:rPr>
              <w:t>CrowdStrike demonstrated this exact workflow in their OpenClaw blog (Feb 2026):</w:t>
            </w:r>
            <w:r>
              <w:rPr>
                <w:rFonts w:eastAsia="Arial" w:cs="Arial"/>
                <w:sz w:val="19"/>
                <w:szCs w:val="19"/>
              </w:rPr>
              <w:t xml:space="preserve"> Falcon for IT inventories software packages via agent-based inspection, findings appear centrally in Exposure Management, and NG-SIEM's AI Service Usage Monitor dashboard provides real-time visibility of application activity. This directly supports the 'understand your environment before you enforce' approach NCSC recommends.</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Fusion (SOAR)</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Automates response workflows for application control violations — auto-isolating an endpoint when a blocked execution attempt matches a known threat pattern, rather than waiting for analyst review.</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shd w:fill="FF4000" w:val="clear"/>
        </w:rPr>
        <w:t xml:space="preserve"> </w:t>
      </w:r>
      <w:r>
        <w:rPr>
          <w:rFonts w:eastAsia="Arial" w:cs="Arial"/>
          <w:i/>
          <w:iCs/>
          <w:color w:val="444444"/>
          <w:sz w:val="19"/>
          <w:szCs w:val="19"/>
          <w:shd w:fill="FF4000" w:val="clear"/>
        </w:rPr>
        <w:t>Falcon Prevent is behaviour-based blocking, not traditional allowlisting (which requires explicit hash or signature approval for every permitted application). NCSC acknowledges the behavioural approach as a valid lower-effort option. Organisations requiring strict allowlisting (e.g., government and critical infrastructure) may need a dedicated tool (AppLocker, WDAC, or third-party). LOLBin monitoring requires ongoing rule tuning as bypass techniques evolve.</w:t>
      </w:r>
    </w:p>
    <w:p>
      <w:pPr>
        <w:pStyle w:val="Normal"/>
        <w:rPr/>
      </w:pPr>
      <w:r>
        <w:rPr/>
        <w:b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09</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Enforce the Principle of Least Privilege</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STRONG — DETECT + ENFORCE + JIT</w:t>
      </w:r>
      <w:r>
        <w:rPr>
          <w:rFonts w:eastAsia="Arial" w:cs="Arial"/>
          <w:color w:val="555555"/>
          <w:sz w:val="20"/>
          <w:szCs w:val="20"/>
        </w:rPr>
        <w:t xml:space="preserve">    ·    </w:t>
      </w:r>
      <w:r>
        <w:rPr>
          <w:rFonts w:eastAsia="Arial" w:cs="Arial"/>
          <w:i/>
          <w:iCs/>
          <w:color w:val="888888"/>
          <w:sz w:val="18"/>
          <w:szCs w:val="18"/>
        </w:rPr>
        <w:t>https://www.ncsc.govt.nz/protect-your-organisation/principle-of-least-privilege/</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Grant users and processes only the minimum access needed to perform their job. Limits lateral movement if credentials are compromised; reduces blast radius of insider threats and misconfigurations. Requires separate accounts for standard and administrative use.</w:t>
      </w:r>
    </w:p>
    <w:p>
      <w:pPr>
        <w:pStyle w:val="Heading3"/>
        <w:spacing w:before="200" w:after="80"/>
        <w:rPr/>
      </w:pPr>
      <w:r>
        <w:rPr>
          <w:rFonts w:eastAsia="Arial" w:cs="Arial"/>
          <w:b/>
          <w:bCs/>
          <w:color w:val="0A7EC2"/>
          <w:sz w:val="22"/>
          <w:szCs w:val="22"/>
        </w:rPr>
        <w:t>Key Requirements</w:t>
      </w:r>
    </w:p>
    <w:p>
      <w:pPr>
        <w:pStyle w:val="ListParagraph"/>
        <w:numPr>
          <w:ilvl w:val="0"/>
          <w:numId w:val="49"/>
        </w:numPr>
        <w:spacing w:before="40" w:after="60"/>
        <w:rPr/>
      </w:pPr>
      <w:r>
        <w:rPr>
          <w:rFonts w:eastAsia="Arial" w:cs="Arial"/>
          <w:sz w:val="20"/>
          <w:szCs w:val="20"/>
        </w:rPr>
        <w:t>Audit and right-size all user, service account, and cloud entitlements</w:t>
      </w:r>
    </w:p>
    <w:p>
      <w:pPr>
        <w:pStyle w:val="ListParagraph"/>
        <w:numPr>
          <w:ilvl w:val="0"/>
          <w:numId w:val="50"/>
        </w:numPr>
        <w:spacing w:before="40" w:after="60"/>
        <w:rPr/>
      </w:pPr>
      <w:r>
        <w:rPr>
          <w:rFonts w:eastAsia="Arial" w:cs="Arial"/>
          <w:sz w:val="20"/>
          <w:szCs w:val="20"/>
        </w:rPr>
        <w:t>Enforce separation of standard and privileged accounts</w:t>
      </w:r>
    </w:p>
    <w:p>
      <w:pPr>
        <w:pStyle w:val="ListParagraph"/>
        <w:numPr>
          <w:ilvl w:val="0"/>
          <w:numId w:val="51"/>
        </w:numPr>
        <w:spacing w:before="40" w:after="60"/>
        <w:rPr/>
      </w:pPr>
      <w:r>
        <w:rPr>
          <w:rFonts w:eastAsia="Arial" w:cs="Arial"/>
          <w:sz w:val="20"/>
          <w:szCs w:val="20"/>
        </w:rPr>
        <w:t>Remove standing admin access — use JIT (Just-In-Time) elevated access</w:t>
      </w:r>
    </w:p>
    <w:p>
      <w:pPr>
        <w:pStyle w:val="ListParagraph"/>
        <w:numPr>
          <w:ilvl w:val="0"/>
          <w:numId w:val="52"/>
        </w:numPr>
        <w:spacing w:before="40" w:after="60"/>
        <w:rPr/>
      </w:pPr>
      <w:r>
        <w:rPr>
          <w:rFonts w:eastAsia="Arial" w:cs="Arial"/>
          <w:sz w:val="20"/>
          <w:szCs w:val="20"/>
        </w:rPr>
        <w:t>Implement stronger logging and MFA requirements specifically for privileged accounts</w:t>
      </w:r>
    </w:p>
    <w:p>
      <w:pPr>
        <w:pStyle w:val="ListParagraph"/>
        <w:numPr>
          <w:ilvl w:val="0"/>
          <w:numId w:val="53"/>
        </w:numPr>
        <w:spacing w:before="40" w:after="60"/>
        <w:rPr/>
      </w:pPr>
      <w:r>
        <w:rPr>
          <w:rFonts w:eastAsia="Arial" w:cs="Arial"/>
          <w:sz w:val="20"/>
          <w:szCs w:val="20"/>
        </w:rPr>
        <w:t>Regularly review and revoke unused access (joiners, movers, leavers process)</w:t>
      </w:r>
    </w:p>
    <w:p>
      <w:pPr>
        <w:pStyle w:val="ListParagraph"/>
        <w:numPr>
          <w:ilvl w:val="0"/>
          <w:numId w:val="54"/>
        </w:numPr>
        <w:spacing w:before="40" w:after="60"/>
        <w:rPr/>
      </w:pPr>
      <w:r>
        <w:rPr>
          <w:rFonts w:eastAsia="Arial" w:cs="Arial"/>
          <w:sz w:val="20"/>
          <w:szCs w:val="20"/>
        </w:rPr>
        <w:t>For cloud: audit IAM policies, service principal permissions, and cross-account trust relationships</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No standing admin privileges; all entitlements reviewed on defined cycle; privileged account activity fully logged; cloud IAM follows least-privilege policies.</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Identity Protection (Next Gen Identity)</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Core detection response to this control. Identifies privilege escalation attacks, unauthorised admin access, Kerberoasting, Golden/Silver Ticket attacks, and pass-the-hash in real time. Enforces risk-based conditional access — blocking or requiring step-up MFA when privilege anomalies are detected. Covers AD, Azure AD, and hybrid environments.</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Privileged Access (FPA)</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GA'd April 2025 as a module within Falcon Identity Protection, this is CrowdStrike's native PAM-equivalent. Implements risk-based Just-in-Time (JIT) access — privileges are granted only when needed, within validated risk thresholds, and auto-revoked when conditions change. Eliminates standing admin privileges across on-premises AD and cloud identity providers including Entra ID, without requiring infrastructure changes or separate access portals. Directly addresses NCSC's JIT requirement and the 'no standing admin access' goal.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Cloud Security CNAPP — CIEM + CSPM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CIEM (Cloud Identity &amp; Entitlement Management) analyses and remediates over-permissioned cloud identities — human and machine — identifying unused permissions, excessive IAM roles, and risky cross-account trusts. CSPM continuously flags IAM misconfigurations and overly permissive cloud policies. Together these address NCSC's cloud least-privilege requirements within a single CNAPP workflow.</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Exposure Management — Falcon Discover</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Identifies shadow admin accounts, local administrator accounts across the entire fleet, and unmanaged privileged access paths that would otherwise be invisible — providing the discovery foundation required before least privilege can be enforced.</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With the GA of Falcon Privileged Access, CrowdStrike now covers JIT natively — which closes a gap that previously required a separate PAM tool. The remaining gap is full entitlement governance: right-sizing entitlements across enterprise applications and SaaS platforms at scale still benefits from dedicated identity governance tooling (e.g., SailPoint, Saviynt). CrowdStrike detects, blocks, and enforces at the identity layer, but does not manage the full joiner/mover/leaver provisioning lifecycle.</w:t>
      </w:r>
    </w:p>
    <w:p>
      <w:pPr>
        <w:pStyle w:val="Normal"/>
        <w:rPr/>
      </w:pPr>
      <w:r>
        <w:rPr/>
        <w:br/>
      </w:r>
    </w:p>
    <w:p>
      <w:pPr>
        <w:pStyle w:val="Normal"/>
        <w:shd w:val="clear" w:fill="1A1A2E"/>
        <w:spacing w:before="0" w:after="0"/>
        <w:rPr/>
      </w:pPr>
      <w:r>
        <w:rPr>
          <w:rFonts w:eastAsia="Arial" w:cs="Arial"/>
          <w:b/>
          <w:bCs/>
          <w:color w:val="888888"/>
          <w:sz w:val="20"/>
          <w:szCs w:val="20"/>
        </w:rPr>
        <w:t xml:space="preserve">  </w:t>
      </w:r>
      <w:r>
        <w:rPr>
          <w:rFonts w:eastAsia="Arial" w:cs="Arial"/>
          <w:b/>
          <w:bCs/>
          <w:color w:val="888888"/>
          <w:sz w:val="20"/>
          <w:szCs w:val="20"/>
        </w:rPr>
        <w:t>CONTROL 10</w:t>
      </w:r>
    </w:p>
    <w:p>
      <w:pPr>
        <w:pStyle w:val="Normal"/>
        <w:shd w:val="clear" w:fill="1A1A2E"/>
        <w:spacing w:before="0" w:after="0"/>
        <w:rPr/>
      </w:pPr>
      <w:r>
        <w:rPr>
          <w:rFonts w:eastAsia="Arial" w:cs="Arial"/>
          <w:b/>
          <w:bCs/>
          <w:color w:val="FFFFFF"/>
          <w:sz w:val="30"/>
          <w:szCs w:val="30"/>
        </w:rPr>
        <w:t xml:space="preserve">  </w:t>
      </w:r>
      <w:r>
        <w:rPr>
          <w:rFonts w:eastAsia="Arial" w:cs="Arial"/>
          <w:b/>
          <w:bCs/>
          <w:color w:val="FFFFFF"/>
          <w:sz w:val="30"/>
          <w:szCs w:val="30"/>
        </w:rPr>
        <w:t>Implement Network Segmentation and Separation</w:t>
      </w:r>
    </w:p>
    <w:p>
      <w:pPr>
        <w:pStyle w:val="Normal"/>
        <w:shd w:val="clear" w:fill="1A1A2E"/>
        <w:spacing w:before="0" w:after="200"/>
        <w:rPr/>
      </w:pPr>
      <w:r>
        <w:rPr>
          <w:rFonts w:eastAsia="Arial" w:cs="Arial"/>
          <w:color w:val="AAAAAA"/>
          <w:sz w:val="20"/>
          <w:szCs w:val="20"/>
        </w:rPr>
        <w:t xml:space="preserve">  </w:t>
      </w:r>
      <w:r>
        <w:rPr>
          <w:rFonts w:eastAsia="Arial" w:cs="Arial"/>
          <w:color w:val="AAAAAA"/>
          <w:sz w:val="20"/>
          <w:szCs w:val="20"/>
        </w:rPr>
        <w:t xml:space="preserve">Coverage: </w:t>
      </w:r>
      <w:r>
        <w:rPr>
          <w:rFonts w:eastAsia="Arial" w:cs="Arial"/>
          <w:b/>
          <w:bCs/>
          <w:color w:val="E8272A"/>
          <w:sz w:val="20"/>
          <w:szCs w:val="20"/>
        </w:rPr>
        <w:t>DETECT ONLY — INFRA GAP</w:t>
      </w:r>
      <w:r>
        <w:rPr>
          <w:rFonts w:eastAsia="Arial" w:cs="Arial"/>
          <w:color w:val="555555"/>
          <w:sz w:val="20"/>
          <w:szCs w:val="20"/>
        </w:rPr>
        <w:t xml:space="preserve">    ·    </w:t>
      </w:r>
      <w:r>
        <w:rPr>
          <w:rFonts w:eastAsia="Arial" w:cs="Arial"/>
          <w:i/>
          <w:iCs/>
          <w:color w:val="888888"/>
          <w:sz w:val="18"/>
          <w:szCs w:val="18"/>
        </w:rPr>
        <w:t>https://www.ncsc.govt.nz/protect-your-organisation/network-separation-and-segmentation/</w:t>
      </w:r>
    </w:p>
    <w:p>
      <w:pPr>
        <w:pStyle w:val="Heading3"/>
        <w:spacing w:before="200" w:after="80"/>
        <w:rPr/>
      </w:pPr>
      <w:r>
        <w:rPr>
          <w:rFonts w:eastAsia="Arial" w:cs="Arial"/>
          <w:b/>
          <w:bCs/>
          <w:color w:val="0A7EC2"/>
          <w:sz w:val="22"/>
          <w:szCs w:val="22"/>
        </w:rPr>
        <w:t>NCSC Intent</w:t>
      </w:r>
    </w:p>
    <w:p>
      <w:pPr>
        <w:pStyle w:val="Normal"/>
        <w:spacing w:before="60" w:after="140"/>
        <w:rPr/>
      </w:pPr>
      <w:r>
        <w:rPr>
          <w:rFonts w:eastAsia="Arial" w:cs="Arial"/>
          <w:sz w:val="20"/>
          <w:szCs w:val="20"/>
        </w:rPr>
        <w:t>Break the network into smaller zones with access controls between them. Limits lateral movement once an attacker gains initial access. Critical for protecting high-value assets — OT, financial systems, PII stores — from compromise spreading from lower-security segments.</w:t>
      </w:r>
    </w:p>
    <w:p>
      <w:pPr>
        <w:pStyle w:val="Heading3"/>
        <w:spacing w:before="200" w:after="80"/>
        <w:rPr/>
      </w:pPr>
      <w:r>
        <w:rPr>
          <w:rFonts w:eastAsia="Arial" w:cs="Arial"/>
          <w:b/>
          <w:bCs/>
          <w:color w:val="0A7EC2"/>
          <w:sz w:val="22"/>
          <w:szCs w:val="22"/>
        </w:rPr>
        <w:t>Key Requirements</w:t>
      </w:r>
    </w:p>
    <w:p>
      <w:pPr>
        <w:pStyle w:val="ListParagraph"/>
        <w:numPr>
          <w:ilvl w:val="0"/>
          <w:numId w:val="55"/>
        </w:numPr>
        <w:spacing w:before="40" w:after="60"/>
        <w:rPr/>
      </w:pPr>
      <w:r>
        <w:rPr>
          <w:rFonts w:eastAsia="Arial" w:cs="Arial"/>
          <w:sz w:val="20"/>
          <w:szCs w:val="20"/>
        </w:rPr>
        <w:t>Identify critical data and systems; place them in tighter network segments</w:t>
      </w:r>
    </w:p>
    <w:p>
      <w:pPr>
        <w:pStyle w:val="ListParagraph"/>
        <w:numPr>
          <w:ilvl w:val="0"/>
          <w:numId w:val="56"/>
        </w:numPr>
        <w:spacing w:before="40" w:after="60"/>
        <w:rPr/>
      </w:pPr>
      <w:r>
        <w:rPr>
          <w:rFonts w:eastAsia="Arial" w:cs="Arial"/>
          <w:sz w:val="20"/>
          <w:szCs w:val="20"/>
        </w:rPr>
        <w:t>Define and enforce inter-segment access rules (default-deny between segments)</w:t>
      </w:r>
    </w:p>
    <w:p>
      <w:pPr>
        <w:pStyle w:val="ListParagraph"/>
        <w:numPr>
          <w:ilvl w:val="0"/>
          <w:numId w:val="57"/>
        </w:numPr>
        <w:spacing w:before="40" w:after="60"/>
        <w:rPr/>
      </w:pPr>
      <w:r>
        <w:rPr>
          <w:rFonts w:eastAsia="Arial" w:cs="Arial"/>
          <w:sz w:val="20"/>
          <w:szCs w:val="20"/>
        </w:rPr>
        <w:t>Monitor east-west traffic between segments for anomalous movement</w:t>
      </w:r>
    </w:p>
    <w:p>
      <w:pPr>
        <w:pStyle w:val="ListParagraph"/>
        <w:numPr>
          <w:ilvl w:val="0"/>
          <w:numId w:val="58"/>
        </w:numPr>
        <w:spacing w:before="40" w:after="60"/>
        <w:rPr/>
      </w:pPr>
      <w:r>
        <w:rPr>
          <w:rFonts w:eastAsia="Arial" w:cs="Arial"/>
          <w:sz w:val="20"/>
          <w:szCs w:val="20"/>
        </w:rPr>
        <w:t>Segment OT/ICS networks from corporate IT</w:t>
      </w:r>
    </w:p>
    <w:p>
      <w:pPr>
        <w:pStyle w:val="ListParagraph"/>
        <w:numPr>
          <w:ilvl w:val="0"/>
          <w:numId w:val="59"/>
        </w:numPr>
        <w:spacing w:before="40" w:after="60"/>
        <w:rPr/>
      </w:pPr>
      <w:r>
        <w:rPr>
          <w:rFonts w:eastAsia="Arial" w:cs="Arial"/>
          <w:sz w:val="20"/>
          <w:szCs w:val="20"/>
        </w:rPr>
        <w:t>Log and alert on inter-segment traffic policy violations</w:t>
      </w:r>
    </w:p>
    <w:p>
      <w:pPr>
        <w:pStyle w:val="ListParagraph"/>
        <w:numPr>
          <w:ilvl w:val="0"/>
          <w:numId w:val="60"/>
        </w:numPr>
        <w:spacing w:before="40" w:after="60"/>
        <w:rPr/>
      </w:pPr>
      <w:r>
        <w:rPr>
          <w:rFonts w:eastAsia="Arial" w:cs="Arial"/>
          <w:sz w:val="20"/>
          <w:szCs w:val="20"/>
        </w:rPr>
        <w:t>Regularly review segmentation design as the network evolves</w:t>
      </w:r>
    </w:p>
    <w:p>
      <w:pPr>
        <w:pStyle w:val="Heading3"/>
        <w:spacing w:before="200" w:after="80"/>
        <w:rPr/>
      </w:pPr>
      <w:r>
        <w:rPr>
          <w:rFonts w:eastAsia="Arial" w:cs="Arial"/>
          <w:b/>
          <w:bCs/>
          <w:color w:val="0A7EC2"/>
          <w:sz w:val="22"/>
          <w:szCs w:val="22"/>
        </w:rPr>
        <w:t>Measure of Success</w:t>
      </w:r>
    </w:p>
    <w:p>
      <w:pPr>
        <w:pStyle w:val="Normal"/>
        <w:spacing w:before="60" w:after="140"/>
        <w:rPr/>
      </w:pPr>
      <w:r>
        <w:rPr>
          <w:rFonts w:eastAsia="Arial" w:cs="Arial"/>
          <w:sz w:val="20"/>
          <w:szCs w:val="20"/>
        </w:rPr>
        <w:t>Critical systems in protected segments; default-deny policy between zones; lateral movement detectable via alerts; OT/IT separation enforced.</w:t>
      </w:r>
    </w:p>
    <w:p>
      <w:pPr>
        <w:pStyle w:val="Heading3"/>
        <w:spacing w:before="200" w:after="80"/>
        <w:rPr/>
      </w:pPr>
      <w:r>
        <w:rPr>
          <w:rFonts w:eastAsia="Arial" w:cs="Arial"/>
          <w:b/>
          <w:bCs/>
          <w:color w:val="0A7EC2"/>
          <w:sz w:val="22"/>
          <w:szCs w:val="22"/>
        </w:rPr>
        <w:t>CrowdStrike Solution Mapping</w:t>
      </w:r>
    </w:p>
    <w:p>
      <w:pPr>
        <w:pStyle w:val="Normal"/>
        <w:spacing w:before="40" w:after="40"/>
        <w:rPr/>
      </w:pPr>
      <w:r>
        <w:rPr/>
      </w:r>
    </w:p>
    <w:tbl>
      <w:tblPr>
        <w:tblW w:w="9360" w:type="dxa"/>
        <w:jc w:val="start"/>
        <w:tblInd w:w="0" w:type="dxa"/>
        <w:tblLayout w:type="fixed"/>
        <w:tblCellMar>
          <w:top w:w="100" w:type="dxa"/>
          <w:start w:w="140" w:type="dxa"/>
          <w:bottom w:w="100" w:type="dxa"/>
          <w:end w:w="140" w:type="dxa"/>
        </w:tblCellMar>
      </w:tblPr>
      <w:tblGrid>
        <w:gridCol w:w="3100"/>
        <w:gridCol w:w="6260"/>
      </w:tblGrid>
      <w:tr>
        <w:trPr>
          <w:tblHeader w:val="true"/>
        </w:trPr>
        <w:tc>
          <w:tcPr>
            <w:tcW w:w="310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CrowdStrike Product / Module</w:t>
            </w:r>
          </w:p>
        </w:tc>
        <w:tc>
          <w:tcPr>
            <w:tcW w:w="626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How It Addresses This Control</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Falcon Insight XDR (EDR) + NG-SIEM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While CrowdStrike does not configure network segments, it provides the detection layer: lateral movement techniques — SMB scanning, RDP brute force, credential relay attacks, WMI/PsExec-based movement — are detected at the endpoint level regardless of network topology. This partially compensates for inadequate segmentation.</w:t>
            </w:r>
          </w:p>
        </w:tc>
      </w:tr>
      <w:tr>
        <w:trPr/>
        <w:tc>
          <w:tcPr>
            <w:tcW w:w="31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sz w:val="19"/>
                <w:szCs w:val="19"/>
              </w:rPr>
              <w:t>Falcon XioT</w:t>
            </w:r>
          </w:p>
        </w:tc>
        <w:tc>
          <w:tcPr>
            <w:tcW w:w="626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sz w:val="19"/>
                <w:szCs w:val="19"/>
              </w:rPr>
              <w:t>OT/ICS/IoT device visibility and monitoring — critical for NCSC's requirement to segment operational technology networks from corporate IT. Provides asset inventory and anomaly detection for otherwise invisible OT assets.</w:t>
            </w:r>
          </w:p>
        </w:tc>
      </w:tr>
      <w:tr>
        <w:trPr/>
        <w:tc>
          <w:tcPr>
            <w:tcW w:w="310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b/>
                <w:bCs/>
                <w:sz w:val="19"/>
                <w:szCs w:val="19"/>
              </w:rPr>
              <w:t>Cloud Security CNAPP — KSPM / CSPM</w:t>
            </w:r>
          </w:p>
        </w:tc>
        <w:tc>
          <w:tcPr>
            <w:tcW w:w="6260" w:type="dxa"/>
            <w:tcBorders>
              <w:top w:val="single" w:sz="2" w:space="0" w:color="DDDDDD"/>
              <w:start w:val="single" w:sz="2" w:space="0" w:color="DDDDDD"/>
              <w:bottom w:val="single" w:sz="2" w:space="0" w:color="DDDDDD"/>
              <w:end w:val="single" w:sz="2" w:space="0" w:color="DDDDDD"/>
            </w:tcBorders>
            <w:shd w:fill="F2F4F7" w:val="clear"/>
          </w:tcPr>
          <w:p>
            <w:pPr>
              <w:pStyle w:val="Normal"/>
              <w:rPr/>
            </w:pPr>
            <w:r>
              <w:rPr>
                <w:rFonts w:eastAsia="Arial" w:cs="Arial"/>
                <w:sz w:val="19"/>
                <w:szCs w:val="19"/>
              </w:rPr>
              <w:t>For cloud environments, monitors network security group (NSG) policies, VPC configurations, and cloud-native segmentation controls to detect over-permissive network policies that violate segmentation intent.</w:t>
            </w:r>
          </w:p>
        </w:tc>
      </w:tr>
    </w:tbl>
    <w:p>
      <w:pPr>
        <w:pStyle w:val="Heading3"/>
        <w:spacing w:before="200" w:after="80"/>
        <w:rPr/>
      </w:pPr>
      <w:r>
        <w:rPr>
          <w:rFonts w:eastAsia="Arial" w:cs="Arial"/>
          <w:b/>
          <w:bCs/>
          <w:color w:val="0A7EC2"/>
          <w:sz w:val="22"/>
          <w:szCs w:val="22"/>
        </w:rPr>
        <w:t>Gaps &amp; Limitations</w:t>
      </w:r>
    </w:p>
    <w:p>
      <w:pPr>
        <w:pStyle w:val="Normal"/>
        <w:pBdr>
          <w:left w:val="single" w:sz="12" w:space="12" w:color="E8272A"/>
        </w:pBdr>
        <w:spacing w:before="60" w:after="160"/>
        <w:rPr/>
      </w:pPr>
      <w:r>
        <w:rPr>
          <w:rFonts w:eastAsia="Arial" w:cs="Arial"/>
          <w:i/>
          <w:iCs/>
          <w:color w:val="444444"/>
          <w:sz w:val="19"/>
          <w:szCs w:val="19"/>
        </w:rPr>
        <w:t xml:space="preserve">  </w:t>
      </w:r>
      <w:r>
        <w:rPr>
          <w:rFonts w:eastAsia="Arial" w:cs="Arial"/>
          <w:i/>
          <w:iCs/>
          <w:color w:val="444444"/>
          <w:sz w:val="19"/>
          <w:szCs w:val="19"/>
        </w:rPr>
        <w:t xml:space="preserve">CrowdStrike does not provide or configure network segmentation infrastructure (firewalls, VLANs, SDN policies). The platform detects failure modes — lateral movement — </w:t>
      </w:r>
      <w:r>
        <w:rPr>
          <w:rFonts w:eastAsia="Arial" w:cs="Arial"/>
          <w:i/>
          <w:iCs/>
          <w:color w:val="444444"/>
          <w:sz w:val="19"/>
          <w:szCs w:val="19"/>
        </w:rPr>
        <w:t>and can automate some remediation through Falcon SOAR with supported Networking Vendors</w:t>
      </w:r>
      <w:r>
        <w:rPr>
          <w:rFonts w:eastAsia="Arial" w:cs="Arial"/>
          <w:i/>
          <w:iCs/>
          <w:color w:val="444444"/>
          <w:sz w:val="19"/>
          <w:szCs w:val="19"/>
        </w:rPr>
        <w:t xml:space="preserve"> but cannot enforce the network control itself. Organisations need dedicated network controls: next-gen firewalls, SDN, cloud-native NSGs. </w:t>
      </w:r>
      <w:r>
        <w:rPr>
          <w:rFonts w:eastAsia="Arial" w:cs="Arial"/>
          <w:i/>
          <w:iCs/>
          <w:color w:val="444444"/>
          <w:sz w:val="19"/>
          <w:szCs w:val="19"/>
          <w:shd w:fill="FF4000" w:val="clear"/>
        </w:rPr>
        <w:t xml:space="preserve">Network-level east-west traffic analysis (NDR) </w:t>
      </w:r>
      <w:r>
        <w:rPr>
          <w:rFonts w:eastAsia="Arial" w:cs="Arial"/>
          <w:i/>
          <w:iCs/>
          <w:color w:val="444444"/>
          <w:sz w:val="19"/>
          <w:szCs w:val="19"/>
          <w:shd w:fill="FF4000" w:val="clear"/>
        </w:rPr>
        <w:t xml:space="preserve">is provided through </w:t>
      </w:r>
      <w:r>
        <w:rPr>
          <w:rFonts w:eastAsia="Arial" w:cs="Arial"/>
          <w:i/>
          <w:iCs/>
          <w:color w:val="444444"/>
          <w:sz w:val="19"/>
          <w:szCs w:val="19"/>
          <w:shd w:fill="FF4000" w:val="clear"/>
        </w:rPr>
        <w:t xml:space="preserve">CrowdStrike </w:t>
      </w:r>
      <w:r>
        <w:rPr>
          <w:rFonts w:eastAsia="Arial" w:cs="Arial"/>
          <w:i/>
          <w:iCs/>
          <w:color w:val="444444"/>
          <w:sz w:val="19"/>
          <w:szCs w:val="19"/>
          <w:shd w:fill="FF4000" w:val="clear"/>
        </w:rPr>
        <w:t>partners such as ExtraHop</w:t>
      </w:r>
      <w:r>
        <w:rPr>
          <w:rFonts w:eastAsia="Arial" w:cs="Arial"/>
          <w:i/>
          <w:iCs/>
          <w:color w:val="444444"/>
          <w:sz w:val="19"/>
          <w:szCs w:val="19"/>
          <w:shd w:fill="FF4000" w:val="clear"/>
        </w:rPr>
        <w:t>.</w:t>
      </w:r>
    </w:p>
    <w:p>
      <w:pPr>
        <w:pStyle w:val="Normal"/>
        <w:rPr>
          <w:rFonts w:eastAsia="Arial" w:cs="Arial"/>
          <w:i/>
          <w:i/>
          <w:iCs/>
          <w:color w:val="888888"/>
          <w:sz w:val="17"/>
          <w:szCs w:val="17"/>
        </w:rPr>
      </w:pPr>
      <w:r>
        <w:rPr/>
        <w:br/>
      </w:r>
    </w:p>
    <w:sectPr>
      <w:type w:val="nextPage"/>
      <w:pgSz w:w="12240" w:h="15840"/>
      <w:pgMar w:left="1260" w:right="1260" w:gutter="0" w:header="0" w:top="1260" w:footer="0"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spacing w:before="240" w:after="140"/>
      <w:outlineLvl w:val="1"/>
    </w:pPr>
    <w:rPr>
      <w:rFonts w:ascii="Arial" w:hAnsi="Arial" w:eastAsia="Arial" w:cs="Arial"/>
      <w:b/>
      <w:bCs/>
      <w:color w:val="1A1A2E"/>
      <w:sz w:val="28"/>
      <w:szCs w:val="28"/>
    </w:rPr>
  </w:style>
  <w:style w:type="paragraph" w:styleId="Heading3">
    <w:name w:val="heading 3"/>
    <w:basedOn w:val="Heading"/>
    <w:qFormat/>
    <w:pPr>
      <w:spacing w:before="200" w:after="80"/>
      <w:outlineLvl w:val="2"/>
    </w:pPr>
    <w:rPr>
      <w:rFonts w:ascii="Arial" w:hAnsi="Arial" w:eastAsia="Arial" w:cs="Arial"/>
      <w:b/>
      <w:bCs/>
      <w:color w:val="0A7EC2"/>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189</TotalTime>
  <Application>LibreOffice/25.8.3.2$Windows_X86_64 LibreOffice_project/8ca8d55c161d602844f5428fa4b58097424e324e</Application>
  <AppVersion>15.0000</AppVersion>
  <Pages>13</Pages>
  <Words>3634</Words>
  <Characters>24490</Characters>
  <CharactersWithSpaces>27980</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2026-03-09T21:50:26Z</dcterms:created>
  <dc:creator>Un-named</dc:creator>
  <dc:description/>
  <dc:language>en-US</dc:language>
  <cp:lastModifiedBy/>
  <dcterms:modified xsi:type="dcterms:W3CDTF">2026-03-10T19:33:50Z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