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681" w:rsidRDefault="00EE57F4">
      <w:r>
        <w:t>Literature Review for UCFR</w:t>
      </w:r>
    </w:p>
    <w:p w:rsidR="00EE57F4" w:rsidRDefault="00EE57F4">
      <w:r>
        <w:t>Turnover times</w:t>
      </w:r>
    </w:p>
    <w:p w:rsidR="00EE57F4" w:rsidRDefault="00EE57F4" w:rsidP="00EE57F4">
      <w:pPr>
        <w:pStyle w:val="ListParagraph"/>
        <w:numPr>
          <w:ilvl w:val="0"/>
          <w:numId w:val="1"/>
        </w:numPr>
      </w:pPr>
      <w:r>
        <w:t>Cladophora turnover times are a year or longer (</w:t>
      </w:r>
      <w:proofErr w:type="spellStart"/>
      <w:r>
        <w:t>Bergey</w:t>
      </w:r>
      <w:proofErr w:type="spellEnd"/>
      <w:r>
        <w:t xml:space="preserve"> 1995, citing Whitton 1970, Entwisle1989, Power 1992) and diatom algal mat turnover times are a few days (citing </w:t>
      </w:r>
      <w:proofErr w:type="spellStart"/>
      <w:r>
        <w:t>oemke</w:t>
      </w:r>
      <w:proofErr w:type="spellEnd"/>
      <w:r>
        <w:t xml:space="preserve"> and Burton 1986)</w:t>
      </w:r>
    </w:p>
    <w:p w:rsidR="00EE57F4" w:rsidRDefault="00EE57F4" w:rsidP="00EE57F4">
      <w:r>
        <w:t>Controls on Cladophora</w:t>
      </w:r>
    </w:p>
    <w:p w:rsidR="00EE57F4" w:rsidRDefault="00EE57F4" w:rsidP="00EE57F4">
      <w:pPr>
        <w:pStyle w:val="ListParagraph"/>
        <w:numPr>
          <w:ilvl w:val="0"/>
          <w:numId w:val="1"/>
        </w:numPr>
      </w:pPr>
      <w:r>
        <w:t xml:space="preserve">Water velocity effects </w:t>
      </w:r>
      <w:proofErr w:type="spellStart"/>
      <w:r>
        <w:t>cladophora</w:t>
      </w:r>
      <w:proofErr w:type="spellEnd"/>
      <w:r>
        <w:t xml:space="preserve"> architecture with more branching in low velocity more breakage in high (</w:t>
      </w:r>
      <w:proofErr w:type="spellStart"/>
      <w:r>
        <w:t>Bergey</w:t>
      </w:r>
      <w:proofErr w:type="spellEnd"/>
      <w:r>
        <w:t xml:space="preserve"> 1995)</w:t>
      </w:r>
    </w:p>
    <w:p w:rsidR="0028189D" w:rsidRDefault="0028189D" w:rsidP="00EE57F4">
      <w:pPr>
        <w:pStyle w:val="ListParagraph"/>
        <w:numPr>
          <w:ilvl w:val="0"/>
          <w:numId w:val="1"/>
        </w:numPr>
      </w:pPr>
      <w:r>
        <w:t>Cladophora is most ubiquitous macroalga in freshwaters. It is grazer resistant (</w:t>
      </w:r>
      <w:proofErr w:type="spellStart"/>
      <w:r>
        <w:t>Dodds</w:t>
      </w:r>
      <w:proofErr w:type="spellEnd"/>
      <w:r>
        <w:t xml:space="preserve"> 1992)</w:t>
      </w:r>
    </w:p>
    <w:p w:rsidR="0028189D" w:rsidRDefault="0028189D" w:rsidP="00EE57F4">
      <w:pPr>
        <w:pStyle w:val="ListParagraph"/>
        <w:numPr>
          <w:ilvl w:val="0"/>
          <w:numId w:val="1"/>
        </w:numPr>
      </w:pPr>
      <w:r>
        <w:t xml:space="preserve">In CF, </w:t>
      </w:r>
      <w:proofErr w:type="spellStart"/>
      <w:r>
        <w:t>cladophora</w:t>
      </w:r>
      <w:proofErr w:type="spellEnd"/>
      <w:r>
        <w:t xml:space="preserve"> tends to be in places with higher water velocities potentially due to resource limitation. Too much flow however causes sloughing (Flynn 2020) (connects well to the idea of space limitation/nutrient limitation in Davis 2012)</w:t>
      </w:r>
    </w:p>
    <w:p w:rsidR="0028189D" w:rsidRDefault="0028189D" w:rsidP="00EE57F4">
      <w:pPr>
        <w:pStyle w:val="ListParagraph"/>
        <w:numPr>
          <w:ilvl w:val="0"/>
          <w:numId w:val="1"/>
        </w:numPr>
      </w:pPr>
      <w:r>
        <w:t>Cladophora threshold for limited growth is 5C (Flynn 2014)</w:t>
      </w:r>
    </w:p>
    <w:p w:rsidR="000B0C5E" w:rsidRDefault="000B0C5E" w:rsidP="00EE57F4">
      <w:pPr>
        <w:pStyle w:val="ListParagraph"/>
        <w:numPr>
          <w:ilvl w:val="0"/>
          <w:numId w:val="1"/>
        </w:numPr>
      </w:pPr>
      <w:r>
        <w:t>Cladophora may follow the ‘inefficient food web model’ because of grazer resistance which is where more productivity means more biomass, while diatom mats would follow the efficient model where more productivity doesn’t change biomass. The examples of these models are in Marks 2003, but applied to a nutrient gradient instead of different algal groups.</w:t>
      </w:r>
    </w:p>
    <w:p w:rsidR="009130FC" w:rsidRDefault="009130FC" w:rsidP="009130FC">
      <w:pPr>
        <w:pStyle w:val="ListParagraph"/>
        <w:numPr>
          <w:ilvl w:val="0"/>
          <w:numId w:val="1"/>
        </w:numPr>
      </w:pPr>
      <w:r>
        <w:t>Cladophora only observed in the Eel river where there is a large increase in N (Power 2009)</w:t>
      </w:r>
    </w:p>
    <w:p w:rsidR="009130FC" w:rsidRDefault="009130FC" w:rsidP="009130FC">
      <w:pPr>
        <w:pStyle w:val="ListParagraph"/>
        <w:numPr>
          <w:ilvl w:val="0"/>
          <w:numId w:val="1"/>
        </w:numPr>
      </w:pPr>
      <w:r>
        <w:t xml:space="preserve">The functional performance of </w:t>
      </w:r>
      <w:proofErr w:type="spellStart"/>
      <w:r>
        <w:t>cladophora</w:t>
      </w:r>
      <w:proofErr w:type="spellEnd"/>
      <w:r>
        <w:t xml:space="preserve"> changes at different growth stages (Power 2009)</w:t>
      </w:r>
    </w:p>
    <w:p w:rsidR="0028189D" w:rsidRDefault="0028189D" w:rsidP="0028189D">
      <w:r>
        <w:t>Food web controls</w:t>
      </w:r>
    </w:p>
    <w:p w:rsidR="0028189D" w:rsidRDefault="0028189D" w:rsidP="0028189D">
      <w:pPr>
        <w:pStyle w:val="ListParagraph"/>
        <w:numPr>
          <w:ilvl w:val="0"/>
          <w:numId w:val="1"/>
        </w:numPr>
      </w:pPr>
      <w:r>
        <w:t>Cladophora is grazer resistant (</w:t>
      </w:r>
      <w:proofErr w:type="spellStart"/>
      <w:r>
        <w:t>Dodds</w:t>
      </w:r>
      <w:proofErr w:type="spellEnd"/>
      <w:r>
        <w:t xml:space="preserve"> 1992)</w:t>
      </w:r>
    </w:p>
    <w:p w:rsidR="0028189D" w:rsidRDefault="0028189D" w:rsidP="0028189D">
      <w:pPr>
        <w:pStyle w:val="ListParagraph"/>
        <w:numPr>
          <w:ilvl w:val="0"/>
          <w:numId w:val="1"/>
        </w:numPr>
      </w:pPr>
      <w:r>
        <w:t xml:space="preserve">Grazers at high densities removed 75% of epiphytes on </w:t>
      </w:r>
      <w:proofErr w:type="spellStart"/>
      <w:r>
        <w:t>cladophora</w:t>
      </w:r>
      <w:proofErr w:type="spellEnd"/>
      <w:r>
        <w:t xml:space="preserve"> (</w:t>
      </w:r>
      <w:proofErr w:type="spellStart"/>
      <w:r>
        <w:t>Dodds</w:t>
      </w:r>
      <w:proofErr w:type="spellEnd"/>
      <w:r>
        <w:t xml:space="preserve"> 1991)</w:t>
      </w:r>
    </w:p>
    <w:p w:rsidR="0028189D" w:rsidRDefault="0028189D" w:rsidP="0028189D">
      <w:pPr>
        <w:pStyle w:val="ListParagraph"/>
        <w:numPr>
          <w:ilvl w:val="0"/>
          <w:numId w:val="1"/>
        </w:numPr>
      </w:pPr>
      <w:r>
        <w:t xml:space="preserve">Cladophora is a habitat for midges but the preferentially graze the epiphytes, which helps the </w:t>
      </w:r>
      <w:proofErr w:type="spellStart"/>
      <w:r>
        <w:t>cladophora</w:t>
      </w:r>
      <w:proofErr w:type="spellEnd"/>
      <w:r>
        <w:t xml:space="preserve"> grow. (</w:t>
      </w:r>
      <w:proofErr w:type="spellStart"/>
      <w:r>
        <w:t>Furey</w:t>
      </w:r>
      <w:proofErr w:type="spellEnd"/>
      <w:r>
        <w:t xml:space="preserve"> 2012)</w:t>
      </w:r>
    </w:p>
    <w:p w:rsidR="0028189D" w:rsidRDefault="0028189D" w:rsidP="0028189D">
      <w:pPr>
        <w:pStyle w:val="ListParagraph"/>
        <w:numPr>
          <w:ilvl w:val="0"/>
          <w:numId w:val="1"/>
        </w:numPr>
      </w:pPr>
      <w:r>
        <w:t xml:space="preserve">Late stage </w:t>
      </w:r>
      <w:proofErr w:type="spellStart"/>
      <w:r>
        <w:t>cladophora</w:t>
      </w:r>
      <w:proofErr w:type="spellEnd"/>
      <w:r>
        <w:t xml:space="preserve"> is better for midges because it has more epiphytes aka better food quality (Power 2009)</w:t>
      </w:r>
    </w:p>
    <w:p w:rsidR="0028189D" w:rsidRDefault="0028189D" w:rsidP="0028189D">
      <w:pPr>
        <w:pStyle w:val="ListParagraph"/>
        <w:numPr>
          <w:ilvl w:val="0"/>
          <w:numId w:val="1"/>
        </w:numPr>
      </w:pPr>
      <w:r>
        <w:t xml:space="preserve">Grazing increases the abundance of filamentous and decreases abundance of </w:t>
      </w:r>
      <w:proofErr w:type="spellStart"/>
      <w:proofErr w:type="gramStart"/>
      <w:r>
        <w:t>non filamentous</w:t>
      </w:r>
      <w:proofErr w:type="spellEnd"/>
      <w:proofErr w:type="gramEnd"/>
      <w:r>
        <w:t xml:space="preserve"> green algae (Lamberti 1989)</w:t>
      </w:r>
    </w:p>
    <w:p w:rsidR="0028189D" w:rsidRDefault="0028189D" w:rsidP="0028189D">
      <w:pPr>
        <w:pStyle w:val="ListParagraph"/>
        <w:numPr>
          <w:ilvl w:val="0"/>
          <w:numId w:val="1"/>
        </w:numPr>
      </w:pPr>
      <w:r>
        <w:t xml:space="preserve">Grazing </w:t>
      </w:r>
      <w:r w:rsidR="000B0C5E">
        <w:t>lowers total biomass resulting in higher biomass-specific production rates but not higher system level GPP (Lamberti 1989, 1983)</w:t>
      </w:r>
    </w:p>
    <w:p w:rsidR="000B0C5E" w:rsidRDefault="000B0C5E" w:rsidP="0028189D">
      <w:pPr>
        <w:pStyle w:val="ListParagraph"/>
        <w:numPr>
          <w:ilvl w:val="0"/>
          <w:numId w:val="1"/>
        </w:numPr>
      </w:pPr>
      <w:r>
        <w:t>Different algal taxa have different strategies, diatoms seem to be more resistant to digestion while filamentous algae more resistant to ingestion (Peterson 2002)</w:t>
      </w:r>
    </w:p>
    <w:p w:rsidR="009130FC" w:rsidRDefault="009130FC" w:rsidP="0028189D">
      <w:pPr>
        <w:pStyle w:val="ListParagraph"/>
        <w:numPr>
          <w:ilvl w:val="0"/>
          <w:numId w:val="1"/>
        </w:numPr>
      </w:pPr>
      <w:r>
        <w:t xml:space="preserve">Invertebrate diversity is higher when there is </w:t>
      </w:r>
      <w:bookmarkStart w:id="0" w:name="_GoBack"/>
      <w:bookmarkEnd w:id="0"/>
      <w:r>
        <w:t>less filamentous algae. It responds to algal architecture not biomass (Tonkin 2014)</w:t>
      </w:r>
    </w:p>
    <w:p w:rsidR="00716208" w:rsidRDefault="00716208" w:rsidP="0028189D">
      <w:pPr>
        <w:pStyle w:val="ListParagraph"/>
        <w:numPr>
          <w:ilvl w:val="0"/>
          <w:numId w:val="1"/>
        </w:numPr>
      </w:pPr>
      <w:r>
        <w:t>Grazers remove on average 59% of periphyton biomass across systems (</w:t>
      </w:r>
      <w:proofErr w:type="spellStart"/>
      <w:r>
        <w:t>Hillerbrand</w:t>
      </w:r>
      <w:proofErr w:type="spellEnd"/>
      <w:r w:rsidR="00B1393E">
        <w:t xml:space="preserve"> 2009)</w:t>
      </w:r>
    </w:p>
    <w:p w:rsidR="00B1393E" w:rsidRDefault="00B1393E" w:rsidP="0028189D">
      <w:pPr>
        <w:pStyle w:val="ListParagraph"/>
        <w:numPr>
          <w:ilvl w:val="0"/>
          <w:numId w:val="1"/>
        </w:numPr>
      </w:pPr>
      <w:r>
        <w:t>A mismatch between primary production rates and algal biomass is strong evidence of top-down control (</w:t>
      </w:r>
      <w:proofErr w:type="spellStart"/>
      <w:r>
        <w:t>Vadeboncoeur</w:t>
      </w:r>
      <w:proofErr w:type="spellEnd"/>
      <w:r>
        <w:t xml:space="preserve"> 2021)</w:t>
      </w:r>
    </w:p>
    <w:p w:rsidR="00EE57F4" w:rsidRDefault="00EE57F4" w:rsidP="00EE57F4">
      <w:r>
        <w:t>Controls on productivity/biomass</w:t>
      </w:r>
    </w:p>
    <w:p w:rsidR="00EE57F4" w:rsidRDefault="00EE57F4" w:rsidP="00EE57F4">
      <w:pPr>
        <w:pStyle w:val="ListParagraph"/>
        <w:numPr>
          <w:ilvl w:val="0"/>
          <w:numId w:val="1"/>
        </w:numPr>
      </w:pPr>
      <w:r>
        <w:t>Algal diversity</w:t>
      </w:r>
    </w:p>
    <w:p w:rsidR="00EE57F4" w:rsidRDefault="00EE57F4" w:rsidP="00EE57F4">
      <w:pPr>
        <w:pStyle w:val="ListParagraph"/>
        <w:numPr>
          <w:ilvl w:val="1"/>
          <w:numId w:val="1"/>
        </w:numPr>
      </w:pPr>
      <w:r>
        <w:lastRenderedPageBreak/>
        <w:t>More diverse algal communities take up and store more nitrate and have higher biomass (Cardinale 2011)</w:t>
      </w:r>
    </w:p>
    <w:p w:rsidR="00EE57F4" w:rsidRDefault="00EE57F4" w:rsidP="00EE57F4">
      <w:pPr>
        <w:pStyle w:val="ListParagraph"/>
        <w:numPr>
          <w:ilvl w:val="0"/>
          <w:numId w:val="1"/>
        </w:numPr>
      </w:pPr>
      <w:proofErr w:type="spellStart"/>
      <w:r>
        <w:t>Carying</w:t>
      </w:r>
      <w:proofErr w:type="spellEnd"/>
      <w:r>
        <w:t xml:space="preserve"> capacity</w:t>
      </w:r>
    </w:p>
    <w:p w:rsidR="000B0C5E" w:rsidRDefault="00EE57F4" w:rsidP="000B0C5E">
      <w:pPr>
        <w:pStyle w:val="ListParagraph"/>
        <w:numPr>
          <w:ilvl w:val="1"/>
          <w:numId w:val="1"/>
        </w:numPr>
      </w:pPr>
      <w:r>
        <w:t xml:space="preserve">When few exogenous factors limit productivity, GPP/biomass may be limited by carrying capacity, </w:t>
      </w:r>
      <w:proofErr w:type="spellStart"/>
      <w:r>
        <w:t>self shading</w:t>
      </w:r>
      <w:proofErr w:type="spellEnd"/>
      <w:r>
        <w:t>, and within-mat DIC limitation in the SF of the Humboldt (Davis, 2012)</w:t>
      </w:r>
    </w:p>
    <w:p w:rsidR="009130FC" w:rsidRDefault="009130FC" w:rsidP="000B0C5E">
      <w:pPr>
        <w:pStyle w:val="ListParagraph"/>
        <w:numPr>
          <w:ilvl w:val="1"/>
          <w:numId w:val="1"/>
        </w:numPr>
      </w:pPr>
      <w:r>
        <w:t>Density dependent competition limits algal growth when nutrients and light aren’t limiting in experimental channels (Stevenson 1991)</w:t>
      </w:r>
    </w:p>
    <w:p w:rsidR="00EE57F4" w:rsidRDefault="00EE57F4" w:rsidP="00EE57F4">
      <w:pPr>
        <w:pStyle w:val="ListParagraph"/>
        <w:numPr>
          <w:ilvl w:val="0"/>
          <w:numId w:val="1"/>
        </w:numPr>
      </w:pPr>
      <w:r>
        <w:t>Nutrients</w:t>
      </w:r>
    </w:p>
    <w:p w:rsidR="00EE57F4" w:rsidRDefault="00EE57F4" w:rsidP="00EE57F4">
      <w:pPr>
        <w:pStyle w:val="ListParagraph"/>
        <w:numPr>
          <w:ilvl w:val="1"/>
          <w:numId w:val="1"/>
        </w:numPr>
      </w:pPr>
      <w:r>
        <w:t xml:space="preserve">Both N and P limit biomass in rivers, threshold for eutrophic is </w:t>
      </w:r>
      <w:r w:rsidRPr="00EE57F4">
        <w:t xml:space="preserve">&gt;70 mg/m2 average </w:t>
      </w:r>
      <w:proofErr w:type="spellStart"/>
      <w:r w:rsidRPr="00EE57F4">
        <w:t>chl</w:t>
      </w:r>
      <w:proofErr w:type="spellEnd"/>
      <w:r w:rsidRPr="00EE57F4">
        <w:t xml:space="preserve"> and &gt; 200 gm/m2 max </w:t>
      </w:r>
      <w:proofErr w:type="spellStart"/>
      <w:r w:rsidRPr="00EE57F4">
        <w:t>chl</w:t>
      </w:r>
      <w:proofErr w:type="spellEnd"/>
      <w:r>
        <w:t xml:space="preserve"> (</w:t>
      </w:r>
      <w:proofErr w:type="spellStart"/>
      <w:r>
        <w:t>Dodds</w:t>
      </w:r>
      <w:proofErr w:type="spellEnd"/>
      <w:r>
        <w:t>, 2016)</w:t>
      </w:r>
    </w:p>
    <w:p w:rsidR="0028189D" w:rsidRDefault="0028189D" w:rsidP="00EE57F4">
      <w:pPr>
        <w:pStyle w:val="ListParagraph"/>
        <w:numPr>
          <w:ilvl w:val="1"/>
          <w:numId w:val="1"/>
        </w:numPr>
      </w:pPr>
      <w:r>
        <w:t>Nutrient thresholds for UCFR and other rivers to prevent eutrophication (350 ug/L N and 30 ug/L p (</w:t>
      </w:r>
      <w:proofErr w:type="spellStart"/>
      <w:r>
        <w:t>Dodds</w:t>
      </w:r>
      <w:proofErr w:type="spellEnd"/>
      <w:r>
        <w:t>, 1997)</w:t>
      </w:r>
    </w:p>
    <w:p w:rsidR="0028189D" w:rsidRDefault="0028189D" w:rsidP="00EE57F4">
      <w:pPr>
        <w:pStyle w:val="ListParagraph"/>
        <w:numPr>
          <w:ilvl w:val="1"/>
          <w:numId w:val="1"/>
        </w:numPr>
      </w:pPr>
      <w:r>
        <w:t xml:space="preserve">In UCFR </w:t>
      </w:r>
      <w:proofErr w:type="spellStart"/>
      <w:r>
        <w:t>cladophora</w:t>
      </w:r>
      <w:proofErr w:type="spellEnd"/>
      <w:r>
        <w:t xml:space="preserve"> is N deficient and </w:t>
      </w:r>
      <w:proofErr w:type="spellStart"/>
      <w:r>
        <w:t>epiphyts</w:t>
      </w:r>
      <w:proofErr w:type="spellEnd"/>
      <w:r>
        <w:t xml:space="preserve"> are P deficient indicating they don’t compete. (</w:t>
      </w:r>
      <w:proofErr w:type="spellStart"/>
      <w:r>
        <w:t>Dods</w:t>
      </w:r>
      <w:proofErr w:type="spellEnd"/>
      <w:r>
        <w:t xml:space="preserve"> 1991)</w:t>
      </w:r>
    </w:p>
    <w:p w:rsidR="009130FC" w:rsidRDefault="009130FC" w:rsidP="00EE57F4">
      <w:pPr>
        <w:pStyle w:val="ListParagraph"/>
        <w:numPr>
          <w:ilvl w:val="1"/>
          <w:numId w:val="1"/>
        </w:numPr>
      </w:pPr>
      <w:r>
        <w:t>Some degree of nutrient reduction in the UCFR (</w:t>
      </w:r>
      <w:proofErr w:type="spellStart"/>
      <w:r>
        <w:t>cladophora</w:t>
      </w:r>
      <w:proofErr w:type="spellEnd"/>
      <w:r>
        <w:t xml:space="preserve"> dominated) has not translated into algal biomass decreases while it has in the lower </w:t>
      </w:r>
      <w:proofErr w:type="spellStart"/>
      <w:r>
        <w:t>clark</w:t>
      </w:r>
      <w:proofErr w:type="spellEnd"/>
      <w:r>
        <w:t xml:space="preserve"> fork which is diatom dominated (</w:t>
      </w:r>
      <w:proofErr w:type="spellStart"/>
      <w:r>
        <w:t>Suplee</w:t>
      </w:r>
      <w:proofErr w:type="spellEnd"/>
      <w:r>
        <w:t xml:space="preserve"> 2012). Maybe </w:t>
      </w:r>
      <w:proofErr w:type="spellStart"/>
      <w:r>
        <w:t>cladophora</w:t>
      </w:r>
      <w:proofErr w:type="spellEnd"/>
      <w:r>
        <w:t xml:space="preserve"> in particular is not responsive to nutrient reduction.</w:t>
      </w:r>
    </w:p>
    <w:p w:rsidR="00B1393E" w:rsidRDefault="00B1393E" w:rsidP="00EE57F4">
      <w:pPr>
        <w:pStyle w:val="ListParagraph"/>
        <w:numPr>
          <w:ilvl w:val="1"/>
          <w:numId w:val="1"/>
        </w:numPr>
      </w:pPr>
      <w:r>
        <w:t>More N means more algal biomass. There is little effect of N:P ratio on total biomass but it does change the algal assemblage (</w:t>
      </w:r>
      <w:proofErr w:type="spellStart"/>
      <w:r>
        <w:t>Stelzer</w:t>
      </w:r>
      <w:proofErr w:type="spellEnd"/>
      <w:r>
        <w:t xml:space="preserve"> 2001)</w:t>
      </w:r>
    </w:p>
    <w:p w:rsidR="0094704B" w:rsidRDefault="00EA06D6" w:rsidP="00EE57F4">
      <w:pPr>
        <w:pStyle w:val="ListParagraph"/>
        <w:numPr>
          <w:ilvl w:val="1"/>
          <w:numId w:val="1"/>
        </w:numPr>
      </w:pPr>
      <w:r>
        <w:t>Filamentous mats may increase residence time of water enough to allow for recycling of nutrients (Mulholland 1994)</w:t>
      </w:r>
    </w:p>
    <w:p w:rsidR="009130FC" w:rsidRDefault="009130FC" w:rsidP="009130FC">
      <w:pPr>
        <w:pStyle w:val="ListParagraph"/>
        <w:numPr>
          <w:ilvl w:val="0"/>
          <w:numId w:val="1"/>
        </w:numPr>
      </w:pPr>
      <w:r>
        <w:t>Drought/low flow</w:t>
      </w:r>
    </w:p>
    <w:p w:rsidR="009130FC" w:rsidRDefault="009130FC" w:rsidP="009130FC">
      <w:pPr>
        <w:pStyle w:val="ListParagraph"/>
        <w:numPr>
          <w:ilvl w:val="1"/>
          <w:numId w:val="1"/>
        </w:numPr>
      </w:pPr>
      <w:r>
        <w:t>During summer dry period algal assemblage shifts to more filamentous if nutrients are high, but not if low (Suren 2003)</w:t>
      </w:r>
    </w:p>
    <w:p w:rsidR="00EE57F4" w:rsidRDefault="00EE57F4" w:rsidP="00EE57F4">
      <w:r>
        <w:t>Models of productivity/biomass</w:t>
      </w:r>
      <w:r w:rsidR="000B0C5E">
        <w:t xml:space="preserve"> or relationships between</w:t>
      </w:r>
    </w:p>
    <w:p w:rsidR="000B0C5E" w:rsidRDefault="00EE57F4" w:rsidP="0028189D">
      <w:pPr>
        <w:pStyle w:val="ListParagraph"/>
        <w:numPr>
          <w:ilvl w:val="0"/>
          <w:numId w:val="1"/>
        </w:numPr>
      </w:pPr>
      <w:r>
        <w:t>Metabolic theory can be used to predict GPP relying on linear scaling of GPP with biomass (</w:t>
      </w:r>
      <w:proofErr w:type="spellStart"/>
      <w:r>
        <w:t>Demars</w:t>
      </w:r>
      <w:proofErr w:type="spellEnd"/>
      <w:r>
        <w:t xml:space="preserve"> 2023)</w:t>
      </w:r>
    </w:p>
    <w:p w:rsidR="000B0C5E" w:rsidRDefault="000B0C5E" w:rsidP="0028189D">
      <w:pPr>
        <w:pStyle w:val="ListParagraph"/>
        <w:numPr>
          <w:ilvl w:val="0"/>
          <w:numId w:val="1"/>
        </w:numPr>
      </w:pPr>
      <w:r>
        <w:t>GPP can be predicted as a function of chlorophyll, but temperature has an effect on this relationship, particularly in stream periphyton (Morin 1999)</w:t>
      </w:r>
    </w:p>
    <w:p w:rsidR="00EE57F4" w:rsidRDefault="000B0C5E" w:rsidP="0028189D">
      <w:pPr>
        <w:pStyle w:val="ListParagraph"/>
        <w:numPr>
          <w:ilvl w:val="0"/>
          <w:numId w:val="1"/>
        </w:numPr>
      </w:pPr>
      <w:r>
        <w:t xml:space="preserve">Stream </w:t>
      </w:r>
      <w:proofErr w:type="spellStart"/>
      <w:r>
        <w:t>productivity:chlorophyll</w:t>
      </w:r>
      <w:proofErr w:type="spellEnd"/>
      <w:r>
        <w:t xml:space="preserve"> ratio decreases with more biomass likely due to self-shading and shift toward more filamentous algae (Morin 1999)</w:t>
      </w:r>
    </w:p>
    <w:p w:rsidR="00B1393E" w:rsidRDefault="00B1393E" w:rsidP="0028189D">
      <w:pPr>
        <w:pStyle w:val="ListParagraph"/>
        <w:numPr>
          <w:ilvl w:val="0"/>
          <w:numId w:val="1"/>
        </w:numPr>
      </w:pPr>
      <w:r>
        <w:t>Across a group of desert and dam tailwater autotrophic rivers, standing stock of algae and GPP are negatively correlated (in the table in Davis 2012) Maybe this is because of what type of algae are most productive (my speculation)</w:t>
      </w:r>
    </w:p>
    <w:p w:rsidR="00B1393E" w:rsidRDefault="00B1393E" w:rsidP="0028189D">
      <w:pPr>
        <w:pStyle w:val="ListParagraph"/>
        <w:numPr>
          <w:ilvl w:val="0"/>
          <w:numId w:val="1"/>
        </w:numPr>
      </w:pPr>
      <w:r>
        <w:t>Autotrophic biomass is positively correlated with productivity</w:t>
      </w:r>
      <w:r w:rsidR="00F34A3F">
        <w:t xml:space="preserve"> although they found no relationship with specific autotrophic groups (filamentous, epilithic)</w:t>
      </w:r>
      <w:r>
        <w:t xml:space="preserve"> (</w:t>
      </w:r>
      <w:proofErr w:type="spellStart"/>
      <w:r>
        <w:t>Bernot</w:t>
      </w:r>
      <w:proofErr w:type="spellEnd"/>
      <w:r>
        <w:t xml:space="preserve"> 2010</w:t>
      </w:r>
      <w:r w:rsidR="00F34A3F">
        <w:t>)</w:t>
      </w:r>
    </w:p>
    <w:p w:rsidR="0028189D" w:rsidRDefault="0028189D" w:rsidP="0028189D">
      <w:r>
        <w:t>Clark fork patterns</w:t>
      </w:r>
    </w:p>
    <w:p w:rsidR="0028189D" w:rsidRDefault="0028189D" w:rsidP="009130FC">
      <w:pPr>
        <w:pStyle w:val="ListParagraph"/>
        <w:numPr>
          <w:ilvl w:val="0"/>
          <w:numId w:val="1"/>
        </w:numPr>
      </w:pPr>
      <w:r>
        <w:t>Green up after spring flood with peak biomass in the summer (Flynn, 2014)</w:t>
      </w:r>
    </w:p>
    <w:p w:rsidR="009130FC" w:rsidRDefault="009130FC" w:rsidP="009130FC">
      <w:pPr>
        <w:pStyle w:val="ListParagraph"/>
        <w:numPr>
          <w:ilvl w:val="0"/>
          <w:numId w:val="1"/>
        </w:numPr>
      </w:pPr>
      <w:r>
        <w:t>Snowmelt causes enhanced primary production in the UCFR but the magnitude of the peak flood sets the max filamentous biomass (</w:t>
      </w:r>
      <w:proofErr w:type="spellStart"/>
      <w:r>
        <w:t>Valett</w:t>
      </w:r>
      <w:proofErr w:type="spellEnd"/>
      <w:r>
        <w:t xml:space="preserve"> 2023)</w:t>
      </w:r>
    </w:p>
    <w:p w:rsidR="009130FC" w:rsidRDefault="009130FC" w:rsidP="009130FC">
      <w:pPr>
        <w:pStyle w:val="ListParagraph"/>
        <w:numPr>
          <w:ilvl w:val="0"/>
          <w:numId w:val="1"/>
        </w:numPr>
      </w:pPr>
      <w:r>
        <w:lastRenderedPageBreak/>
        <w:t xml:space="preserve">During the late season, succession from filamentous greens to epilithic </w:t>
      </w:r>
      <w:proofErr w:type="spellStart"/>
      <w:r>
        <w:t>cyannos</w:t>
      </w:r>
      <w:proofErr w:type="spellEnd"/>
      <w:r>
        <w:t xml:space="preserve"> when N gets low and water is warm (</w:t>
      </w:r>
      <w:proofErr w:type="spellStart"/>
      <w:r>
        <w:t>Valett</w:t>
      </w:r>
      <w:proofErr w:type="spellEnd"/>
      <w:r>
        <w:t xml:space="preserve"> 2023)</w:t>
      </w:r>
    </w:p>
    <w:p w:rsidR="00EE57F4" w:rsidRDefault="0028189D" w:rsidP="0028189D">
      <w:r>
        <w:t>Other</w:t>
      </w:r>
    </w:p>
    <w:p w:rsidR="0028189D" w:rsidRDefault="0028189D" w:rsidP="000A7627">
      <w:pPr>
        <w:pStyle w:val="ListParagraph"/>
        <w:numPr>
          <w:ilvl w:val="0"/>
          <w:numId w:val="1"/>
        </w:numPr>
      </w:pPr>
      <w:r>
        <w:t>We can probably measure biomass from drones (Flynn 2014)</w:t>
      </w:r>
    </w:p>
    <w:p w:rsidR="00B1393E" w:rsidRDefault="00B1393E" w:rsidP="000A7627">
      <w:pPr>
        <w:pStyle w:val="ListParagraph"/>
        <w:numPr>
          <w:ilvl w:val="0"/>
          <w:numId w:val="1"/>
        </w:numPr>
      </w:pPr>
      <w:r>
        <w:t xml:space="preserve">Algal biomass controlled daily O2 </w:t>
      </w:r>
      <w:proofErr w:type="spellStart"/>
      <w:r>
        <w:t>fluctioations</w:t>
      </w:r>
      <w:proofErr w:type="spellEnd"/>
      <w:r>
        <w:t xml:space="preserve"> (</w:t>
      </w:r>
      <w:proofErr w:type="spellStart"/>
      <w:r>
        <w:t>Sabater</w:t>
      </w:r>
      <w:proofErr w:type="spellEnd"/>
      <w:r>
        <w:t xml:space="preserve"> 2000)</w:t>
      </w:r>
    </w:p>
    <w:sectPr w:rsidR="00B13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463BF"/>
    <w:multiLevelType w:val="hybridMultilevel"/>
    <w:tmpl w:val="8D94F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54BD1"/>
    <w:multiLevelType w:val="hybridMultilevel"/>
    <w:tmpl w:val="0B2AA026"/>
    <w:lvl w:ilvl="0" w:tplc="253E19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E4821"/>
    <w:multiLevelType w:val="hybridMultilevel"/>
    <w:tmpl w:val="C92C2104"/>
    <w:lvl w:ilvl="0" w:tplc="253E19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F093E"/>
    <w:multiLevelType w:val="hybridMultilevel"/>
    <w:tmpl w:val="CED2C58E"/>
    <w:lvl w:ilvl="0" w:tplc="253E19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045AC2"/>
    <w:multiLevelType w:val="hybridMultilevel"/>
    <w:tmpl w:val="FB209826"/>
    <w:lvl w:ilvl="0" w:tplc="253E19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C41CEE"/>
    <w:multiLevelType w:val="hybridMultilevel"/>
    <w:tmpl w:val="23F6E388"/>
    <w:lvl w:ilvl="0" w:tplc="253E19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F4"/>
    <w:rsid w:val="00006EA1"/>
    <w:rsid w:val="000A7627"/>
    <w:rsid w:val="000B0C5E"/>
    <w:rsid w:val="00200858"/>
    <w:rsid w:val="0028189D"/>
    <w:rsid w:val="004C5D94"/>
    <w:rsid w:val="004E3C38"/>
    <w:rsid w:val="00716208"/>
    <w:rsid w:val="009130FC"/>
    <w:rsid w:val="0094704B"/>
    <w:rsid w:val="00B1393E"/>
    <w:rsid w:val="00EA06D6"/>
    <w:rsid w:val="00EE57F4"/>
    <w:rsid w:val="00F34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525D"/>
  <w15:chartTrackingRefBased/>
  <w15:docId w15:val="{0F0F6891-CA79-404B-AAFD-51170FEDB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5112</TotalTime>
  <Pages>3</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Montana</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Alice</dc:creator>
  <cp:keywords/>
  <dc:description/>
  <cp:lastModifiedBy>Carter, Alice</cp:lastModifiedBy>
  <cp:revision>2</cp:revision>
  <dcterms:created xsi:type="dcterms:W3CDTF">2024-01-08T20:15:00Z</dcterms:created>
  <dcterms:modified xsi:type="dcterms:W3CDTF">2024-01-21T03:44:00Z</dcterms:modified>
</cp:coreProperties>
</file>