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Given the provided data, what are three conclusions we can draw about crowdfunding campaigns?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June and July had the highest number of successful outcomes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Theater was the category with the highest number of crowdfunding campaigns, with plays being the subcategory with the greatest number of campaigns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Campaigns that were trying to raise 15,000-19,999, 20,000 to 24,999, and 30,000 to 34,999 all had a 100% success rate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is no data on the ways that the campaigns were advertised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blurb and the category/subcategory do not seem to line 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designation for if these are businesses raising money or individuals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Analyzing the impacts of being a staff pick or spotlighted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Converting money to better understanding the amounts raised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