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Bookman Old Style" w:cs="Bookman Old Style" w:eastAsia="Bookman Old Style" w:hAnsi="Bookman Old Style"/>
          <w:b/>
          <w:bCs/>
          <w:sz w:val="22"/>
          <w:szCs w:val="22"/>
        </w:rPr>
        <w:t xml:space="preserve">Pedido de Acesso à Informação</w:t>
      </w:r>
    </w:p>
    <w:p>
      <w:pPr>
        <w:spacing w:after="0" w:before="0" w:line="276"/>
      </w:pPr>
      <w:r>
        <w:rPr>
          <w:rFonts w:ascii="Bookman Old Style" w:cs="Bookman Old Style" w:eastAsia="Bookman Old Style" w:hAnsi="Bookman Old Style"/>
          <w:sz w:val="22"/>
          <w:szCs w:val="22"/>
        </w:rPr>
        <w:t xml:space="preserve"/>
      </w:r>
    </w:p>
    <w:p>
      <w:pPr>
        <w:spacing w:after="0" w:before="0" w:line="276"/>
        <w:jc w:val="both"/>
      </w:pPr>
      <w:r>
        <w:rPr>
          <w:rFonts w:ascii="Bookman Old Style" w:cs="Bookman Old Style" w:eastAsia="Bookman Old Style" w:hAnsi="Bookman Old Style"/>
          <w:sz w:val="22"/>
          <w:szCs w:val="22"/>
        </w:rPr>
        <w:t xml:space="preserve">Ao Serviço de Informação ao Cidadão da Prefeitura Municipal de Goiânia</w:t>
      </w:r>
    </w:p>
    <w:p>
      <w:pPr>
        <w:spacing w:after="0" w:before="0" w:line="276"/>
        <w:jc w:val="both"/>
      </w:pPr>
      <w:r>
        <w:rPr>
          <w:rFonts w:ascii="Bookman Old Style" w:cs="Bookman Old Style" w:eastAsia="Bookman Old Style" w:hAnsi="Bookman Old Style"/>
          <w:sz w:val="22"/>
          <w:szCs w:val="22"/>
        </w:rPr>
        <w:t xml:space="preserve">À Secretaria Municipal de Assistência Social</w:t>
      </w:r>
    </w:p>
    <w:p>
      <w:pPr>
        <w:spacing w:after="0" w:before="0" w:line="276"/>
        <w:jc w:val="both"/>
      </w:pPr>
      <w:r>
        <w:rPr>
          <w:rFonts w:ascii="Bookman Old Style" w:cs="Bookman Old Style" w:eastAsia="Bookman Old Style" w:hAnsi="Bookman Old Style"/>
          <w:sz w:val="22"/>
          <w:szCs w:val="22"/>
        </w:rPr>
        <w:t xml:space="preserve">Ao Conselho Municipal de Assistência Social de Goiânia</w:t>
      </w:r>
    </w:p>
    <w:p>
      <w:pPr>
        <w:spacing w:after="0" w:before="0" w:line="276"/>
      </w:pPr>
      <w:r>
        <w:rPr>
          <w:rFonts w:ascii="Bookman Old Style" w:cs="Bookman Old Style" w:eastAsia="Bookman Old Style" w:hAnsi="Bookman Old Style"/>
          <w:sz w:val="22"/>
          <w:szCs w:val="22"/>
        </w:rPr>
        <w:t xml:space="preserve"/>
      </w:r>
    </w:p>
    <w:p>
      <w:pPr>
        <w:spacing w:after="0" w:before="0" w:line="276"/>
        <w:jc w:val="both"/>
      </w:pPr>
      <w:r>
        <w:rPr>
          <w:rFonts w:ascii="Bookman Old Style" w:cs="Bookman Old Style" w:eastAsia="Bookman Old Style" w:hAnsi="Bookman Old Style"/>
          <w:sz w:val="22"/>
          <w:szCs w:val="22"/>
        </w:rPr>
        <w:t xml:space="preserve">Requerente: Associação de Moradores e Comerciantes do Jardim América — AMC Jardim América</w:t>
      </w:r>
    </w:p>
    <w:p>
      <w:pPr>
        <w:spacing w:after="0" w:before="0" w:line="276"/>
      </w:pPr>
      <w:r>
        <w:rPr>
          <w:rFonts w:ascii="Bookman Old Style" w:cs="Bookman Old Style" w:eastAsia="Bookman Old Style" w:hAnsi="Bookman Old Style"/>
          <w:sz w:val="22"/>
          <w:szCs w:val="22"/>
        </w:rPr>
        <w:t xml:space="preserve"/>
      </w:r>
    </w:p>
    <w:p>
      <w:pPr>
        <w:spacing w:after="0" w:before="0" w:line="276"/>
        <w:jc w:val="center"/>
      </w:pPr>
      <w:r>
        <w:rPr>
          <w:rFonts w:ascii="Bookman Old Style" w:cs="Bookman Old Style" w:eastAsia="Bookman Old Style" w:hAnsi="Bookman Old Style"/>
          <w:b/>
          <w:bCs/>
          <w:sz w:val="22"/>
          <w:szCs w:val="22"/>
        </w:rPr>
        <w:t xml:space="preserve">I – Do Fundamento do Pedido</w:t>
      </w:r>
    </w:p>
    <w:p>
      <w:pPr>
        <w:spacing w:after="0" w:before="0" w:line="276"/>
      </w:pPr>
      <w:r>
        <w:rPr>
          <w:rFonts w:ascii="Bookman Old Style" w:cs="Bookman Old Style" w:eastAsia="Bookman Old Style" w:hAnsi="Bookman Old Style"/>
          <w:sz w:val="22"/>
          <w:szCs w:val="22"/>
        </w:rPr>
        <w:t xml:space="preserve"/>
      </w:r>
    </w:p>
    <w:p>
      <w:pPr>
        <w:spacing w:after="0" w:before="0" w:line="276"/>
        <w:ind w:firstLine="1133"/>
        <w:jc w:val="both"/>
      </w:pPr>
      <w:r>
        <w:rPr>
          <w:rFonts w:ascii="Bookman Old Style" w:cs="Bookman Old Style" w:eastAsia="Bookman Old Style" w:hAnsi="Bookman Old Style"/>
          <w:sz w:val="22"/>
          <w:szCs w:val="22"/>
        </w:rPr>
        <w:t xml:space="preserve">A Associação requerente, com fundamento no </w:t>
      </w:r>
      <w:r>
        <w:rPr>
          <w:rFonts w:ascii="Bookman Old Style" w:cs="Bookman Old Style" w:eastAsia="Bookman Old Style" w:hAnsi="Bookman Old Style"/>
          <w:sz w:val="22"/>
          <w:szCs w:val="22"/>
          <w:u w:val="single"/>
        </w:rPr>
        <w:t xml:space="preserve">Artigo 5º, inciso XXXIII, da Constituição Federal</w:t>
      </w:r>
      <w:r>
        <w:rPr>
          <w:rStyle w:val="FootnoteReference"/>
        </w:rPr>
        <w:footnoteReference w:id="1"/>
      </w:r>
      <w:r>
        <w:rPr>
          <w:rFonts w:ascii="Bookman Old Style" w:cs="Bookman Old Style" w:eastAsia="Bookman Old Style" w:hAnsi="Bookman Old Style"/>
          <w:sz w:val="22"/>
          <w:szCs w:val="22"/>
        </w:rPr>
        <w:t xml:space="preserve"> e no </w:t>
      </w:r>
      <w:r>
        <w:rPr>
          <w:rFonts w:ascii="Bookman Old Style" w:cs="Bookman Old Style" w:eastAsia="Bookman Old Style" w:hAnsi="Bookman Old Style"/>
          <w:sz w:val="22"/>
          <w:szCs w:val="22"/>
          <w:u w:val="single"/>
        </w:rPr>
        <w:t xml:space="preserve">Artigo 37, caput, da Constituição Federal</w:t>
      </w:r>
      <w:r>
        <w:rPr>
          <w:rStyle w:val="FootnoteReference"/>
        </w:rPr>
        <w:footnoteReference w:id="2"/>
      </w:r>
      <w:r>
        <w:rPr>
          <w:rFonts w:ascii="Bookman Old Style" w:cs="Bookman Old Style" w:eastAsia="Bookman Old Style" w:hAnsi="Bookman Old Style"/>
          <w:sz w:val="22"/>
          <w:szCs w:val="22"/>
        </w:rPr>
        <w:t xml:space="preserve">, vem requerer o acesso às informações adiante especificadas, relativas à política municipal de assistência social.</w:t>
      </w:r>
    </w:p>
    <w:p>
      <w:pPr>
        <w:spacing w:after="0" w:before="0" w:line="276"/>
      </w:pPr>
      <w:r>
        <w:rPr>
          <w:rFonts w:ascii="Bookman Old Style" w:cs="Bookman Old Style" w:eastAsia="Bookman Old Style" w:hAnsi="Bookman Old Style"/>
          <w:sz w:val="22"/>
          <w:szCs w:val="22"/>
        </w:rPr>
        <w:t xml:space="preserve"/>
      </w:r>
    </w:p>
    <w:p>
      <w:pPr>
        <w:spacing w:after="0" w:before="0" w:line="276"/>
        <w:ind w:firstLine="1133"/>
        <w:jc w:val="both"/>
      </w:pPr>
      <w:r>
        <w:rPr>
          <w:rFonts w:ascii="Bookman Old Style" w:cs="Bookman Old Style" w:eastAsia="Bookman Old Style" w:hAnsi="Bookman Old Style"/>
          <w:sz w:val="22"/>
          <w:szCs w:val="22"/>
        </w:rPr>
        <w:t xml:space="preserve">Registre-se, desde logo, que o </w:t>
      </w:r>
      <w:r>
        <w:rPr>
          <w:rFonts w:ascii="Bookman Old Style" w:cs="Bookman Old Style" w:eastAsia="Bookman Old Style" w:hAnsi="Bookman Old Style"/>
          <w:sz w:val="22"/>
          <w:szCs w:val="22"/>
          <w:u w:val="single"/>
        </w:rPr>
        <w:t xml:space="preserve">Artigo 10, § 3º, da Lei 12.527/2011</w:t>
      </w:r>
      <w:r>
        <w:rPr>
          <w:rStyle w:val="FootnoteReference"/>
        </w:rPr>
        <w:footnoteReference w:id="4"/>
      </w:r>
      <w:r>
        <w:rPr>
          <w:rFonts w:ascii="Bookman Old Style" w:cs="Bookman Old Style" w:eastAsia="Bookman Old Style" w:hAnsi="Bookman Old Style"/>
          <w:sz w:val="22"/>
          <w:szCs w:val="22"/>
        </w:rPr>
        <w:t xml:space="preserve"> veda expressamente qualquer exigência quanto aos motivos determinantes da solicitação, razão pela qual o presente pedido dispensa justificação de interesse.</w:t>
      </w:r>
    </w:p>
    <w:p>
      <w:pPr>
        <w:spacing w:after="0" w:before="0" w:line="276"/>
      </w:pPr>
      <w:r>
        <w:rPr>
          <w:rFonts w:ascii="Bookman Old Style" w:cs="Bookman Old Style" w:eastAsia="Bookman Old Style" w:hAnsi="Bookman Old Style"/>
          <w:sz w:val="22"/>
          <w:szCs w:val="22"/>
        </w:rPr>
        <w:t xml:space="preserve"/>
      </w:r>
    </w:p>
    <w:p>
      <w:pPr>
        <w:spacing w:after="0" w:before="0" w:line="276"/>
        <w:jc w:val="center"/>
      </w:pPr>
      <w:r>
        <w:rPr>
          <w:rFonts w:ascii="Bookman Old Style" w:cs="Bookman Old Style" w:eastAsia="Bookman Old Style" w:hAnsi="Bookman Old Style"/>
          <w:b/>
          <w:bCs/>
          <w:sz w:val="22"/>
          <w:szCs w:val="22"/>
        </w:rPr>
        <w:t xml:space="preserve">II – Do Direito ao Acesso Automatizado</w:t>
      </w:r>
    </w:p>
    <w:p>
      <w:pPr>
        <w:spacing w:after="0" w:before="0" w:line="276"/>
      </w:pPr>
      <w:r>
        <w:rPr>
          <w:rFonts w:ascii="Bookman Old Style" w:cs="Bookman Old Style" w:eastAsia="Bookman Old Style" w:hAnsi="Bookman Old Style"/>
          <w:sz w:val="22"/>
          <w:szCs w:val="22"/>
        </w:rPr>
        <w:t xml:space="preserve"/>
      </w:r>
    </w:p>
    <w:p>
      <w:pPr>
        <w:spacing w:after="0" w:before="0" w:line="276"/>
        <w:ind w:firstLine="1133"/>
        <w:jc w:val="both"/>
      </w:pPr>
      <w:r>
        <w:rPr>
          <w:rFonts w:ascii="Bookman Old Style" w:cs="Bookman Old Style" w:eastAsia="Bookman Old Style" w:hAnsi="Bookman Old Style"/>
          <w:sz w:val="22"/>
          <w:szCs w:val="22"/>
        </w:rPr>
        <w:t xml:space="preserve">O ponto central deste requerimento merece destaque particular. O </w:t>
      </w:r>
      <w:r>
        <w:rPr>
          <w:rFonts w:ascii="Bookman Old Style" w:cs="Bookman Old Style" w:eastAsia="Bookman Old Style" w:hAnsi="Bookman Old Style"/>
          <w:sz w:val="22"/>
          <w:szCs w:val="22"/>
          <w:u w:val="single"/>
        </w:rPr>
        <w:t xml:space="preserve">Artigo 8º, § 3º, inciso III, da Lei 12.527/2011</w:t>
      </w:r>
      <w:r>
        <w:rPr>
          <w:rStyle w:val="FootnoteReference"/>
        </w:rPr>
        <w:footnoteReference w:id="3"/>
      </w:r>
      <w:r>
        <w:rPr>
          <w:rFonts w:ascii="Bookman Old Style" w:cs="Bookman Old Style" w:eastAsia="Bookman Old Style" w:hAnsi="Bookman Old Style"/>
          <w:sz w:val="22"/>
          <w:szCs w:val="22"/>
        </w:rPr>
        <w:t xml:space="preserve"> não se limita a assegurar o acesso humano à informação: impõe ao ente público o dever de possibilitar o acesso automatizado por sistemas externos, em formatos abertos, estruturados e legíveis por máquina.</w:t>
      </w:r>
    </w:p>
    <w:p>
      <w:pPr>
        <w:spacing w:after="0" w:before="0" w:line="276"/>
      </w:pPr>
      <w:r>
        <w:rPr>
          <w:rFonts w:ascii="Bookman Old Style" w:cs="Bookman Old Style" w:eastAsia="Bookman Old Style" w:hAnsi="Bookman Old Style"/>
          <w:sz w:val="22"/>
          <w:szCs w:val="22"/>
        </w:rPr>
        <w:t xml:space="preserve"/>
      </w:r>
    </w:p>
    <w:p>
      <w:pPr>
        <w:spacing w:after="0" w:before="0" w:line="240"/>
        <w:ind w:left="4535"/>
        <w:jc w:val="both"/>
      </w:pPr>
      <w:r>
        <w:rPr>
          <w:rFonts w:ascii="Bookman Old Style" w:cs="Bookman Old Style" w:eastAsia="Bookman Old Style" w:hAnsi="Bookman Old Style"/>
          <w:sz w:val="20"/>
          <w:szCs w:val="20"/>
        </w:rPr>
        <w:t xml:space="preserve">possibilitar o acesso automatizado por sistemas externos em formatos abertos, estruturados e legíveis por máquina;</w:t>
      </w:r>
    </w:p>
    <w:p>
      <w:pPr>
        <w:spacing w:line="240"/>
        <w:ind w:left="4535"/>
        <w:jc w:val="both"/>
      </w:pPr>
      <w:r>
        <w:rPr>
          <w:rFonts w:ascii="Bookman Old Style" w:cs="Bookman Old Style" w:eastAsia="Bookman Old Style" w:hAnsi="Bookman Old Style"/>
          <w:sz w:val="14"/>
          <w:szCs w:val="14"/>
        </w:rPr>
        <w:t xml:space="preserve">(Lei 12.527/2011 – Artigo 8º, § 3º, inciso III)</w:t>
      </w:r>
    </w:p>
    <w:p>
      <w:pPr>
        <w:spacing w:after="0" w:before="0" w:line="276"/>
      </w:pPr>
      <w:r>
        <w:rPr>
          <w:rFonts w:ascii="Bookman Old Style" w:cs="Bookman Old Style" w:eastAsia="Bookman Old Style" w:hAnsi="Bookman Old Style"/>
          <w:sz w:val="22"/>
          <w:szCs w:val="22"/>
        </w:rPr>
        <w:t xml:space="preserve"/>
      </w:r>
    </w:p>
    <w:p>
      <w:pPr>
        <w:spacing w:after="0" w:before="0" w:line="276"/>
        <w:ind w:firstLine="1133"/>
        <w:jc w:val="both"/>
      </w:pPr>
      <w:r>
        <w:rPr>
          <w:rFonts w:ascii="Bookman Old Style" w:cs="Bookman Old Style" w:eastAsia="Bookman Old Style" w:hAnsi="Bookman Old Style"/>
          <w:sz w:val="22"/>
          <w:szCs w:val="22"/>
        </w:rPr>
        <w:t xml:space="preserve">A norma é de clareza singular. O sujeito do acesso ali contemplado não é a pessoa natural que navega em um sítio, mas o sistema externo — expressão que, no vernáculo técnico e no jurídico, designa programa de computador operado por terceiro alheio à administração. O legislador previu, portanto, que o controle social se exerça também por meios automatizados, e converteu essa possibilidade em dever do ente público.</w:t>
      </w:r>
    </w:p>
    <w:p>
      <w:pPr>
        <w:spacing w:after="0" w:before="0" w:line="276"/>
      </w:pPr>
      <w:r>
        <w:rPr>
          <w:rFonts w:ascii="Bookman Old Style" w:cs="Bookman Old Style" w:eastAsia="Bookman Old Style" w:hAnsi="Bookman Old Style"/>
          <w:sz w:val="22"/>
          <w:szCs w:val="22"/>
        </w:rPr>
        <w:t xml:space="preserve"/>
      </w:r>
    </w:p>
    <w:p>
      <w:pPr>
        <w:spacing w:after="0" w:before="0" w:line="276"/>
        <w:ind w:firstLine="1133"/>
        <w:jc w:val="both"/>
      </w:pPr>
      <w:r>
        <w:rPr>
          <w:rFonts w:ascii="Bookman Old Style" w:cs="Bookman Old Style" w:eastAsia="Bookman Old Style" w:hAnsi="Bookman Old Style"/>
          <w:sz w:val="22"/>
          <w:szCs w:val="22"/>
        </w:rPr>
        <w:t xml:space="preserve">Reforça a conclusão o </w:t>
      </w:r>
      <w:r>
        <w:rPr>
          <w:rFonts w:ascii="Bookman Old Style" w:cs="Bookman Old Style" w:eastAsia="Bookman Old Style" w:hAnsi="Bookman Old Style"/>
          <w:sz w:val="22"/>
          <w:szCs w:val="22"/>
          <w:u w:val="single"/>
        </w:rPr>
        <w:t xml:space="preserve">Artigo 8º, § 3º, inciso II, da Lei 12.527/2011</w:t>
      </w:r>
      <w:r>
        <w:rPr>
          <w:rFonts w:ascii="Bookman Old Style" w:cs="Bookman Old Style" w:eastAsia="Bookman Old Style" w:hAnsi="Bookman Old Style"/>
          <w:sz w:val="22"/>
          <w:szCs w:val="22"/>
        </w:rPr>
        <w:t xml:space="preserve">, que exige a gravação de relatórios em formatos abertos e não proprietários de modo a facilitar a análise das informações, e o </w:t>
      </w:r>
      <w:r>
        <w:rPr>
          <w:rFonts w:ascii="Bookman Old Style" w:cs="Bookman Old Style" w:eastAsia="Bookman Old Style" w:hAnsi="Bookman Old Style"/>
          <w:sz w:val="22"/>
          <w:szCs w:val="22"/>
          <w:u w:val="single"/>
        </w:rPr>
        <w:t xml:space="preserve">Artigo 8º, § 3º, inciso VI, da Lei 12.527/2011</w:t>
      </w:r>
      <w:r>
        <w:rPr>
          <w:rFonts w:ascii="Bookman Old Style" w:cs="Bookman Old Style" w:eastAsia="Bookman Old Style" w:hAnsi="Bookman Old Style"/>
          <w:sz w:val="22"/>
          <w:szCs w:val="22"/>
        </w:rPr>
        <w:t xml:space="preserve">, que impõe a atualização permanente do que se disponibiliza. Não se cumpre a lei publicando imagem digitalizada sem camada de texto, nem disponibilizando arquivo cuja obtenção dependa de navegação manual página a página.</w:t>
      </w:r>
    </w:p>
    <w:p>
      <w:pPr>
        <w:spacing w:after="0" w:before="0" w:line="276"/>
      </w:pPr>
      <w:r>
        <w:rPr>
          <w:rFonts w:ascii="Bookman Old Style" w:cs="Bookman Old Style" w:eastAsia="Bookman Old Style" w:hAnsi="Bookman Old Style"/>
          <w:sz w:val="22"/>
          <w:szCs w:val="22"/>
        </w:rPr>
        <w:t xml:space="preserve"/>
      </w:r>
    </w:p>
    <w:p>
      <w:pPr>
        <w:spacing w:after="0" w:before="0" w:line="276"/>
        <w:ind w:firstLine="1133"/>
        <w:jc w:val="both"/>
      </w:pPr>
      <w:r>
        <w:rPr>
          <w:rFonts w:ascii="Bookman Old Style" w:cs="Bookman Old Style" w:eastAsia="Bookman Old Style" w:hAnsi="Bookman Old Style"/>
          <w:sz w:val="22"/>
          <w:szCs w:val="22"/>
        </w:rPr>
        <w:t xml:space="preserve">No plano da despesa, o </w:t>
      </w:r>
      <w:r>
        <w:rPr>
          <w:rFonts w:ascii="Bookman Old Style" w:cs="Bookman Old Style" w:eastAsia="Bookman Old Style" w:hAnsi="Bookman Old Style"/>
          <w:sz w:val="22"/>
          <w:szCs w:val="22"/>
          <w:u w:val="single"/>
        </w:rPr>
        <w:t xml:space="preserve">Artigo 48-A, inciso I, da Lei Complementar 101/2000</w:t>
      </w:r>
      <w:r>
        <w:rPr>
          <w:rStyle w:val="FootnoteReference"/>
        </w:rPr>
        <w:footnoteReference w:id="5"/>
      </w:r>
      <w:r>
        <w:rPr>
          <w:rFonts w:ascii="Bookman Old Style" w:cs="Bookman Old Style" w:eastAsia="Bookman Old Style" w:hAnsi="Bookman Old Style"/>
          <w:sz w:val="22"/>
          <w:szCs w:val="22"/>
        </w:rPr>
        <w:t xml:space="preserve"> determina a disponibilização, a qualquer pessoa física ou jurídica, dos dados referentes ao número do processo, ao bem fornecido ou serviço prestado, à pessoa beneficiária do pagamento e ao procedimento licitatório realizado — e o faz no momento da realização da despesa.</w:t>
      </w:r>
    </w:p>
    <w:p>
      <w:pPr>
        <w:spacing w:after="0" w:before="0" w:line="276"/>
      </w:pPr>
      <w:r>
        <w:rPr>
          <w:rFonts w:ascii="Bookman Old Style" w:cs="Bookman Old Style" w:eastAsia="Bookman Old Style" w:hAnsi="Bookman Old Style"/>
          <w:sz w:val="22"/>
          <w:szCs w:val="22"/>
        </w:rPr>
        <w:t xml:space="preserve"/>
      </w:r>
    </w:p>
    <w:p>
      <w:pPr>
        <w:spacing w:after="0" w:before="0" w:line="276"/>
        <w:ind w:firstLine="1133"/>
        <w:jc w:val="both"/>
      </w:pPr>
      <w:r>
        <w:rPr>
          <w:rFonts w:ascii="Bookman Old Style" w:cs="Bookman Old Style" w:eastAsia="Bookman Old Style" w:hAnsi="Bookman Old Style"/>
          <w:sz w:val="22"/>
          <w:szCs w:val="22"/>
        </w:rPr>
        <w:t xml:space="preserve">Por fim, o </w:t>
      </w:r>
      <w:r>
        <w:rPr>
          <w:rFonts w:ascii="Bookman Old Style" w:cs="Bookman Old Style" w:eastAsia="Bookman Old Style" w:hAnsi="Bookman Old Style"/>
          <w:sz w:val="22"/>
          <w:szCs w:val="22"/>
          <w:u w:val="single"/>
        </w:rPr>
        <w:t xml:space="preserve">Artigo 30 da Lei 8.742/1993</w:t>
      </w:r>
      <w:r>
        <w:rPr>
          <w:rStyle w:val="FootnoteReference"/>
        </w:rPr>
        <w:footnoteReference w:id="6"/>
      </w:r>
      <w:r>
        <w:rPr>
          <w:rFonts w:ascii="Bookman Old Style" w:cs="Bookman Old Style" w:eastAsia="Bookman Old Style" w:hAnsi="Bookman Old Style"/>
          <w:sz w:val="22"/>
          <w:szCs w:val="22"/>
        </w:rPr>
        <w:t xml:space="preserve"> condiciona os repasses da União à efetiva instituição e funcionamento do conselho, do fundo e do plano, o que torna a documentação adiante requerida não apenas de interesse coletivo, mas pressuposto de legalidade da própria transferência de recursos federais.</w:t>
      </w:r>
    </w:p>
    <w:p>
      <w:pPr>
        <w:spacing w:after="0" w:before="0" w:line="276"/>
      </w:pPr>
      <w:r>
        <w:rPr>
          <w:rFonts w:ascii="Bookman Old Style" w:cs="Bookman Old Style" w:eastAsia="Bookman Old Style" w:hAnsi="Bookman Old Style"/>
          <w:sz w:val="22"/>
          <w:szCs w:val="22"/>
        </w:rPr>
        <w:t xml:space="preserve"/>
      </w:r>
    </w:p>
    <w:p>
      <w:pPr>
        <w:spacing w:after="0" w:before="0" w:line="276"/>
        <w:jc w:val="center"/>
      </w:pPr>
      <w:r>
        <w:rPr>
          <w:rFonts w:ascii="Bookman Old Style" w:cs="Bookman Old Style" w:eastAsia="Bookman Old Style" w:hAnsi="Bookman Old Style"/>
          <w:b/>
          <w:bCs/>
          <w:sz w:val="22"/>
          <w:szCs w:val="22"/>
        </w:rPr>
        <w:t xml:space="preserve">III – Do Objeto do Pedido</w:t>
      </w:r>
    </w:p>
    <w:p>
      <w:pPr>
        <w:spacing w:after="0" w:before="0" w:line="276"/>
      </w:pPr>
      <w:r>
        <w:rPr>
          <w:rFonts w:ascii="Bookman Old Style" w:cs="Bookman Old Style" w:eastAsia="Bookman Old Style" w:hAnsi="Bookman Old Style"/>
          <w:sz w:val="22"/>
          <w:szCs w:val="22"/>
        </w:rPr>
        <w:t xml:space="preserve"/>
      </w:r>
    </w:p>
    <w:p>
      <w:pPr>
        <w:spacing w:after="0" w:before="0" w:line="276"/>
        <w:ind w:firstLine="1133"/>
        <w:jc w:val="both"/>
      </w:pPr>
      <w:r>
        <w:rPr>
          <w:rFonts w:ascii="Bookman Old Style" w:cs="Bookman Old Style" w:eastAsia="Bookman Old Style" w:hAnsi="Bookman Old Style"/>
          <w:sz w:val="22"/>
          <w:szCs w:val="22"/>
        </w:rPr>
        <w:t xml:space="preserve">Requer-se, assim, o fornecimento das seguintes informações, preferencialmente em formato aberto e legível por máquina, tais como CSV, JSON ou XML, e subsidiariamente em PDF com camada de texto:</w:t>
      </w:r>
    </w:p>
    <w:p>
      <w:pPr>
        <w:spacing w:after="0" w:before="0" w:line="276"/>
      </w:pPr>
      <w:r>
        <w:rPr>
          <w:rFonts w:ascii="Bookman Old Style" w:cs="Bookman Old Style" w:eastAsia="Bookman Old Style" w:hAnsi="Bookman Old Style"/>
          <w:sz w:val="22"/>
          <w:szCs w:val="22"/>
        </w:rPr>
        <w:t xml:space="preserve"/>
      </w:r>
    </w:p>
    <w:p>
      <w:pPr>
        <w:spacing w:after="0" w:before="0" w:line="276"/>
        <w:jc w:val="both"/>
      </w:pPr>
      <w:r>
        <w:rPr>
          <w:rFonts w:ascii="Bookman Old Style" w:cs="Bookman Old Style" w:eastAsia="Bookman Old Style" w:hAnsi="Bookman Old Style"/>
          <w:b/>
          <w:bCs/>
          <w:sz w:val="22"/>
          <w:szCs w:val="22"/>
        </w:rPr>
        <w:t xml:space="preserve">a) Quanto ao acesso automatizado:</w:t>
      </w:r>
    </w:p>
    <w:p>
      <w:pPr>
        <w:spacing w:after="0" w:before="0" w:line="276"/>
        <w:ind w:firstLine="1133"/>
        <w:jc w:val="both"/>
      </w:pPr>
      <w:r>
        <w:rPr>
          <w:rFonts w:ascii="Bookman Old Style" w:cs="Bookman Old Style" w:eastAsia="Bookman Old Style" w:hAnsi="Bookman Old Style"/>
          <w:sz w:val="22"/>
          <w:szCs w:val="22"/>
        </w:rPr>
        <w:t xml:space="preserve">1. endereço eletrônico estável para obtenção direta dos arquivos das edições do Diário Oficial do Município, por data e por número de edição;</w:t>
      </w:r>
    </w:p>
    <w:p>
      <w:pPr>
        <w:spacing w:after="0" w:before="0" w:line="276"/>
        <w:ind w:firstLine="1133"/>
        <w:jc w:val="both"/>
      </w:pPr>
      <w:r>
        <w:rPr>
          <w:rFonts w:ascii="Bookman Old Style" w:cs="Bookman Old Style" w:eastAsia="Bookman Old Style" w:hAnsi="Bookman Old Style"/>
          <w:sz w:val="22"/>
          <w:szCs w:val="22"/>
        </w:rPr>
        <w:t xml:space="preserve">2. existência e endereço de interface de programação de aplicações, canal de dados abertos ou repositório que permita coleta automatizada;</w:t>
      </w:r>
    </w:p>
    <w:p>
      <w:pPr>
        <w:spacing w:after="0" w:before="0" w:line="276"/>
        <w:ind w:firstLine="1133"/>
        <w:jc w:val="both"/>
      </w:pPr>
      <w:r>
        <w:rPr>
          <w:rFonts w:ascii="Bookman Old Style" w:cs="Bookman Old Style" w:eastAsia="Bookman Old Style" w:hAnsi="Bookman Old Style"/>
          <w:sz w:val="22"/>
          <w:szCs w:val="22"/>
        </w:rPr>
        <w:t xml:space="preserve">3. política de limite de requisições aplicável a esse acesso.</w:t>
      </w:r>
    </w:p>
    <w:p>
      <w:pPr>
        <w:spacing w:after="0" w:before="0" w:line="276"/>
      </w:pPr>
      <w:r>
        <w:rPr>
          <w:rFonts w:ascii="Bookman Old Style" w:cs="Bookman Old Style" w:eastAsia="Bookman Old Style" w:hAnsi="Bookman Old Style"/>
          <w:sz w:val="22"/>
          <w:szCs w:val="22"/>
        </w:rPr>
        <w:t xml:space="preserve"/>
      </w:r>
    </w:p>
    <w:p>
      <w:pPr>
        <w:spacing w:after="0" w:before="0" w:line="276"/>
        <w:jc w:val="both"/>
      </w:pPr>
      <w:r>
        <w:rPr>
          <w:rFonts w:ascii="Bookman Old Style" w:cs="Bookman Old Style" w:eastAsia="Bookman Old Style" w:hAnsi="Bookman Old Style"/>
          <w:b/>
          <w:bCs/>
          <w:sz w:val="22"/>
          <w:szCs w:val="22"/>
        </w:rPr>
        <w:t xml:space="preserve">b) Quanto aos atos do Conselho Municipal de Assistência Social:</w:t>
      </w:r>
    </w:p>
    <w:p>
      <w:pPr>
        <w:spacing w:after="0" w:before="0" w:line="276"/>
        <w:ind w:firstLine="1133"/>
        <w:jc w:val="both"/>
      </w:pPr>
      <w:r>
        <w:rPr>
          <w:rFonts w:ascii="Bookman Old Style" w:cs="Bookman Old Style" w:eastAsia="Bookman Old Style" w:hAnsi="Bookman Old Style"/>
          <w:sz w:val="22"/>
          <w:szCs w:val="22"/>
        </w:rPr>
        <w:t xml:space="preserve">4. relação integral e numerada de todas as resoluções expedidas entre 1º de janeiro de 2023 e a data do protocolo, com número, data, ementa e indicação da edição do Diário Oficial em que publicada;</w:t>
      </w:r>
    </w:p>
    <w:p>
      <w:pPr>
        <w:spacing w:after="0" w:before="0" w:line="276"/>
        <w:ind w:firstLine="1133"/>
        <w:jc w:val="both"/>
      </w:pPr>
      <w:r>
        <w:rPr>
          <w:rFonts w:ascii="Bookman Old Style" w:cs="Bookman Old Style" w:eastAsia="Bookman Old Style" w:hAnsi="Bookman Old Style"/>
          <w:sz w:val="22"/>
          <w:szCs w:val="22"/>
        </w:rPr>
        <w:t xml:space="preserve">5. inteiro teor das resoluções que não tenham sido publicadas no Diário Oficial, com esclarecimento sobre o motivo da não publicação;</w:t>
      </w:r>
    </w:p>
    <w:p>
      <w:pPr>
        <w:spacing w:after="0" w:before="0" w:line="276"/>
        <w:ind w:firstLine="1133"/>
        <w:jc w:val="both"/>
      </w:pPr>
      <w:r>
        <w:rPr>
          <w:rFonts w:ascii="Bookman Old Style" w:cs="Bookman Old Style" w:eastAsia="Bookman Old Style" w:hAnsi="Bookman Old Style"/>
          <w:sz w:val="22"/>
          <w:szCs w:val="22"/>
        </w:rPr>
        <w:t xml:space="preserve">6. atas de todas as reuniões plenárias, ordinárias e extraordinárias, do mesmo período, com registro de quórum, deliberações e voto nominal de cada conselheiro;</w:t>
      </w:r>
    </w:p>
    <w:p>
      <w:pPr>
        <w:spacing w:after="0" w:before="0" w:line="276"/>
        <w:ind w:firstLine="1133"/>
        <w:jc w:val="both"/>
      </w:pPr>
      <w:r>
        <w:rPr>
          <w:rFonts w:ascii="Bookman Old Style" w:cs="Bookman Old Style" w:eastAsia="Bookman Old Style" w:hAnsi="Bookman Old Style"/>
          <w:sz w:val="22"/>
          <w:szCs w:val="22"/>
        </w:rPr>
        <w:t xml:space="preserve">7. relação nominal dos conselheiros titulares e suplentes, por segmento representado e por mandato;</w:t>
      </w:r>
    </w:p>
    <w:p>
      <w:pPr>
        <w:spacing w:after="0" w:before="0" w:line="276"/>
        <w:ind w:firstLine="1133"/>
        <w:jc w:val="both"/>
      </w:pPr>
      <w:r>
        <w:rPr>
          <w:rFonts w:ascii="Bookman Old Style" w:cs="Bookman Old Style" w:eastAsia="Bookman Old Style" w:hAnsi="Bookman Old Style"/>
          <w:sz w:val="22"/>
          <w:szCs w:val="22"/>
        </w:rPr>
        <w:t xml:space="preserve">8. Regimento Interno vigente e suas alterações.</w:t>
      </w:r>
    </w:p>
    <w:p>
      <w:pPr>
        <w:spacing w:after="0" w:before="0" w:line="276"/>
      </w:pPr>
      <w:r>
        <w:rPr>
          <w:rFonts w:ascii="Bookman Old Style" w:cs="Bookman Old Style" w:eastAsia="Bookman Old Style" w:hAnsi="Bookman Old Style"/>
          <w:sz w:val="22"/>
          <w:szCs w:val="22"/>
        </w:rPr>
        <w:t xml:space="preserve"/>
      </w:r>
    </w:p>
    <w:p>
      <w:pPr>
        <w:spacing w:after="0" w:before="0" w:line="276"/>
        <w:jc w:val="both"/>
      </w:pPr>
      <w:r>
        <w:rPr>
          <w:rFonts w:ascii="Bookman Old Style" w:cs="Bookman Old Style" w:eastAsia="Bookman Old Style" w:hAnsi="Bookman Old Style"/>
          <w:b/>
          <w:bCs/>
          <w:sz w:val="22"/>
          <w:szCs w:val="22"/>
        </w:rPr>
        <w:t xml:space="preserve">c) Quanto aos recursos e à sua aplicação:</w:t>
      </w:r>
    </w:p>
    <w:p>
      <w:pPr>
        <w:spacing w:after="0" w:before="0" w:line="276"/>
        <w:ind w:firstLine="1133"/>
        <w:jc w:val="both"/>
      </w:pPr>
      <w:r>
        <w:rPr>
          <w:rFonts w:ascii="Bookman Old Style" w:cs="Bookman Old Style" w:eastAsia="Bookman Old Style" w:hAnsi="Bookman Old Style"/>
          <w:sz w:val="22"/>
          <w:szCs w:val="22"/>
        </w:rPr>
        <w:t xml:space="preserve">9. demonstrativo dos valores repassados pela União ao Fundo Municipal de Assistência Social, por exercício, discriminados por bloco de financiamento, piso e programa, incluídos os recursos do Índice de Gestão Descentralizada do Programa Bolsa Família e do Sistema Único de Assistência Social;</w:t>
      </w:r>
    </w:p>
    <w:p>
      <w:pPr>
        <w:spacing w:after="0" w:before="0" w:line="276"/>
        <w:ind w:firstLine="1133"/>
        <w:jc w:val="both"/>
      </w:pPr>
      <w:r>
        <w:rPr>
          <w:rFonts w:ascii="Bookman Old Style" w:cs="Bookman Old Style" w:eastAsia="Bookman Old Style" w:hAnsi="Bookman Old Style"/>
          <w:sz w:val="22"/>
          <w:szCs w:val="22"/>
        </w:rPr>
        <w:t xml:space="preserve">10. demonstrativo dos valores repassados pelo Estado de Goiás ao mesmo fundo, por exercício e por instrumento;</w:t>
      </w:r>
    </w:p>
    <w:p>
      <w:pPr>
        <w:spacing w:after="0" w:before="0" w:line="276"/>
        <w:ind w:firstLine="1133"/>
        <w:jc w:val="both"/>
      </w:pPr>
      <w:r>
        <w:rPr>
          <w:rFonts w:ascii="Bookman Old Style" w:cs="Bookman Old Style" w:eastAsia="Bookman Old Style" w:hAnsi="Bookman Old Style"/>
          <w:sz w:val="22"/>
          <w:szCs w:val="22"/>
        </w:rPr>
        <w:t xml:space="preserve">11. dotação orçamentária consignada pelo Município à função 08, por exercício, com o Quadro de Detalhamento de Despesas correspondente;</w:t>
      </w:r>
    </w:p>
    <w:p>
      <w:pPr>
        <w:spacing w:after="0" w:before="0" w:line="276"/>
        <w:ind w:firstLine="1133"/>
        <w:jc w:val="both"/>
      </w:pPr>
      <w:r>
        <w:rPr>
          <w:rFonts w:ascii="Bookman Old Style" w:cs="Bookman Old Style" w:eastAsia="Bookman Old Style" w:hAnsi="Bookman Old Style"/>
          <w:sz w:val="22"/>
          <w:szCs w:val="22"/>
        </w:rPr>
        <w:t xml:space="preserve">12. relação dos créditos adicionais, suplementações, anulações e remanejamentos que tenham afetado a função 08 no período;</w:t>
      </w:r>
    </w:p>
    <w:p>
      <w:pPr>
        <w:spacing w:after="0" w:before="0" w:line="276"/>
        <w:ind w:firstLine="1133"/>
        <w:jc w:val="both"/>
      </w:pPr>
      <w:r>
        <w:rPr>
          <w:rFonts w:ascii="Bookman Old Style" w:cs="Bookman Old Style" w:eastAsia="Bookman Old Style" w:hAnsi="Bookman Old Style"/>
          <w:sz w:val="22"/>
          <w:szCs w:val="22"/>
        </w:rPr>
        <w:t xml:space="preserve">13. indicação do percentual dos recursos do Índice de Gestão Descentralizada efetivamente aplicado no financiamento do controle social, por exercício, com os respectivos comprovantes de gasto e a deliberação do conselho que os aprovou;</w:t>
      </w:r>
    </w:p>
    <w:p>
      <w:pPr>
        <w:spacing w:after="0" w:before="0" w:line="276"/>
        <w:ind w:firstLine="1133"/>
        <w:jc w:val="both"/>
      </w:pPr>
      <w:r>
        <w:rPr>
          <w:rFonts w:ascii="Bookman Old Style" w:cs="Bookman Old Style" w:eastAsia="Bookman Old Style" w:hAnsi="Bookman Old Style"/>
          <w:sz w:val="22"/>
          <w:szCs w:val="22"/>
        </w:rPr>
        <w:t xml:space="preserve">14. tabela de correspondência entre os códigos de fonte de recursos utilizados na execução orçamentária da função 08 e a respectiva origem federativa.</w:t>
      </w:r>
    </w:p>
    <w:p>
      <w:pPr>
        <w:spacing w:after="0" w:before="0" w:line="276"/>
      </w:pPr>
      <w:r>
        <w:rPr>
          <w:rFonts w:ascii="Bookman Old Style" w:cs="Bookman Old Style" w:eastAsia="Bookman Old Style" w:hAnsi="Bookman Old Style"/>
          <w:sz w:val="22"/>
          <w:szCs w:val="22"/>
        </w:rPr>
        <w:t xml:space="preserve"/>
      </w:r>
    </w:p>
    <w:p>
      <w:pPr>
        <w:spacing w:after="0" w:before="0" w:line="276"/>
        <w:jc w:val="both"/>
      </w:pPr>
      <w:r>
        <w:rPr>
          <w:rFonts w:ascii="Bookman Old Style" w:cs="Bookman Old Style" w:eastAsia="Bookman Old Style" w:hAnsi="Bookman Old Style"/>
          <w:b/>
          <w:bCs/>
          <w:sz w:val="22"/>
          <w:szCs w:val="22"/>
        </w:rPr>
        <w:t xml:space="preserve">d) Quanto aos vínculos e à execução:</w:t>
      </w:r>
    </w:p>
    <w:p>
      <w:pPr>
        <w:spacing w:after="0" w:before="0" w:line="276"/>
        <w:ind w:firstLine="1133"/>
        <w:jc w:val="both"/>
      </w:pPr>
      <w:r>
        <w:rPr>
          <w:rFonts w:ascii="Bookman Old Style" w:cs="Bookman Old Style" w:eastAsia="Bookman Old Style" w:hAnsi="Bookman Old Style"/>
          <w:sz w:val="22"/>
          <w:szCs w:val="22"/>
        </w:rPr>
        <w:t xml:space="preserve">15. relação de todos os contratos, termos de fomento, termos de colaboração, acordos de cooperação e convênios celebrados no âmbito da assistência social no período, com número, data, objeto, vigência, valor, beneficiário e respectiva inscrição no cadastro nacional de pessoa jurídica;</w:t>
      </w:r>
    </w:p>
    <w:p>
      <w:pPr>
        <w:spacing w:after="0" w:before="0" w:line="276"/>
        <w:ind w:firstLine="1133"/>
        <w:jc w:val="both"/>
      </w:pPr>
      <w:r>
        <w:rPr>
          <w:rFonts w:ascii="Bookman Old Style" w:cs="Bookman Old Style" w:eastAsia="Bookman Old Style" w:hAnsi="Bookman Old Style"/>
          <w:sz w:val="22"/>
          <w:szCs w:val="22"/>
        </w:rPr>
        <w:t xml:space="preserve">16. indicação, para cada instrumento, do procedimento de seleção adotado, seja chamamento público, dispensa ou inexigibilidade, com a justificativa nos dois últimos casos, na forma dos </w:t>
      </w:r>
      <w:r>
        <w:rPr>
          <w:rFonts w:ascii="Bookman Old Style" w:cs="Bookman Old Style" w:eastAsia="Bookman Old Style" w:hAnsi="Bookman Old Style"/>
          <w:sz w:val="22"/>
          <w:szCs w:val="22"/>
          <w:u w:val="single"/>
        </w:rPr>
        <w:t xml:space="preserve">Artigos 24, 30 e 31 da Lei 13.019/2014</w:t>
      </w:r>
      <w:r>
        <w:rPr>
          <w:rStyle w:val="FootnoteReference"/>
        </w:rPr>
        <w:footnoteReference w:id="8"/>
      </w:r>
      <w:r>
        <w:rPr>
          <w:rFonts w:ascii="Bookman Old Style" w:cs="Bookman Old Style" w:eastAsia="Bookman Old Style" w:hAnsi="Bookman Old Style"/>
          <w:sz w:val="22"/>
          <w:szCs w:val="22"/>
        </w:rPr>
        <w:t xml:space="preserve">;</w:t>
      </w:r>
    </w:p>
    <w:p>
      <w:pPr>
        <w:spacing w:after="0" w:before="0" w:line="276"/>
        <w:ind w:firstLine="1133"/>
        <w:jc w:val="both"/>
      </w:pPr>
      <w:r>
        <w:rPr>
          <w:rFonts w:ascii="Bookman Old Style" w:cs="Bookman Old Style" w:eastAsia="Bookman Old Style" w:hAnsi="Bookman Old Style"/>
          <w:sz w:val="22"/>
          <w:szCs w:val="22"/>
        </w:rPr>
        <w:t xml:space="preserve">17. relação dos termos aditivos celebrados, com valor original, valor acrescido e percentual de acréscimo;</w:t>
      </w:r>
    </w:p>
    <w:p>
      <w:pPr>
        <w:spacing w:after="0" w:before="0" w:line="276"/>
        <w:ind w:firstLine="1133"/>
        <w:jc w:val="both"/>
      </w:pPr>
      <w:r>
        <w:rPr>
          <w:rFonts w:ascii="Bookman Old Style" w:cs="Bookman Old Style" w:eastAsia="Bookman Old Style" w:hAnsi="Bookman Old Style"/>
          <w:sz w:val="22"/>
          <w:szCs w:val="22"/>
        </w:rPr>
        <w:t xml:space="preserve">18. notas de empenho, liquidação e ordens de pagamento relativas a cada instrumento, com número de processo;</w:t>
      </w:r>
    </w:p>
    <w:p>
      <w:pPr>
        <w:spacing w:after="0" w:before="0" w:line="276"/>
        <w:ind w:firstLine="1133"/>
        <w:jc w:val="both"/>
      </w:pPr>
      <w:r>
        <w:rPr>
          <w:rFonts w:ascii="Bookman Old Style" w:cs="Bookman Old Style" w:eastAsia="Bookman Old Style" w:hAnsi="Bookman Old Style"/>
          <w:sz w:val="22"/>
          <w:szCs w:val="22"/>
        </w:rPr>
        <w:t xml:space="preserve">19. prestações de contas apresentadas pelas entidades parceiras e os respectivos pareceres de aprovação ou rejeição.</w:t>
      </w:r>
    </w:p>
    <w:p>
      <w:pPr>
        <w:spacing w:after="0" w:before="0" w:line="276"/>
      </w:pPr>
      <w:r>
        <w:rPr>
          <w:rFonts w:ascii="Bookman Old Style" w:cs="Bookman Old Style" w:eastAsia="Bookman Old Style" w:hAnsi="Bookman Old Style"/>
          <w:sz w:val="22"/>
          <w:szCs w:val="22"/>
        </w:rPr>
        <w:t xml:space="preserve"/>
      </w:r>
    </w:p>
    <w:p>
      <w:pPr>
        <w:spacing w:after="0" w:before="0" w:line="276"/>
        <w:jc w:val="center"/>
      </w:pPr>
      <w:r>
        <w:rPr>
          <w:rFonts w:ascii="Bookman Old Style" w:cs="Bookman Old Style" w:eastAsia="Bookman Old Style" w:hAnsi="Bookman Old Style"/>
          <w:b/>
          <w:bCs/>
          <w:sz w:val="22"/>
          <w:szCs w:val="22"/>
        </w:rPr>
        <w:t xml:space="preserve">IV – Do Prazo</w:t>
      </w:r>
    </w:p>
    <w:p>
      <w:pPr>
        <w:spacing w:after="0" w:before="0" w:line="276"/>
      </w:pPr>
      <w:r>
        <w:rPr>
          <w:rFonts w:ascii="Bookman Old Style" w:cs="Bookman Old Style" w:eastAsia="Bookman Old Style" w:hAnsi="Bookman Old Style"/>
          <w:sz w:val="22"/>
          <w:szCs w:val="22"/>
        </w:rPr>
        <w:t xml:space="preserve"/>
      </w:r>
    </w:p>
    <w:p>
      <w:pPr>
        <w:spacing w:after="0" w:before="0" w:line="276"/>
        <w:ind w:firstLine="1133"/>
        <w:jc w:val="both"/>
      </w:pPr>
      <w:r>
        <w:rPr>
          <w:rFonts w:ascii="Bookman Old Style" w:cs="Bookman Old Style" w:eastAsia="Bookman Old Style" w:hAnsi="Bookman Old Style"/>
          <w:sz w:val="22"/>
          <w:szCs w:val="22"/>
        </w:rPr>
        <w:t xml:space="preserve">Requer-se o atendimento no prazo do </w:t>
      </w:r>
      <w:r>
        <w:rPr>
          <w:rFonts w:ascii="Bookman Old Style" w:cs="Bookman Old Style" w:eastAsia="Bookman Old Style" w:hAnsi="Bookman Old Style"/>
          <w:sz w:val="22"/>
          <w:szCs w:val="22"/>
          <w:u w:val="single"/>
        </w:rPr>
        <w:t xml:space="preserve">Artigo 11, § 1º, da Lei 12.527/2011</w:t>
      </w:r>
      <w:r>
        <w:rPr>
          <w:rStyle w:val="FootnoteReference"/>
        </w:rPr>
        <w:footnoteReference w:id="7"/>
      </w:r>
      <w:r>
        <w:rPr>
          <w:rFonts w:ascii="Bookman Old Style" w:cs="Bookman Old Style" w:eastAsia="Bookman Old Style" w:hAnsi="Bookman Old Style"/>
          <w:sz w:val="22"/>
          <w:szCs w:val="22"/>
        </w:rPr>
        <w:t xml:space="preserve">, de vinte dias, prorrogável por dez mediante justificativa expressa, na forma do </w:t>
      </w:r>
      <w:r>
        <w:rPr>
          <w:rFonts w:ascii="Bookman Old Style" w:cs="Bookman Old Style" w:eastAsia="Bookman Old Style" w:hAnsi="Bookman Old Style"/>
          <w:sz w:val="22"/>
          <w:szCs w:val="22"/>
          <w:u w:val="single"/>
        </w:rPr>
        <w:t xml:space="preserve">Artigo 11, § 2º, da Lei 12.527/2011</w:t>
      </w:r>
      <w:r>
        <w:rPr>
          <w:rFonts w:ascii="Bookman Old Style" w:cs="Bookman Old Style" w:eastAsia="Bookman Old Style" w:hAnsi="Bookman Old Style"/>
          <w:sz w:val="22"/>
          <w:szCs w:val="22"/>
        </w:rPr>
        <w:t xml:space="preserve">.</w:t>
      </w:r>
    </w:p>
    <w:p>
      <w:pPr>
        <w:spacing w:after="0" w:before="0" w:line="276"/>
      </w:pPr>
      <w:r>
        <w:rPr>
          <w:rFonts w:ascii="Bookman Old Style" w:cs="Bookman Old Style" w:eastAsia="Bookman Old Style" w:hAnsi="Bookman Old Style"/>
          <w:sz w:val="22"/>
          <w:szCs w:val="22"/>
        </w:rPr>
        <w:t xml:space="preserve"/>
      </w:r>
    </w:p>
    <w:p>
      <w:pPr>
        <w:spacing w:after="0" w:before="0" w:line="276"/>
        <w:ind w:firstLine="1133"/>
        <w:jc w:val="both"/>
      </w:pPr>
      <w:r>
        <w:rPr>
          <w:rFonts w:ascii="Bookman Old Style" w:cs="Bookman Old Style" w:eastAsia="Bookman Old Style" w:hAnsi="Bookman Old Style"/>
          <w:sz w:val="22"/>
          <w:szCs w:val="22"/>
        </w:rPr>
        <w:t xml:space="preserve">Havendo negativa, total ou parcial, requer-se desde já a indicação expressa do fundamento legal da recusa e da autoridade competente para apreciar eventual recurso, para os fins do </w:t>
      </w:r>
      <w:r>
        <w:rPr>
          <w:rFonts w:ascii="Bookman Old Style" w:cs="Bookman Old Style" w:eastAsia="Bookman Old Style" w:hAnsi="Bookman Old Style"/>
          <w:sz w:val="22"/>
          <w:szCs w:val="22"/>
          <w:u w:val="single"/>
        </w:rPr>
        <w:t xml:space="preserve">Artigo 15 da Lei 12.527/2011</w:t>
      </w:r>
      <w:r>
        <w:rPr>
          <w:rFonts w:ascii="Bookman Old Style" w:cs="Bookman Old Style" w:eastAsia="Bookman Old Style" w:hAnsi="Bookman Old Style"/>
          <w:sz w:val="22"/>
          <w:szCs w:val="22"/>
        </w:rPr>
        <w:t xml:space="preserve">.</w:t>
      </w:r>
    </w:p>
    <w:p>
      <w:pPr>
        <w:spacing w:after="0" w:before="0" w:line="276"/>
      </w:pPr>
      <w:r>
        <w:rPr>
          <w:rFonts w:ascii="Bookman Old Style" w:cs="Bookman Old Style" w:eastAsia="Bookman Old Style" w:hAnsi="Bookman Old Style"/>
          <w:sz w:val="22"/>
          <w:szCs w:val="22"/>
        </w:rPr>
        <w:t xml:space="preserve"/>
      </w:r>
    </w:p>
    <w:p>
      <w:pPr>
        <w:spacing w:after="0" w:before="0" w:line="276"/>
        <w:ind w:firstLine="1133"/>
        <w:jc w:val="both"/>
      </w:pPr>
      <w:r>
        <w:rPr>
          <w:rFonts w:ascii="Bookman Old Style" w:cs="Bookman Old Style" w:eastAsia="Bookman Old Style" w:hAnsi="Bookman Old Style"/>
          <w:sz w:val="22"/>
          <w:szCs w:val="22"/>
        </w:rPr>
        <w:t xml:space="preserve">Nestes termos, pede deferimento.</w:t>
      </w:r>
    </w:p>
    <w:p>
      <w:pPr>
        <w:spacing w:after="0" w:before="0" w:line="276"/>
      </w:pPr>
      <w:r>
        <w:rPr>
          <w:rFonts w:ascii="Bookman Old Style" w:cs="Bookman Old Style" w:eastAsia="Bookman Old Style" w:hAnsi="Bookman Old Style"/>
          <w:sz w:val="22"/>
          <w:szCs w:val="22"/>
        </w:rPr>
        <w:t xml:space="preserve"/>
      </w:r>
    </w:p>
    <w:p>
      <w:pPr>
        <w:spacing w:after="0" w:before="0" w:line="276"/>
      </w:pPr>
      <w:r>
        <w:rPr>
          <w:rFonts w:ascii="Bookman Old Style" w:cs="Bookman Old Style" w:eastAsia="Bookman Old Style" w:hAnsi="Bookman Old Style"/>
          <w:sz w:val="22"/>
          <w:szCs w:val="22"/>
        </w:rPr>
        <w:t xml:space="preserve"/>
      </w:r>
    </w:p>
    <w:p>
      <w:pPr>
        <w:spacing w:after="0" w:before="0" w:line="276"/>
        <w:jc w:val="both"/>
      </w:pPr>
      <w:r>
        <w:rPr>
          <w:rFonts w:ascii="Bookman Old Style" w:cs="Bookman Old Style" w:eastAsia="Bookman Old Style" w:hAnsi="Bookman Old Style"/>
          <w:sz w:val="22"/>
          <w:szCs w:val="22"/>
        </w:rPr>
        <w:t xml:space="preserve">Goiânia, ______ de _________________ de 20____.</w:t>
      </w:r>
    </w:p>
    <w:p>
      <w:pPr>
        <w:spacing w:after="0" w:before="0" w:line="276"/>
      </w:pPr>
      <w:r>
        <w:rPr>
          <w:rFonts w:ascii="Bookman Old Style" w:cs="Bookman Old Style" w:eastAsia="Bookman Old Style" w:hAnsi="Bookman Old Style"/>
          <w:sz w:val="22"/>
          <w:szCs w:val="22"/>
        </w:rPr>
        <w:t xml:space="preserve"/>
      </w:r>
    </w:p>
    <w:p>
      <w:pPr>
        <w:spacing w:after="0" w:before="0" w:line="276"/>
      </w:pPr>
      <w:r>
        <w:rPr>
          <w:rFonts w:ascii="Bookman Old Style" w:cs="Bookman Old Style" w:eastAsia="Bookman Old Style" w:hAnsi="Bookman Old Style"/>
          <w:sz w:val="22"/>
          <w:szCs w:val="22"/>
        </w:rPr>
        <w:t xml:space="preserve"/>
      </w:r>
    </w:p>
    <w:p>
      <w:pPr>
        <w:spacing w:after="0" w:before="0" w:line="276"/>
        <w:jc w:val="center"/>
      </w:pPr>
      <w:r>
        <w:rPr>
          <w:rFonts w:ascii="Bookman Old Style" w:cs="Bookman Old Style" w:eastAsia="Bookman Old Style" w:hAnsi="Bookman Old Style"/>
          <w:sz w:val="22"/>
          <w:szCs w:val="22"/>
        </w:rPr>
        <w:t xml:space="preserve">_______________________________________</w:t>
      </w:r>
    </w:p>
    <w:p>
      <w:pPr>
        <w:spacing w:after="0" w:before="0" w:line="276"/>
        <w:jc w:val="center"/>
      </w:pPr>
      <w:r>
        <w:rPr>
          <w:rFonts w:ascii="Bookman Old Style" w:cs="Bookman Old Style" w:eastAsia="Bookman Old Style" w:hAnsi="Bookman Old Style"/>
          <w:sz w:val="22"/>
          <w:szCs w:val="22"/>
        </w:rPr>
        <w:t xml:space="preserve">Associação de Moradores e Comerciantes do Jardim América</w:t>
      </w:r>
    </w:p>
    <w:p>
      <w:pPr>
        <w:spacing w:after="0" w:before="0" w:line="276"/>
        <w:jc w:val="center"/>
      </w:pPr>
      <w:r>
        <w:rPr>
          <w:rFonts w:ascii="Bookman Old Style" w:cs="Bookman Old Style" w:eastAsia="Bookman Old Style" w:hAnsi="Bookman Old Style"/>
          <w:sz w:val="22"/>
          <w:szCs w:val="22"/>
        </w:rPr>
        <w:t xml:space="preserve">AMC Jardim América</w:t>
      </w:r>
    </w:p>
    <w:sectPr>
      <w:pgSz w:w="11906" w:h="16838" w:orient="portrait"/>
      <w:pgMar w:top="1417" w:right="1133" w:bottom="1417"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pPr>
      <w:r>
        <w:rPr>
          <w:rStyle w:val="FootnoteReference"/>
        </w:rPr>
        <w:footnoteRef/>
      </w:r>
      <w:r>
        <w:rPr>
          <w:rFonts w:ascii="Bookman Old Style" w:cs="Bookman Old Style" w:eastAsia="Bookman Old Style" w:hAnsi="Bookman Old Style"/>
          <w:b/>
          <w:bCs/>
          <w:sz w:val="14"/>
          <w:szCs w:val="14"/>
        </w:rPr>
        <w:t xml:space="preserve">Constituição Federal – </w:t>
      </w:r>
      <w:r>
        <w:rPr>
          <w:rFonts w:ascii="Bookman Old Style" w:cs="Bookman Old Style" w:eastAsia="Bookman Old Style" w:hAnsi="Bookman Old Style"/>
          <w:sz w:val="14"/>
          <w:szCs w:val="14"/>
        </w:rPr>
        <w:t xml:space="preserve">Artigo 5º </w:t>
      </w:r>
      <w:r>
        <w:rPr>
          <w:rFonts w:ascii="Bookman Old Style" w:cs="Bookman Old Style" w:eastAsia="Bookman Old Style" w:hAnsi="Bookman Old Style"/>
          <w:b/>
          <w:bCs/>
          <w:color w:val="00FF00"/>
          <w:sz w:val="14"/>
          <w:szCs w:val="14"/>
        </w:rPr>
        <w:t xml:space="preserve">XXXIII</w:t>
      </w:r>
      <w:r>
        <w:rPr>
          <w:rFonts w:ascii="Bookman Old Style" w:cs="Bookman Old Style" w:eastAsia="Bookman Old Style" w:hAnsi="Bookman Old Style"/>
          <w:sz w:val="14"/>
          <w:szCs w:val="14"/>
        </w:rPr>
        <w:t xml:space="preserve"> – todos têm direito a receber dos órgãos públicos informações de seu interesse particular, ou de interesse coletivo ou geral, que serão prestadas no prazo da lei, sob pena de responsabilidade, ressalvadas aquelas cujo sigilo seja imprescindível à segurança da sociedade e do Estado;</w:t>
      </w:r>
    </w:p>
  </w:footnote>
  <w:footnote w:id="2">
    <w:p>
      <w:pPr>
        <w:spacing w:line="240"/>
      </w:pPr>
      <w:r>
        <w:rPr>
          <w:rStyle w:val="FootnoteReference"/>
        </w:rPr>
        <w:footnoteRef/>
      </w:r>
      <w:r>
        <w:rPr>
          <w:rFonts w:ascii="Bookman Old Style" w:cs="Bookman Old Style" w:eastAsia="Bookman Old Style" w:hAnsi="Bookman Old Style"/>
          <w:b/>
          <w:bCs/>
          <w:sz w:val="14"/>
          <w:szCs w:val="14"/>
        </w:rPr>
        <w:t xml:space="preserve">Constituição Federal – </w:t>
      </w:r>
      <w:r>
        <w:rPr>
          <w:rFonts w:ascii="Bookman Old Style" w:cs="Bookman Old Style" w:eastAsia="Bookman Old Style" w:hAnsi="Bookman Old Style"/>
          <w:sz w:val="14"/>
          <w:szCs w:val="14"/>
        </w:rPr>
        <w:t xml:space="preserve">Artigo 37 – A administração pública direta e indireta de qualquer dos Poderes da União, dos Estados, do Distrito Federal e dos Municípios obedecerá aos princípios de legalidade, impessoalidade, moralidade, publicidade e eficiência (...)</w:t>
      </w:r>
    </w:p>
  </w:footnote>
  <w:footnote w:id="3">
    <w:p>
      <w:pPr>
        <w:spacing w:line="240"/>
      </w:pPr>
      <w:r>
        <w:rPr>
          <w:rStyle w:val="FootnoteReference"/>
        </w:rPr>
        <w:footnoteRef/>
      </w:r>
      <w:r>
        <w:rPr>
          <w:rFonts w:ascii="Bookman Old Style" w:cs="Bookman Old Style" w:eastAsia="Bookman Old Style" w:hAnsi="Bookman Old Style"/>
          <w:b/>
          <w:bCs/>
          <w:sz w:val="14"/>
          <w:szCs w:val="14"/>
        </w:rPr>
        <w:t xml:space="preserve">Lei 12.527/2011 – </w:t>
      </w:r>
      <w:r>
        <w:rPr>
          <w:rFonts w:ascii="Bookman Old Style" w:cs="Bookman Old Style" w:eastAsia="Bookman Old Style" w:hAnsi="Bookman Old Style"/>
          <w:sz w:val="14"/>
          <w:szCs w:val="14"/>
        </w:rPr>
        <w:t xml:space="preserve">Artigo 8º É dever dos órgãos e entidades públicas promover, independentemente de requerimentos, a divulgação em local de fácil acesso, no âmbito de suas competências, de informações de interesse coletivo ou geral por eles produzidas ou custodiadas.</w:t>
      </w:r>
      <w:r>
        <w:br/>
        <w:t xml:space="preserve"/>
      </w:r>
      <w:r>
        <w:rPr>
          <w:rFonts w:ascii="Bookman Old Style" w:cs="Bookman Old Style" w:eastAsia="Bookman Old Style" w:hAnsi="Bookman Old Style"/>
          <w:b/>
          <w:bCs/>
          <w:color w:val="EE0000"/>
          <w:sz w:val="14"/>
          <w:szCs w:val="14"/>
        </w:rPr>
        <w:t xml:space="preserve">§ 3º</w:t>
      </w:r>
      <w:r>
        <w:rPr>
          <w:rFonts w:ascii="Bookman Old Style" w:cs="Bookman Old Style" w:eastAsia="Bookman Old Style" w:hAnsi="Bookman Old Style"/>
          <w:sz w:val="14"/>
          <w:szCs w:val="14"/>
        </w:rPr>
        <w:t xml:space="preserve"> Os sítios de que trata o § 2º deverão, na forma de regulamento, atender, entre outros, aos seguintes requisitos:</w:t>
      </w:r>
      <w:r>
        <w:br/>
        <w:t xml:space="preserve"/>
      </w:r>
      <w:r>
        <w:rPr>
          <w:rFonts w:ascii="Bookman Old Style" w:cs="Bookman Old Style" w:eastAsia="Bookman Old Style" w:hAnsi="Bookman Old Style"/>
          <w:b/>
          <w:bCs/>
          <w:color w:val="00FF00"/>
          <w:sz w:val="14"/>
          <w:szCs w:val="14"/>
        </w:rPr>
        <w:t xml:space="preserve">II</w:t>
      </w:r>
      <w:r>
        <w:rPr>
          <w:rFonts w:ascii="Bookman Old Style" w:cs="Bookman Old Style" w:eastAsia="Bookman Old Style" w:hAnsi="Bookman Old Style"/>
          <w:sz w:val="14"/>
          <w:szCs w:val="14"/>
        </w:rPr>
        <w:t xml:space="preserve"> – possibilitar a gravação de relatórios em diversos formatos eletrônicos, inclusive abertos e não proprietários, tais como planilhas e texto, de modo a facilitar a análise das informações;</w:t>
      </w:r>
      <w:r>
        <w:br/>
        <w:t xml:space="preserve"/>
      </w:r>
      <w:r>
        <w:rPr>
          <w:rFonts w:ascii="Bookman Old Style" w:cs="Bookman Old Style" w:eastAsia="Bookman Old Style" w:hAnsi="Bookman Old Style"/>
          <w:b/>
          <w:bCs/>
          <w:color w:val="00FF00"/>
          <w:sz w:val="14"/>
          <w:szCs w:val="14"/>
        </w:rPr>
        <w:t xml:space="preserve">III</w:t>
      </w:r>
      <w:r>
        <w:rPr>
          <w:rFonts w:ascii="Bookman Old Style" w:cs="Bookman Old Style" w:eastAsia="Bookman Old Style" w:hAnsi="Bookman Old Style"/>
          <w:sz w:val="14"/>
          <w:szCs w:val="14"/>
        </w:rPr>
        <w:t xml:space="preserve"> – possibilitar o acesso automatizado por sistemas externos em formatos abertos, estruturados e legíveis por máquina;</w:t>
      </w:r>
      <w:r>
        <w:br/>
        <w:t xml:space="preserve"/>
      </w:r>
      <w:r>
        <w:rPr>
          <w:rFonts w:ascii="Bookman Old Style" w:cs="Bookman Old Style" w:eastAsia="Bookman Old Style" w:hAnsi="Bookman Old Style"/>
          <w:b/>
          <w:bCs/>
          <w:color w:val="00FF00"/>
          <w:sz w:val="14"/>
          <w:szCs w:val="14"/>
        </w:rPr>
        <w:t xml:space="preserve">VI</w:t>
      </w:r>
      <w:r>
        <w:rPr>
          <w:rFonts w:ascii="Bookman Old Style" w:cs="Bookman Old Style" w:eastAsia="Bookman Old Style" w:hAnsi="Bookman Old Style"/>
          <w:sz w:val="14"/>
          <w:szCs w:val="14"/>
        </w:rPr>
        <w:t xml:space="preserve"> – manter atualizadas as informações disponíveis para acesso;</w:t>
      </w:r>
    </w:p>
  </w:footnote>
  <w:footnote w:id="4">
    <w:p>
      <w:pPr>
        <w:spacing w:line="240"/>
      </w:pPr>
      <w:r>
        <w:rPr>
          <w:rStyle w:val="FootnoteReference"/>
        </w:rPr>
        <w:footnoteRef/>
      </w:r>
      <w:r>
        <w:rPr>
          <w:rFonts w:ascii="Bookman Old Style" w:cs="Bookman Old Style" w:eastAsia="Bookman Old Style" w:hAnsi="Bookman Old Style"/>
          <w:b/>
          <w:bCs/>
          <w:sz w:val="14"/>
          <w:szCs w:val="14"/>
        </w:rPr>
        <w:t xml:space="preserve">Lei 12.527/2011 – </w:t>
      </w:r>
      <w:r>
        <w:rPr>
          <w:rFonts w:ascii="Bookman Old Style" w:cs="Bookman Old Style" w:eastAsia="Bookman Old Style" w:hAnsi="Bookman Old Style"/>
          <w:sz w:val="14"/>
          <w:szCs w:val="14"/>
        </w:rPr>
        <w:t xml:space="preserve">Artigo 10 Qualquer interessado poderá apresentar pedido de acesso a informações aos órgãos e entidades referidos no art. 1º desta Lei, por qualquer meio legítimo, devendo o pedido conter a identificação do requerente e a especificação da informação requerida.</w:t>
      </w:r>
      <w:r>
        <w:br/>
        <w:t xml:space="preserve"/>
      </w:r>
      <w:r>
        <w:rPr>
          <w:rFonts w:ascii="Bookman Old Style" w:cs="Bookman Old Style" w:eastAsia="Bookman Old Style" w:hAnsi="Bookman Old Style"/>
          <w:b/>
          <w:bCs/>
          <w:color w:val="EE0000"/>
          <w:sz w:val="14"/>
          <w:szCs w:val="14"/>
        </w:rPr>
        <w:t xml:space="preserve">§ 3º</w:t>
      </w:r>
      <w:r>
        <w:rPr>
          <w:rFonts w:ascii="Bookman Old Style" w:cs="Bookman Old Style" w:eastAsia="Bookman Old Style" w:hAnsi="Bookman Old Style"/>
          <w:sz w:val="14"/>
          <w:szCs w:val="14"/>
        </w:rPr>
        <w:t xml:space="preserve"> São vedadas quaisquer exigências relativas aos motivos determinantes da solicitação de informações de interesse público.</w:t>
      </w:r>
    </w:p>
  </w:footnote>
  <w:footnote w:id="5">
    <w:p>
      <w:pPr>
        <w:spacing w:line="240"/>
      </w:pPr>
      <w:r>
        <w:rPr>
          <w:rStyle w:val="FootnoteReference"/>
        </w:rPr>
        <w:footnoteRef/>
      </w:r>
      <w:r>
        <w:rPr>
          <w:rFonts w:ascii="Bookman Old Style" w:cs="Bookman Old Style" w:eastAsia="Bookman Old Style" w:hAnsi="Bookman Old Style"/>
          <w:b/>
          <w:bCs/>
          <w:sz w:val="14"/>
          <w:szCs w:val="14"/>
        </w:rPr>
        <w:t xml:space="preserve">Lei Complementar 101/2000 – </w:t>
      </w:r>
      <w:r>
        <w:rPr>
          <w:rFonts w:ascii="Bookman Old Style" w:cs="Bookman Old Style" w:eastAsia="Bookman Old Style" w:hAnsi="Bookman Old Style"/>
          <w:sz w:val="14"/>
          <w:szCs w:val="14"/>
        </w:rPr>
        <w:t xml:space="preserve">Artigo 48-A Para os fins a que se refere o inciso II do parágrafo único do art. 48, os entes da Federação disponibilizarão a qualquer pessoa física ou jurídica o acesso a informações referentes a:</w:t>
      </w:r>
      <w:r>
        <w:br/>
        <w:t xml:space="preserve"/>
      </w:r>
      <w:r>
        <w:rPr>
          <w:rFonts w:ascii="Bookman Old Style" w:cs="Bookman Old Style" w:eastAsia="Bookman Old Style" w:hAnsi="Bookman Old Style"/>
          <w:b/>
          <w:bCs/>
          <w:color w:val="00FF00"/>
          <w:sz w:val="14"/>
          <w:szCs w:val="14"/>
        </w:rPr>
        <w:t xml:space="preserve">I</w:t>
      </w:r>
      <w:r>
        <w:rPr>
          <w:rFonts w:ascii="Bookman Old Style" w:cs="Bookman Old Style" w:eastAsia="Bookman Old Style" w:hAnsi="Bookman Old Style"/>
          <w:sz w:val="14"/>
          <w:szCs w:val="14"/>
        </w:rPr>
        <w:t xml:space="preserve"> – quanto à despesa: todos os atos praticados pelas unidades gestoras no decorrer da execução da despesa, no momento de sua realização, com a disponibilização mínima dos dados referentes ao número do correspondente processo, ao bem fornecido ou ao serviço prestado, à pessoa física ou jurídica beneficiária do pagamento e, quando for o caso, ao procedimento licitatório realizado;</w:t>
      </w:r>
    </w:p>
  </w:footnote>
  <w:footnote w:id="6">
    <w:p>
      <w:pPr>
        <w:spacing w:line="240"/>
      </w:pPr>
      <w:r>
        <w:rPr>
          <w:rStyle w:val="FootnoteReference"/>
        </w:rPr>
        <w:footnoteRef/>
      </w:r>
      <w:r>
        <w:rPr>
          <w:rFonts w:ascii="Bookman Old Style" w:cs="Bookman Old Style" w:eastAsia="Bookman Old Style" w:hAnsi="Bookman Old Style"/>
          <w:b/>
          <w:bCs/>
          <w:sz w:val="14"/>
          <w:szCs w:val="14"/>
        </w:rPr>
        <w:t xml:space="preserve">Lei 8.742/1993 – </w:t>
      </w:r>
      <w:r>
        <w:rPr>
          <w:rFonts w:ascii="Bookman Old Style" w:cs="Bookman Old Style" w:eastAsia="Bookman Old Style" w:hAnsi="Bookman Old Style"/>
          <w:sz w:val="14"/>
          <w:szCs w:val="14"/>
        </w:rPr>
        <w:t xml:space="preserve">Artigo 30 É condição para os repasses, aos Municípios, aos Estados e ao Distrito Federal, dos recursos de que trata esta Lei, a efetiva instituição e funcionamento de:</w:t>
      </w:r>
      <w:r>
        <w:br/>
        <w:t xml:space="preserve"/>
      </w:r>
      <w:r>
        <w:rPr>
          <w:rFonts w:ascii="Bookman Old Style" w:cs="Bookman Old Style" w:eastAsia="Bookman Old Style" w:hAnsi="Bookman Old Style"/>
          <w:b/>
          <w:bCs/>
          <w:color w:val="00FF00"/>
          <w:sz w:val="14"/>
          <w:szCs w:val="14"/>
        </w:rPr>
        <w:t xml:space="preserve">I</w:t>
      </w:r>
      <w:r>
        <w:rPr>
          <w:rFonts w:ascii="Bookman Old Style" w:cs="Bookman Old Style" w:eastAsia="Bookman Old Style" w:hAnsi="Bookman Old Style"/>
          <w:sz w:val="14"/>
          <w:szCs w:val="14"/>
        </w:rPr>
        <w:t xml:space="preserve"> – Conselho de Assistência Social, de composição paritária entre governo e sociedade civil;</w:t>
      </w:r>
      <w:r>
        <w:br/>
        <w:t xml:space="preserve"/>
      </w:r>
      <w:r>
        <w:rPr>
          <w:rFonts w:ascii="Bookman Old Style" w:cs="Bookman Old Style" w:eastAsia="Bookman Old Style" w:hAnsi="Bookman Old Style"/>
          <w:b/>
          <w:bCs/>
          <w:color w:val="00FF00"/>
          <w:sz w:val="14"/>
          <w:szCs w:val="14"/>
        </w:rPr>
        <w:t xml:space="preserve">II</w:t>
      </w:r>
      <w:r>
        <w:rPr>
          <w:rFonts w:ascii="Bookman Old Style" w:cs="Bookman Old Style" w:eastAsia="Bookman Old Style" w:hAnsi="Bookman Old Style"/>
          <w:sz w:val="14"/>
          <w:szCs w:val="14"/>
        </w:rPr>
        <w:t xml:space="preserve"> – Fundo de Assistência Social, com orientação e controle dos respectivos Conselhos de Assistência Social;</w:t>
      </w:r>
      <w:r>
        <w:br/>
        <w:t xml:space="preserve"/>
      </w:r>
      <w:r>
        <w:rPr>
          <w:rFonts w:ascii="Bookman Old Style" w:cs="Bookman Old Style" w:eastAsia="Bookman Old Style" w:hAnsi="Bookman Old Style"/>
          <w:b/>
          <w:bCs/>
          <w:color w:val="00FF00"/>
          <w:sz w:val="14"/>
          <w:szCs w:val="14"/>
        </w:rPr>
        <w:t xml:space="preserve">III</w:t>
      </w:r>
      <w:r>
        <w:rPr>
          <w:rFonts w:ascii="Bookman Old Style" w:cs="Bookman Old Style" w:eastAsia="Bookman Old Style" w:hAnsi="Bookman Old Style"/>
          <w:sz w:val="14"/>
          <w:szCs w:val="14"/>
        </w:rPr>
        <w:t xml:space="preserve"> – Plano de Assistência Social.</w:t>
      </w:r>
    </w:p>
  </w:footnote>
  <w:footnote w:id="7">
    <w:p>
      <w:pPr>
        <w:spacing w:line="240"/>
      </w:pPr>
      <w:r>
        <w:rPr>
          <w:rStyle w:val="FootnoteReference"/>
        </w:rPr>
        <w:footnoteRef/>
      </w:r>
      <w:r>
        <w:rPr>
          <w:rFonts w:ascii="Bookman Old Style" w:cs="Bookman Old Style" w:eastAsia="Bookman Old Style" w:hAnsi="Bookman Old Style"/>
          <w:b/>
          <w:bCs/>
          <w:sz w:val="14"/>
          <w:szCs w:val="14"/>
        </w:rPr>
        <w:t xml:space="preserve">Lei 12.527/2011 – </w:t>
      </w:r>
      <w:r>
        <w:rPr>
          <w:rFonts w:ascii="Bookman Old Style" w:cs="Bookman Old Style" w:eastAsia="Bookman Old Style" w:hAnsi="Bookman Old Style"/>
          <w:sz w:val="14"/>
          <w:szCs w:val="14"/>
        </w:rPr>
        <w:t xml:space="preserve">Artigo 11 O órgão ou entidade pública deverá autorizar ou conceder o acesso imediato à informação disponível.</w:t>
      </w:r>
      <w:r>
        <w:br/>
        <w:t xml:space="preserve"/>
      </w:r>
      <w:r>
        <w:rPr>
          <w:rFonts w:ascii="Bookman Old Style" w:cs="Bookman Old Style" w:eastAsia="Bookman Old Style" w:hAnsi="Bookman Old Style"/>
          <w:b/>
          <w:bCs/>
          <w:color w:val="EE0000"/>
          <w:sz w:val="14"/>
          <w:szCs w:val="14"/>
        </w:rPr>
        <w:t xml:space="preserve">§ 1º</w:t>
      </w:r>
      <w:r>
        <w:rPr>
          <w:rFonts w:ascii="Bookman Old Style" w:cs="Bookman Old Style" w:eastAsia="Bookman Old Style" w:hAnsi="Bookman Old Style"/>
          <w:sz w:val="14"/>
          <w:szCs w:val="14"/>
        </w:rPr>
        <w:t xml:space="preserve"> Não sendo possível conceder o acesso imediato, na forma disposta no caput, o órgão ou entidade que receber o pedido deverá, em prazo não superior a 20 (vinte) dias: (...)</w:t>
      </w:r>
      <w:r>
        <w:br/>
        <w:t xml:space="preserve"/>
      </w:r>
      <w:r>
        <w:rPr>
          <w:rFonts w:ascii="Bookman Old Style" w:cs="Bookman Old Style" w:eastAsia="Bookman Old Style" w:hAnsi="Bookman Old Style"/>
          <w:b/>
          <w:bCs/>
          <w:color w:val="EE0000"/>
          <w:sz w:val="14"/>
          <w:szCs w:val="14"/>
        </w:rPr>
        <w:t xml:space="preserve">§ 2º</w:t>
      </w:r>
      <w:r>
        <w:rPr>
          <w:rFonts w:ascii="Bookman Old Style" w:cs="Bookman Old Style" w:eastAsia="Bookman Old Style" w:hAnsi="Bookman Old Style"/>
          <w:sz w:val="14"/>
          <w:szCs w:val="14"/>
        </w:rPr>
        <w:t xml:space="preserve"> O prazo referido no § 1º poderá ser prorrogado por mais 10 (dez) dias, mediante justificativa expressa, da qual será cientificado o requerente.</w:t>
      </w:r>
    </w:p>
  </w:footnote>
  <w:footnote w:id="8">
    <w:p>
      <w:pPr>
        <w:spacing w:line="240"/>
      </w:pPr>
      <w:r>
        <w:rPr>
          <w:rStyle w:val="FootnoteReference"/>
        </w:rPr>
        <w:footnoteRef/>
      </w:r>
      <w:r>
        <w:rPr>
          <w:rFonts w:ascii="Bookman Old Style" w:cs="Bookman Old Style" w:eastAsia="Bookman Old Style" w:hAnsi="Bookman Old Style"/>
          <w:b/>
          <w:bCs/>
          <w:sz w:val="14"/>
          <w:szCs w:val="14"/>
        </w:rPr>
        <w:t xml:space="preserve">Lei 13.019/2014 – </w:t>
      </w:r>
      <w:r>
        <w:rPr>
          <w:rFonts w:ascii="Bookman Old Style" w:cs="Bookman Old Style" w:eastAsia="Bookman Old Style" w:hAnsi="Bookman Old Style"/>
          <w:sz w:val="14"/>
          <w:szCs w:val="14"/>
        </w:rPr>
        <w:t xml:space="preserve">Artigo 11 A organização da sociedade civil deverá divulgar na internet e em locais visíveis de suas sedes sociais e dos estabelecimentos em que exerça suas ações todas as parcerias celebradas com a administração pública.</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man Old Style" w:cs="Bookman Old Style" w:eastAsia="Bookman Old Style" w:hAnsi="Bookman Old Sty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2026-08-24T09:29:23.733Z</dcterms:created>
  <dcterms:modified xsi:type="dcterms:W3CDTF">2026-08-24T09:29:23.752Z</dcterms:modified>
</cp:coreProperties>
</file>

<file path=docProps/custom.xml><?xml version="1.0" encoding="utf-8"?>
<Properties xmlns="http://schemas.openxmlformats.org/officeDocument/2006/custom-properties" xmlns:vt="http://schemas.openxmlformats.org/officeDocument/2006/docPropsVTypes"/>
</file>