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000"/>
        <w:jc w:val="center"/>
      </w:pPr>
      <w:r>
        <w:rPr>
          <w:rFonts w:ascii="Bookman Old Style" w:cs="Bookman Old Style" w:eastAsia="Bookman Old Style" w:hAnsi="Bookman Old Style"/>
          <w:b/>
          <w:bCs/>
          <w:sz w:val="32"/>
          <w:szCs w:val="32"/>
        </w:rPr>
        <w:t xml:space="preserve">Parecer de Fiscalização</w:t>
      </w:r>
    </w:p>
    <w:p>
      <w:pPr>
        <w:spacing w:after="100"/>
        <w:jc w:val="center"/>
      </w:pPr>
      <w:r>
        <w:rPr>
          <w:rFonts w:ascii="Bookman Old Style" w:cs="Bookman Old Style" w:eastAsia="Bookman Old Style" w:hAnsi="Bookman Old Style"/>
          <w:b/>
          <w:bCs/>
          <w:sz w:val="26"/>
          <w:szCs w:val="26"/>
        </w:rPr>
        <w:t xml:space="preserve">Assistência Social de Goiânia — Exercício de 2026</w:t>
      </w:r>
    </w:p>
    <w:p>
      <w:pPr>
        <w:spacing w:after="500"/>
        <w:jc w:val="center"/>
      </w:pPr>
      <w:r>
        <w:rPr>
          <w:rFonts w:ascii="Bookman Old Style" w:cs="Bookman Old Style" w:eastAsia="Bookman Old Style" w:hAnsi="Bookman Old Style"/>
          <w:sz w:val="20"/>
          <w:szCs w:val="20"/>
        </w:rPr>
        <w:t xml:space="preserve">Secretaria Municipal de Políticas para as Mulheres, Assistência Social e Direitos Humanos, Fundo Municipal de Assistência Social e Conselho Municipal de Assistência Social</w:t>
      </w:r>
    </w:p>
    <w:p>
      <w:pPr>
        <w:spacing w:after="8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25 irregularidades — 7 críticas, 15 altas, 3 médias</w:t>
      </w:r>
    </w:p>
    <w:p>
      <w:pPr>
        <w:spacing w:after="80"/>
        <w:jc w:val="center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Nível de transparência: 27% — 10 de 37 documentos disponíveis</w:t>
      </w:r>
    </w:p>
    <w:p>
      <w:pPr>
        <w:spacing w:after="1600"/>
        <w:jc w:val="center"/>
      </w:pPr>
      <w:r>
        <w:rPr>
          <w:rFonts w:ascii="Bookman Old Style" w:cs="Bookman Old Style" w:eastAsia="Bookman Old Style" w:hAnsi="Bookman Old Style"/>
          <w:sz w:val="20"/>
          <w:szCs w:val="20"/>
        </w:rPr>
        <w:t xml:space="preserve">81 documentos complementares requisitados</w:t>
      </w:r>
    </w:p>
    <w:p>
      <w:pPr>
        <w:jc w:val="center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Goiânia, 26 de agosto de 2026</w:t>
      </w:r>
    </w:p>
    <w:p>
      <w:r>
        <w:br w:type="page"/>
      </w:r>
    </w:p>
    <w:p>
      <w:pPr>
        <w:pStyle w:val="Heading1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6"/>
          <w:szCs w:val="26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6"/>
          <w:szCs w:val="26"/>
        </w:rPr>
        <w:t xml:space="preserve">I — Como Ler Este Parecer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Cada irregularidade é apresentada em cinco campos: o valor envolvido, onde o dado foi encontrado, onde ele deveria estar publicado, quais documentos faltam e uma justificativa em um parágrafo. O fundamento legal vai em nota de rodapé, reduzido.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Três selos indicam o grau de prova. Confirmado significa que duas vias independentes convergem. Indiciário significa uma única via. Sem documento para avaliar significa que a regra existe, foi aplicada, e o dado necessário não está público — o que é, em si, a irregularidade.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Advertências que se repetem a cada uso. Indício de sobrepreço é indício: sobrepreço se demonstra por perícia com preço de mercado. A lista de inscrições no cadastro nacional capta também o cadastro do próprio Município. Dotação e empenho não comprovam saída de dinheiro. Pessoa física aparece apenas pelo primeiro nome.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1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6"/>
          <w:szCs w:val="26"/>
        </w:rPr>
        <w:t xml:space="preserve">II — Previsão Orçamentária de 2026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Valores da Lei Orçamentária Anual 11.590/2026, anexos publicados no Diário Oficial do Município, Edição 8697, de 9 de janeiro de 2026, Edição Extra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. Documento consultado em: </w:t>
      </w:r>
      <w:hyperlink w:history="1" r:id="rIddzposfk9lranfzgift6vf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sileg.goiania.go.gov.br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after="60"/>
        <w:jc w:val="center"/>
      </w:pPr>
      <w:r>
        <w:rPr>
          <w:rFonts w:ascii="Bookman Old Style" w:cs="Bookman Old Style" w:eastAsia="Bookman Old Style" w:hAnsi="Bookman Old Style"/>
          <w:b/>
          <w:bCs/>
          <w:sz w:val="20"/>
          <w:szCs w:val="20"/>
        </w:rPr>
        <w:t xml:space="preserve">Receita prevista do Fundo Municipal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1200"/>
        <w:gridCol w:w="2400"/>
      </w:tblGrid>
      <w:tr>
        <w:tc>
          <w:tcPr>
            <w:tcW w:type="dxa" w:w="46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Origem</w:t>
            </w:r>
          </w:p>
        </w:tc>
        <w:tc>
          <w:tcPr>
            <w:tcW w:type="dxa" w:w="12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Fonte</w:t>
            </w:r>
          </w:p>
        </w:tc>
        <w:tc>
          <w:tcPr>
            <w:tcW w:type="dxa" w:w="24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Valor previsto</w:t>
            </w:r>
          </w:p>
        </w:tc>
      </w:tr>
      <w:tr>
        <w:tc>
          <w:tcPr>
            <w:tcW w:type="dxa" w:w="4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União — Fundo Nacional de Assistência Social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1660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R$ 8.250.000,00</w:t>
            </w:r>
          </w:p>
        </w:tc>
      </w:tr>
      <w:tr>
        <w:tc>
          <w:tcPr>
            <w:tcW w:type="dxa" w:w="4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Estado — Assistência Social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1661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R$ 6.000.000,00</w:t>
            </w:r>
          </w:p>
        </w:tc>
      </w:tr>
      <w:tr>
        <w:tc>
          <w:tcPr>
            <w:tcW w:type="dxa" w:w="4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Estado — Programas de Assistência Social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1665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R$ 3.104.000,00</w:t>
            </w:r>
          </w:p>
        </w:tc>
      </w:tr>
      <w:tr>
        <w:tc>
          <w:tcPr>
            <w:tcW w:type="dxa" w:w="4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Transferências sem fonte identificada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R$ 2.071.000,00</w:t>
            </w:r>
          </w:p>
        </w:tc>
      </w:tr>
      <w:tr>
        <w:tc>
          <w:tcPr>
            <w:tcW w:type="dxa" w:w="4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Rendimento de aplicação financeira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R$ 2.574.000,00</w:t>
            </w:r>
          </w:p>
        </w:tc>
      </w:tr>
      <w:tr>
        <w:tc>
          <w:tcPr>
            <w:tcW w:type="dxa" w:w="4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Transferências de capital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R$ 1.115.000,00</w:t>
            </w:r>
          </w:p>
        </w:tc>
      </w:tr>
      <w:tr>
        <w:tc>
          <w:tcPr>
            <w:tcW w:type="dxa" w:w="4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Outras receitas correntes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R$ 95.000,00</w:t>
            </w:r>
          </w:p>
        </w:tc>
      </w:tr>
      <w:tr>
        <w:tc>
          <w:tcPr>
            <w:tcW w:type="dxa" w:w="4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Município — Tesouro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R$ 9.000,00</w:t>
            </w:r>
          </w:p>
        </w:tc>
      </w:tr>
      <w:tr>
        <w:tc>
          <w:tcPr>
            <w:tcW w:type="dxa" w:w="4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Total previsto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R$ 23.218.000,00</w:t>
            </w:r>
          </w:p>
        </w:tc>
      </w:tr>
    </w:tbl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after="60"/>
        <w:jc w:val="center"/>
      </w:pPr>
      <w:r>
        <w:rPr>
          <w:rFonts w:ascii="Bookman Old Style" w:cs="Bookman Old Style" w:eastAsia="Bookman Old Style" w:hAnsi="Bookman Old Style"/>
          <w:b/>
          <w:bCs/>
          <w:sz w:val="20"/>
          <w:szCs w:val="20"/>
        </w:rPr>
        <w:t xml:space="preserve">Despesa prevista por ação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500"/>
        <w:gridCol w:w="1900"/>
        <w:gridCol w:w="500"/>
      </w:tblGrid>
      <w:tr>
        <w:tc>
          <w:tcPr>
            <w:tcW w:type="dxa" w:w="23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Ação</w:t>
            </w:r>
          </w:p>
        </w:tc>
        <w:tc>
          <w:tcPr>
            <w:tcW w:type="dxa" w:w="35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Denominação</w:t>
            </w:r>
          </w:p>
        </w:tc>
        <w:tc>
          <w:tcPr>
            <w:tcW w:type="dxa" w:w="19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Valor</w:t>
            </w:r>
          </w:p>
        </w:tc>
        <w:tc>
          <w:tcPr>
            <w:tcW w:type="dxa" w:w="5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%</w:t>
            </w:r>
          </w:p>
        </w:tc>
      </w:tr>
      <w:tr>
        <w:tc>
          <w:tcPr>
            <w:tcW w:type="dxa" w:w="2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3650.0824401082269</w:t>
            </w:r>
          </w:p>
        </w:tc>
        <w:tc>
          <w:tcPr>
            <w:tcW w:type="dxa" w:w="3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MANUTENCAO DOS SERVICOS E DA REDE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R$ 19.913.000,00</w:t>
            </w:r>
          </w:p>
        </w:tc>
        <w:tc>
          <w:tcPr>
            <w:tcW w:type="dxa" w:w="5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85.8%</w:t>
            </w:r>
          </w:p>
        </w:tc>
      </w:tr>
      <w:tr>
        <w:tc>
          <w:tcPr>
            <w:tcW w:type="dxa" w:w="2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3650.0824401092268</w:t>
            </w:r>
          </w:p>
        </w:tc>
        <w:tc>
          <w:tcPr>
            <w:tcW w:type="dxa" w:w="3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ACAO ACOLHER E CUIDAR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R$ 1.569.000,00</w:t>
            </w:r>
          </w:p>
        </w:tc>
        <w:tc>
          <w:tcPr>
            <w:tcW w:type="dxa" w:w="5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6.8%</w:t>
            </w:r>
          </w:p>
        </w:tc>
      </w:tr>
      <w:tr>
        <w:tc>
          <w:tcPr>
            <w:tcW w:type="dxa" w:w="2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3650.0824401082263</w:t>
            </w:r>
          </w:p>
        </w:tc>
        <w:tc>
          <w:tcPr>
            <w:tcW w:type="dxa" w:w="3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CAPACITACAO CONTINUADA SUAS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R$ 970.000,00</w:t>
            </w:r>
          </w:p>
        </w:tc>
        <w:tc>
          <w:tcPr>
            <w:tcW w:type="dxa" w:w="5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4.2%</w:t>
            </w:r>
          </w:p>
        </w:tc>
      </w:tr>
      <w:tr>
        <w:tc>
          <w:tcPr>
            <w:tcW w:type="dxa" w:w="2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3650.2884600008003</w:t>
            </w:r>
          </w:p>
        </w:tc>
        <w:tc>
          <w:tcPr>
            <w:tcW w:type="dxa" w:w="3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CONTRIBUICAO AO PASEP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R$ 510.000,00</w:t>
            </w:r>
          </w:p>
        </w:tc>
        <w:tc>
          <w:tcPr>
            <w:tcW w:type="dxa" w:w="5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2.2%</w:t>
            </w:r>
          </w:p>
        </w:tc>
      </w:tr>
      <w:tr>
        <w:tc>
          <w:tcPr>
            <w:tcW w:type="dxa" w:w="2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3650.0824401082591</w:t>
            </w:r>
          </w:p>
        </w:tc>
        <w:tc>
          <w:tcPr>
            <w:tcW w:type="dxa" w:w="3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MANUTENCAO DO CONSELHO MUNICIPAL DE ASSISTENCIA SOCIAL - CMASGYN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R$ 256.000,00</w:t>
            </w:r>
          </w:p>
        </w:tc>
        <w:tc>
          <w:tcPr>
            <w:tcW w:type="dxa" w:w="5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1.1%</w:t>
            </w:r>
          </w:p>
        </w:tc>
      </w:tr>
    </w:tbl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Fora do Fundo, a unidade orçamentária 3601, do Gabinete da Secretaria, prevê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R$ 81.202.000,00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, integralmente custeados pelo Tesouro Municipal. A função 08, assistência social, soma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R$ 28.440.000,00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0,262% do orçamento municipal de R$ 10.842.253.000,00.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1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6"/>
          <w:szCs w:val="26"/>
        </w:rPr>
        <w:t xml:space="preserve">III — Nível de Transparência dos Dados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De 37 documentos exigidos pela transparência ativa,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10 estão públicos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e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27 faltam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. Nível geral: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27%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200"/>
        <w:gridCol w:w="1200"/>
        <w:gridCol w:w="1800"/>
      </w:tblGrid>
      <w:tr>
        <w:tc>
          <w:tcPr>
            <w:tcW w:type="dxa" w:w="40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Bloco</w:t>
            </w:r>
          </w:p>
        </w:tc>
        <w:tc>
          <w:tcPr>
            <w:tcW w:type="dxa" w:w="12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Tem</w:t>
            </w:r>
          </w:p>
        </w:tc>
        <w:tc>
          <w:tcPr>
            <w:tcW w:type="dxa" w:w="12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Falta</w:t>
            </w:r>
          </w:p>
        </w:tc>
        <w:tc>
          <w:tcPr>
            <w:tcW w:type="dxa" w:w="18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Nível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Previsão orçamentária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</w:t>
            </w:r>
          </w:p>
        </w:tc>
        <w:tc>
          <w:tcPr>
            <w:tcW w:type="dxa" w:w="18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66.7%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Receita realizada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5</w:t>
            </w:r>
          </w:p>
        </w:tc>
        <w:tc>
          <w:tcPr>
            <w:tcW w:type="dxa" w:w="18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0%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Execução da despesa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5</w:t>
            </w:r>
          </w:p>
        </w:tc>
        <w:tc>
          <w:tcPr>
            <w:tcW w:type="dxa" w:w="18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28.6%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Pessoal e diárias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5</w:t>
            </w:r>
          </w:p>
        </w:tc>
        <w:tc>
          <w:tcPr>
            <w:tcW w:type="dxa" w:w="18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16.7%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Parcerias com entidades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4</w:t>
            </w:r>
          </w:p>
        </w:tc>
        <w:tc>
          <w:tcPr>
            <w:tcW w:type="dxa" w:w="18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33.3%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Atos do Conselho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6</w:t>
            </w:r>
          </w:p>
        </w:tc>
        <w:tc>
          <w:tcPr>
            <w:tcW w:type="dxa" w:w="18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14.3%</w:t>
            </w:r>
          </w:p>
        </w:tc>
      </w:tr>
    </w:tbl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Previsão orçamentária.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Disponível: Lei Orçamentária 2025 e 2026 com anexos; Lei de Diretrizes 2024, 2025 e 2026; Receita do Fundo por natureza; Despesa por ação.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Falta: Quadro de Detalhamento de Despesas 2026; Mapa das fontes de recursos.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Deveria estar em: </w:t>
      </w:r>
      <w:hyperlink w:history="1" r:id="rIdto9ti1w7tt2yatlcvd0yn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Receita realizada.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Nada disponível.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Falta: Receita realizada mês a mês por fonte; Extratos da conta especial do Fundo; Relatório Resumido da Execução Orçamentária; Balanço Patrimonial 2025; Repasses do Fundo Nacional por competência.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Deveria estar em: </w:t>
      </w:r>
      <w:hyperlink w:history="1" r:id="rIdnbnpbmoe-i25b5gvzqtvz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Responsabilidade Fiscal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Execução da despesa.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Disponível: Decretos de crédito adicional; Extratos de contratos e termos.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Falta: Empenhos; Liquidações; Pagamentos; Ordens bancárias; Restos a pagar.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Deveria estar em: </w:t>
      </w:r>
      <w:hyperlink w:history="1" r:id="rIdbyrqlvvd9ppfcoeu3cfri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Pessoal e diárias.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Disponível: Uma concessão de diária.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Falta: Folha de pagamento por competência; Quadro com forma de provimento; Relação de diárias; Relatórios de viagem; Equipe de referência por unidade.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Deveria estar em: </w:t>
      </w:r>
      <w:hyperlink w:history="1" r:id="rIdaf-nkdj3lqvpvamfrpnca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Recursos Humanos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Parcerias com entidades.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Disponível: Extratos de termos de fomento e colaboração; Emendas impositivas da Lei Orçamentária.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Falta: Planos de trabalho; Prestações de contas; Editais de chamamento; Justificativas de dispensa.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Deveria estar em: </w:t>
      </w:r>
      <w:hyperlink w:history="1" r:id="rId8bx5tc8rg0nptqyp_o7s1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Atos do Conselho.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Disponível: Referências indiretas em atos posteriores.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Falta: Resoluções do triênio; Atas de plenária; Regimento Interno; Decreto de nomeação; Apreciação mensal das contas; Prestação quadrimestral.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Deveria estar em: </w:t>
      </w:r>
      <w:hyperlink w:history="1" r:id="rIdgbxxjemka0pdrqgh_z78h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Sítio do Conselho Municipal de Assistência Social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6"/>
          <w:szCs w:val="26"/>
        </w:rPr>
        <w:t xml:space="preserve">IV — Irregularidades Apuradas</w:t>
      </w:r>
    </w:p>
    <w:p>
      <w:pPr>
        <w:pStyle w:val="Heading2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4"/>
          <w:szCs w:val="24"/>
        </w:rPr>
        <w:t xml:space="preserve">Atos administrativos e publicidade</w:t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PUB-01 — Diário Oficial sem edição desde 29/07/2026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Não quantificável sem os documentos faltantes.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Diário Oficial do Município, Edição 8830, última edição publicada, 29/07/2026 — </w:t>
      </w:r>
      <w:hyperlink w:history="1" r:id="rId4cndzcy3chbdriy2opjy1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ohprfdys6hcxfvhnmjqzh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wavzs9qks6tespv6hu9jr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Diário Oficial do Município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Relação numerada e datada das edições do Diário Oficial publicadas entre 30/07/2026 e a data do protocolo, ou declaração de que não houve publicação; 2) Ato administrativo que determinou a suspensão da publicação, se houver; 3) Relação dos atos praticados no período, com data de assinatura e data de publicação.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Última publicação: 2026-07-29 (26 dias corridos). Dos 21 dias úteis da janela, 18 sem edição. Sondagem com controle exclui falha do coletor.</w:t>
      </w:r>
      <w:r>
        <w:rPr>
          <w:rStyle w:val="FootnoteReference"/>
        </w:rPr>
        <w:footnoteReference w:id="1"/>
      </w:r>
      <w:r>
        <w:rPr>
          <w:rStyle w:val="FootnoteReference"/>
        </w:rPr>
        <w:footnoteReference w:id="3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Crítica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PUB-02 — Atos do Conselho sem publicação, confirmado por dupla via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Não quantificável sem os documentos faltantes.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jdby7md5667-elxh2lab1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Sítio próprio do Conselho, sem documento posterior a dezembro de 2023 — </w:t>
      </w:r>
      <w:hyperlink w:history="1" r:id="rIdkyacopjcqujlwael6efw1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sixowwjhb0mdqfjgdl6re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Diário Oficial do Município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hyperlink w:history="1" r:id="rIddxk0prrldhq_gd3e30uoe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Sítio do Conselho Municipal de Assistência Social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Cópia integral das Resoluções do Conselho de 2024 a 2026, com indicação da edição e página do Diário Oficial; 2) Livro de registro de Resoluções, com numeração sequencial; 3) Declaração da Secretaria Executiva sobre os atos não publicados.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24 de 40 atos examinados não foram localizados por nenhuma das duas vias independentes. Índice global de publicidade de 6,36% é piso indiciário; use o confirmado.</w:t>
      </w:r>
      <w:r>
        <w:rPr>
          <w:rStyle w:val="FootnoteReference"/>
        </w:rPr>
        <w:footnoteReference w:id="23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Crítica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2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4"/>
          <w:szCs w:val="24"/>
        </w:rPr>
        <w:t xml:space="preserve">Receita e despesa</w:t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REC-01 — Aporte próprio do Município no Fundo é simbólico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R$ 9.000,00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aporte próprio do Município, contra R$ 17.354.000,00 recebidos da União e do Estado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Orçamentária Anual 11.590/2026, anexos, Diário Oficial do Município, Edição 8697, de 09/01/2026, Edição Extra — </w:t>
      </w:r>
      <w:hyperlink w:history="1" r:id="rIdvsl7lr5jdl04kta5y_xeo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Orçamentária Anual 11.315/2025, anexos, Diário Oficial do Município, de 07/01/2025 — </w:t>
      </w:r>
      <w:hyperlink w:history="1" r:id="rIdt37hecsfn3hjamzddcf1q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d0tdc3vgrd9rgdl7jnwfc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Responsabilidade Fiscal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hyperlink w:history="1" r:id="rIdans4obczminkvqlmjo8h9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Secretaria Municipal de Finanças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Lei Orçamentária Anual de 2024, 2025 e 2026, com o Quadro de Detalhamento de Despesas; 2) Demonstrativo de receita realizada do Fundo por fonte, mês a mês; 3) Extratos mensais da conta especial do Fundo; 4) Comprovação orçamentária de recursos próprios exigida pelo artigo 30, parágrafo único, da Lei 8.742/1993; 5) Relatório Resumido da Execução Orçamentária dos seis bimestres.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Tesouro Municipal em 2026: R$ 9.000,00 num Fundo de R$ 23.218.000,00 (0.039%). Em 2025 eram R$ 1.669.000,00 — queda de -99.46%. Orçamento municipal: R$ 10.842.253.000,00.</w:t>
      </w:r>
      <w:r>
        <w:rPr>
          <w:rStyle w:val="FootnoteReference"/>
        </w:rPr>
        <w:footnoteReference w:id="12"/>
      </w:r>
      <w:r>
        <w:rPr>
          <w:rStyle w:val="FootnoteReference"/>
        </w:rPr>
        <w:footnoteReference w:id="13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Crítica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DES-02 — Execução da despesa não rastreável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R$ 23.218.000,00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movimento anual do Fundo sem empenho, liquidação e pagamento públicos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hglaz7t3rtejd_csrdggz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cluecdffogwvhmqk9-0fo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Relação de empenhos, liquidações e pagamentos da função 08, exercícios 2024 a 2026; 2) Notas de empenho, de liquidação e ordens bancárias; 3) Extratos bancários do Fundo com identificação do favorecido de cada saída.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6 eventos de empenho em 161 — 3.73%. Empenhado, liquidado e pago são inaferíveis.</w:t>
      </w:r>
      <w:r>
        <w:rPr>
          <w:rStyle w:val="FootnoteReference"/>
        </w:rPr>
        <w:footnoteReference w:id="10"/>
      </w:r>
      <w:r>
        <w:rPr>
          <w:rStyle w:val="FootnoteReference"/>
        </w:rPr>
        <w:footnoteReference w:id="11"/>
      </w:r>
      <w:r>
        <w:rPr>
          <w:rStyle w:val="FootnoteReference"/>
        </w:rPr>
        <w:footnoteReference w:id="6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Crítica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FMAS-01 — Recurso do Tesouro custeia o que está fora do controle do Conselho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R$ 81.202.000,00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previstos na unidade do Gabinete, fora do Fundo e fora do controle do Conselho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Orçamentária Anual 11.590/2026, anexos, Diário Oficial do Município, Edição 8697, de 09/01/2026, Edição Extra — </w:t>
      </w:r>
      <w:hyperlink w:history="1" r:id="rIdwilpxmu2jyee_kn2psbtk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municipal 7.531/1995 — </w:t>
      </w:r>
      <w:hyperlink w:history="1" r:id="rId1pweddlzpotpcqacbvjpa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tz6jftczc7dirq4z4hm1t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hyperlink w:history="1" r:id="rId2t65ux9lihxmjo1eizhnm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Responsabilidade Fiscal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Demonstrativo de execução da unidade orçamentária 3601, por função e subfunção; 2) Comprovação das transferências automáticas ao Fundo previstas no artigo 2º, parágrafo 1º, da Lei municipal 7.531/1995; 3) Ato de designação do gestor do Fundo, em conjunto com o Secretário Municipal de Finanças; 4) Segregação da despesa de assistência social dentro da unidade 3601.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Unidade 3601, do Gabinete: R$ 81.202.000,00, integralmente do Tesouro. Unidade 3650, do Fundo: R$ 23.218.000,00, dos quais R$ 9.000,00 do Tesouro. A dotação do órgão deveria ser automaticamente transferida ao Fundo.</w:t>
      </w:r>
      <w:r>
        <w:rPr>
          <w:rStyle w:val="FootnoteReference"/>
        </w:rPr>
        <w:footnoteReference w:id="20"/>
      </w:r>
      <w:r>
        <w:rPr>
          <w:rStyle w:val="FootnoteReference"/>
        </w:rPr>
        <w:footnoteReference w:id="22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Crítica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IGD-01 — Piso de 10% do Índice de Gestão Descentralizada ao controle social sem execução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R$ 70.670,72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quantia que deveria ter sido aplicada no controle social e prestada contas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Orçamentária Anual 11.590/2026, anexos, Diário Oficial do Município, Edição 8697, de 09/01/2026, Edição Extra — </w:t>
      </w:r>
      <w:hyperlink w:history="1" r:id="rIdpvbsj8kqmad3x3lfwck71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Resolução CNAS/MDS 202/2025, Diário Oficial da União de 28/07/2025, Edição 140, Seção 1, Página 87 — </w:t>
      </w:r>
      <w:hyperlink w:history="1" r:id="rIdrxqgm21xmzfppbnrmgzod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ubkenkhmhhcyccpxubijx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hyperlink w:history="1" r:id="rId6_smdv5htq1hwtqr6njvt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Sítio do Conselho Municipal de Assistência Social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Demonstrativo dos repasses do Índice de Gestão Descentralizada recebidos mês a mês, por bloco; 2) Plano de aplicação do Índice deliberado pelo Conselho; 3) Demonstrativo da aplicação do piso de dez por cento ao controle social, com empenho, liquidação e pagamento; 4) Quadro de Detalhamento de Despesas com a dotação específica de fortalecimento do controle social; 5) Extrato da conta específica do Índice.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Base do Índice de Gestão Descentralizada nos decretos de crédito de 2026: R$ 706.707,15. Devido ao controle social: R$ 70.670,71. Executado: R$ 0,00. Percentual extraido do corpus, nao digitado.</w:t>
      </w:r>
      <w:r>
        <w:rPr>
          <w:rStyle w:val="FootnoteReference"/>
        </w:rPr>
        <w:footnoteReference w:id="15"/>
      </w:r>
      <w:r>
        <w:rPr>
          <w:rStyle w:val="FootnoteReference"/>
        </w:rPr>
        <w:footnoteReference w:id="18"/>
      </w:r>
      <w:r>
        <w:rPr>
          <w:rStyle w:val="FootnoteReference"/>
        </w:rPr>
        <w:footnoteReference w:id="19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Crítica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2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4"/>
          <w:szCs w:val="24"/>
        </w:rPr>
        <w:t xml:space="preserve">Pessoal e diárias</w:t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PES-07 — Vedação do IGD quanto a pessoal não verificável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R$ 70.670,72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do Índice cuja aplicação em pessoal é vedada e não pode ser verificada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Resolução CNAS/MDS 202/2025, Diário Oficial da União de 28/07/2025, Edição 140, Seção 1, Página 87 — </w:t>
      </w:r>
      <w:hyperlink w:history="1" r:id="rIdxldxfcrq-waaso5ko_swe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sao1hyhuwbdq2gwo4qohw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Recursos Humanos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Folha de pagamento com identificação da fonte de recurso de cada servidor; 2) Demonstrativo de aplicação do Índice de Gestão Descentralizada por elemento de despesa; 3) Declaração de que nenhum servidor efetivo ou gratificação foi custeado com recurso do Índice destinado ao Conselho.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O Artigo 12-A paragrafo 4 parte final da Lei 8.742/1993 veda usar recurso do IGD destinado ao conselho para pagar pessoal efetivo e gratificações. Sem a folha por fonte de recurso, a vedação não se afere — nem para confirmar, nem para afastar.</w:t>
      </w:r>
      <w:r>
        <w:rPr>
          <w:rStyle w:val="FootnoteReference"/>
        </w:rPr>
        <w:footnoteReference w:id="14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Sem documento para avaliar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Crítica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2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4"/>
          <w:szCs w:val="24"/>
        </w:rPr>
        <w:t xml:space="preserve">Atos administrativos e publicidade</w:t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ATA-01 — Nenhuma ata de plenária publicada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Não quantificável sem os documentos faltantes.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Sítio próprio do Conselho, sem documento posterior a dezembro de 2023 — </w:t>
      </w:r>
      <w:hyperlink w:history="1" r:id="rIdtx_u71fi726kfkn9ikljf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vmqfua6qctbq4hgxgcpzn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Sítio do Conselho Municipal de Assistência Social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hyperlink w:history="1" r:id="rIdmgnffbx_hvvgaeuq8thw0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Acesso à Informação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Atas de todas as sessões ordinárias e extraordinárias de 2023 a 2026; 2) Lista de presença de cada sessão, com segmento representado; 3) Regimento Interno vigente.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Zero atas no acervo. Sem ata pública não se afere quórum, paridade, deliberação nem voto. A ausência impede também verificar a apreciação prévia de contratos.</w:t>
      </w:r>
      <w:r>
        <w:rPr>
          <w:rStyle w:val="FootnoteReference"/>
        </w:rPr>
        <w:footnoteReference w:id="24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CTA-01 — Apreciação mensal das contas do Fundo sem registro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R$ 23.218.000,00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movimento do Fundo cujas contas deveriam ter sido apreciadas mensalmente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ifdk5bgibq0skdmnwvtyb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sgy7jcv05ps-haa7qsih7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Sítio do Conselho Municipal de Assistência Social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hyperlink w:history="1" r:id="rIddpfjgt1ux8jhursprrt7r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Responsabilidade Fiscal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Balancetes mensais do Fundo de 2026; 2) Atos de apreciação mensal das contas pelo Conselho, por competência; 3) Pareceres da Comissão de Financiamento do Conselho.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O Conselho deve apreciar MENSALMENTE as contas do Fundo. Em 8 competências de 2026 não há uma única resolução ou ata de apreciação.</w:t>
      </w:r>
      <w:r>
        <w:rPr>
          <w:rStyle w:val="FootnoteReference"/>
        </w:rPr>
        <w:footnoteReference w:id="25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CTA-02 — Prestação de contas quadrimestral ao Conselho não demonstrada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R$ 706.707,15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base do Índice de Gestão Descentralizada sujeita a prestação quadrimestral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Resolução CNAS/MDS 202/2025, Diário Oficial da União de 28/07/2025, Edição 140, Seção 1, Página 87 — </w:t>
      </w:r>
      <w:hyperlink w:history="1" r:id="rIdpzsxsa8gcfth56oaiidtz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mbpe_y4zd46qz1ud4alzq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Sítio do Conselho Municipal de Assistência Social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Prestações de contas quadrimestrais previstas no artigo 6º, parágrafo 5º, da Resolução CNAS/MDS 202/2025; 2) Demonstrativo de monitoramento da execução dos recursos do Índice de Gestão Descentralizada; 3) Demonstrativo de saldo em conta e do respectivo plano de reprogramação.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Critério extraído do corpus: a cada 4 meses. Em 2026 seriam devidas duas prestações (janeiro a abril e maio a agosto). Nenhuma localizada.</w:t>
      </w:r>
      <w:r>
        <w:rPr>
          <w:rStyle w:val="FootnoteReference"/>
        </w:rPr>
        <w:footnoteReference w:id="17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LEG-01 — Fundamento legal revogado invocado em 2026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Não quantificável sem os documentos faltantes.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ryrc3g4ogagqzmunaoikh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3mkasn7ffzeao35el0gpy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Processo administrativo integral do termo aditivo; 2) Instrumento original e todos os aditivos; 3) Parecer jurídico que fundamentou o aditamento.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 ato(s) de 2026 mencionam a Lei 8.666/1993, revogada desde 30 de dezembro de 2023. Termo de fomento rege-se pela Lei 13.019/2014, nunca por lei de licitações. Conferir o processo.</w:t>
      </w:r>
      <w:r>
        <w:rPr>
          <w:rStyle w:val="FootnoteReference"/>
        </w:rPr>
        <w:footnoteReference w:id="29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Indiciário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2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4"/>
          <w:szCs w:val="24"/>
        </w:rPr>
        <w:t xml:space="preserve">Receita e despesa</w:t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REC-02 — Transferências sem ente de origem identificável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R$ 2.071.000,00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transferências recebidas sem identificação do ente de origem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Orçamentária Anual 11.590/2026, anexos, Diário Oficial do Município, Edição 8697, de 09/01/2026, Edição Extra — </w:t>
      </w:r>
      <w:hyperlink w:history="1" r:id="rIdqqo76ssyjvscgfyfi_tck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kqnjg01lzaxc8gh7ot9ee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Quadro de Detalhamento de Despesas de 2026, com o mapa completo de fontes de recursos; 2) Demonstrativo de receita por fonte e por ente de origem; 3) Termos de repasse ou instrumentos de transferência do Estado.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Transferências correntes de R$ 19.425.000,00 contra R$ 17.354.000,00 com fonte identificada. Diferença de R$ 2.071.000,00 sem origem. Rastreabilidade global do acervo: 17.57%.</w:t>
      </w:r>
      <w:r>
        <w:rPr>
          <w:rStyle w:val="FootnoteReference"/>
        </w:rPr>
        <w:footnoteReference w:id="7"/>
      </w:r>
      <w:r>
        <w:rPr>
          <w:rStyle w:val="FootnoteReference"/>
        </w:rPr>
        <w:footnoteReference w:id="6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DES-01 — Concentração numa ação genérica impede saber o destino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R$ 19.913.000,00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concentrados numa única ação genérica, sem detalhamento de destino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Orçamentária Anual 11.590/2026, anexos, Diário Oficial do Município, Edição 8697, de 09/01/2026, Edição Extra — </w:t>
      </w:r>
      <w:hyperlink w:history="1" r:id="rId19icxlxywnqkntdmvuxfo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j2ji-xkx8n_nnwvyc1n1d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Detalhamento da ação 08.244.0108.2269 por subação, unidade e serviço tipificado; 2) Plano Municipal de Assistência Social vigente; 3) Demonstrativo de execução por unidade: cada CRAS, CREAS e Centro POP; 4) Relação de entidades beneficiadas pela ação, com valor individual.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R$ 19.913.000,00 (85.8%) na acao 3650.0824401082269 'MANUTENCAO DOS SERVICOS E DA REDE', sem discriminação por unidade, serviço tipificado ou entidade.</w:t>
      </w:r>
      <w:r>
        <w:rPr>
          <w:rStyle w:val="FootnoteReference"/>
        </w:rPr>
        <w:footnoteReference w:id="8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IGD-02 — Dotação do Conselho desproporcional ao fundo que fiscaliza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R$ 256.000,00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dotação do Conselho na Lei Orçamentária, sem execução publicada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Orçamentária Anual 11.590/2026, anexos, Diário Oficial do Município, Edição 8697, de 09/01/2026, Edição Extra — </w:t>
      </w:r>
      <w:hyperlink w:history="1" r:id="rIdr2nzdbzkihsrark4atjdp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municipal 9.009/2010 — </w:t>
      </w:r>
      <w:hyperlink w:history="1" r:id="rId8ubcizziz0q4_atps0hqu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m-nya_djezmnnhttza1ez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Execução orçamentária da ação 08.244.0108.2591, por estágio; 2) Plano de trabalho do Conselho para o exercício; 3) Demonstrativo comparativo com a ação 08.244.0108.2592, do Conselho Municipal do Idoso; 4) Atos de designação da Secretaria Executiva e do Corpo Técnico do Conselho.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CMASGyn: R$ 256.000,00 para fiscalizar R$ 23.218.000,00 (1.1%). Conselho do Idoso, na mesma Secretaria: R$ 261.000,00 para R$ 2.615.000,00 (9.98%). Razão de 9.07 vezes. A dotação existe, mas não há execução publicada nem identificação como fortalecimento do controle social.</w:t>
      </w:r>
      <w:r>
        <w:rPr>
          <w:rStyle w:val="FootnoteReference"/>
        </w:rPr>
        <w:footnoteReference w:id="16"/>
      </w:r>
      <w:r>
        <w:rPr>
          <w:rStyle w:val="FootnoteReference"/>
        </w:rPr>
        <w:footnoteReference w:id="27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EMD-01 — Canal de emendas rivaliza com a política pública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R$ 7.490.691,78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em emendas parlamentares destinadas à assistência social, sem plano de trabalho público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Orçamentária Anual 11.590/2026, anexos, Diário Oficial do Município, Edição 8697, de 09/01/2026, Edição Extra — </w:t>
      </w:r>
      <w:hyperlink w:history="1" r:id="rId6hv0o5hyp5ruhafcal0pw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p0cba-qrmasoahaayjgmd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Relação das emendas impositivas de 2026 destinadas à função 08, com autor, entidade e valor; 2) Processos de execução de cada emenda; 3) Planos de trabalho e prestações de contas das parcerias decorrentes; 4) Atos de deliberação prévia do Conselho sobre cada parceria; 5) Justificativa de dispensa de chamamento público publicada.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938 emendas somando R$ 178.223.847,86. Em assistência social: 65 emendas, R$ 7.490.691,78 — 26.3% de toda a função 08, que é de R$ 28.440.000,00. Emenda dispensa chamamento, mas não dispensa plano de trabalho, prestação de contas nem apreciação prévia do Conselho.</w:t>
      </w:r>
      <w:r>
        <w:rPr>
          <w:rStyle w:val="FootnoteReference"/>
        </w:rPr>
        <w:footnoteReference w:id="28"/>
      </w:r>
      <w:r>
        <w:rPr>
          <w:rStyle w:val="FootnoteReference"/>
        </w:rPr>
        <w:footnoteReference w:id="26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Indiciário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2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4"/>
          <w:szCs w:val="24"/>
        </w:rPr>
        <w:t xml:space="preserve">Pessoal e diárias</w:t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PES-01 — Folha de pagamento invisível no acervo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Não quantificável sem os documentos faltantes.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an-z4vkvmpfcc3otpkzhk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kmksrlw1bsyj8g8mx5z3r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Recursos Humanos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Folha de pagamento por competência, de 2024 a 2026, com cargo, forma de provimento e valor bruto; 2) Demonstrativo de despesa de pessoal por fonte de recursos; 3) Relação de servidores lotados nas unidades de assistência social.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Nenhuma linha de natureza 31901100 (Vencimentos e vantagens fixas). As rubricas do grupo 31 presentes são de exercícios anteriores e de ressarcimento de pessoal requisitado — não são a folha. Sem folha não se conta cargo, não se separa efetivo de comissionado e não se afere o teto de 30%.</w:t>
      </w:r>
      <w:r>
        <w:rPr>
          <w:rStyle w:val="FootnoteReference"/>
        </w:rPr>
        <w:footnoteReference w:id="4"/>
      </w:r>
      <w:r>
        <w:rPr>
          <w:rStyle w:val="FootnoteReference"/>
        </w:rPr>
        <w:footnoteReference w:id="6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PES-03 — Concessão de diárias praticamente ausente do acervo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Não quantificável sem os documentos faltantes.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qo688-l1wdzp_w5mcqbf8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xxeyydtjg-ebsm02ut77m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hyperlink w:history="1" r:id="rIdqfidjikl5dnu3ezbbhei2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Diário Oficial do Município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Relação de todas as diárias concedidas em 2026, com servidor, matrícula, destino, período, finalidade, quantidade e valor; 2) Atos de concessão publicados; 3) Norma municipal que fixa o valor das diárias.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 ato(s) de concessão localizado(s) em 161 eventos. Órgão com equipes volantes, conferências e reuniões regionais não concede uma diária por exercício. A ausência mede a publicidade, não a despesa.</w:t>
      </w:r>
      <w:r>
        <w:rPr>
          <w:rStyle w:val="FootnoteReference"/>
        </w:rPr>
        <w:footnoteReference w:id="1"/>
      </w:r>
      <w:r>
        <w:rPr>
          <w:rStyle w:val="FootnoteReference"/>
        </w:rPr>
        <w:footnoteReference w:id="30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PES-02 — Teto de 30% para pessoal não aferível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R$ 2.700,00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teto mensal de pessoal sobre a receita do Tesouro no Fundo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municipal 7.531/1995 — </w:t>
      </w:r>
      <w:hyperlink w:history="1" r:id="rIdjtlardaogzftov3tedm_n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qmfbkiinblkfcc1epdy2v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Recursos Humanos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hyperlink w:history="1" r:id="rIdc_q5ngy9np88dflrtjzrn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Responsabilidade Fiscal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Memória de cálculo do teto de trinta por cento previsto no artigo 4º, parágrafo único, da Lei municipal 7.531/1995; 2) Demonstrativo de receita do Fundo oriunda do Tesouro Municipal; 3) Demonstrativo de despesa de pessoal e custeio custeada por essa fonte.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Regra declarada e não avaliada. Documento necessário: receita do FMAS por fonte e despesa de pessoal custeada pelo Tesouro.</w:t>
      </w:r>
      <w:r>
        <w:rPr>
          <w:rStyle w:val="FootnoteReference"/>
        </w:rPr>
        <w:footnoteReference w:id="21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Sem documento para avaliar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PES-08 — Proporção entre efetivos e comissionados não aferível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Não quantificável sem os documentos faltantes.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fedfiiv8__kk9fbmdhmtx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5mzdtqbdgr1gxyi92nfdk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Recursos Humanos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Relação nominal do quadro, por competência, com forma de provimento; 2) Estrutura de cargos em comissão e respectivas atribuições; 3) Editais e homologações dos concursos vigentes.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Regra declarada e não avaliada. Documento necessário: relação nominal do quadro por competência, com forma de provimento.</w:t>
      </w:r>
      <w:r>
        <w:rPr>
          <w:rStyle w:val="FootnoteReference"/>
        </w:rPr>
        <w:footnoteReference w:id="31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Sem documento para avaliar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PES-09 — Equipe de referência mínima não aferível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Não quantificável sem os documentos faltantes.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qajbx-jrbmgcr01ge5ktw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00etgohhqnzz8vo1hta_e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Recursos Humanos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Quadro de lotação por unidade, com formação profissional de cada integrante; 2) Relação de unidades em funcionamento, com endereço e capacidade.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Regra declarada e não avaliada. Documento necessário: quadro de lotação por unidade (CRAS, CREAS, Centro POP).</w:t>
      </w:r>
      <w:r>
        <w:rPr>
          <w:rStyle w:val="FootnoteReference"/>
        </w:rPr>
        <w:footnoteReference w:id="31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Sem documento para avaliar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2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4"/>
          <w:szCs w:val="24"/>
        </w:rPr>
        <w:t xml:space="preserve">Confiabilidade dos dados</w:t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SYS-02 — Classificação por natureza desalinhada do valor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R$ 10.858.000,00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classificados em grupo econômico divergente do rótulo do próprio registro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4pzycgdh6dp21z2_igr4t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smb4fv8wh0onudsfztmsz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Quadro de Detalhamento de Despesas em formato aberto e estruturado; 2) Relação de despesas com natureza de dez dígitos, incluído o subitem.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68 registros de 2026 com natureza divergente do rótulo; 21 trocam de grupo econômico, somando R$ 9.281.000,00. Bolsões por natureza são indiciários até a correção.</w:t>
      </w:r>
      <w:r>
        <w:rPr>
          <w:rStyle w:val="FootnoteReference"/>
        </w:rPr>
        <w:footnoteReference w:id="8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SYS-03 — Soma de repasses excede o total da função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Não quantificável sem os documentos faltantes.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goyae-gmfxbexrgisjiqi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oh_mpmhmii85723wdmjiq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Relação de repasses a entidades, por instrumento, com valor individualizado; 2) Demonstrativo de execução por credor.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R$ 183.427.737,85 atribuídos a entidades contra R$ 53.810.573,26 de total rastreado — 3.41 vezes. Impossível. Causa: um valor de publicação replicado por inscrição. Não use a tabela de maiores valores sem triagem.</w:t>
      </w:r>
      <w:r>
        <w:rPr>
          <w:rStyle w:val="FootnoteReference"/>
        </w:rPr>
        <w:footnoteReference w:id="6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2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4"/>
          <w:szCs w:val="24"/>
        </w:rPr>
        <w:t xml:space="preserve">Receita e despesa</w:t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REC-03 — Rendimento de aplicação incompatível com execução regular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R$ 2.574.000,00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rendimento de aplicação, indício de recurso parado sem execução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Orçamentária Anual 11.590/2026, anexos, Diário Oficial do Município, Edição 8697, de 09/01/2026, Edição Extra — </w:t>
      </w:r>
      <w:hyperlink w:history="1" r:id="rIdgadm50lpdzotoogw3x0ba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woc20acbizjsux19gs72j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nd_6ldcppj2ucrgfu0xuy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Responsabilidade Fiscal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Balanço Patrimonial de 2025, com demonstrativo do superávit financeiro por fonte; 2) Extratos de aplicação financeira do Fundo, mês a mês; 3) Decretos de crédito adicional de 2026, com a respectiva fonte de recursos e memória de cálculo; 4) Demonstrativo de saldo por fonte ao fim de cada exercício.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Receita patrimonial de R$ 2.574.000,00 sobre Fundo de R$ 23.218.000,00 — 11.1%. Pressupõe saldo médio aplicado próximo do orçamento anual inteiro. Confirmado pelo outro lado: R$ 33.059.000,00 em créditos de 2026 abertos contra fontes de exercícios anteriores.</w:t>
      </w:r>
      <w:r>
        <w:rPr>
          <w:rStyle w:val="FootnoteReference"/>
        </w:rPr>
        <w:footnoteReference w:id="9"/>
      </w:r>
      <w:r>
        <w:rPr>
          <w:rStyle w:val="FootnoteReference"/>
        </w:rPr>
        <w:footnoteReference w:id="5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Indiciário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Média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2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4"/>
          <w:szCs w:val="24"/>
        </w:rPr>
        <w:t xml:space="preserve">Pessoal e diárias</w:t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PES-04 — Prestação de contas de deslocamento não localizada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Não quantificável sem os documentos faltantes.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-fuknczmbuzbr1jsnziwf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szwpqwvinihs2f_muk9cu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Relatórios de viagem de cada deslocamento; 2) Comprovantes de deslocamento e de hospedagem; 3) Comprovantes de devolução de diárias não utilizadas.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Nenhum relatório de viagem, comprovante de deslocamento ou devolução de diária não utilizada consta do acervo. A liquidação exige verificação do direito adquirido pelo credor, com base em títulos e documentos comprobatórios.</w:t>
      </w:r>
      <w:r>
        <w:rPr>
          <w:rStyle w:val="FootnoteReference"/>
        </w:rPr>
        <w:footnoteReference w:id="11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Média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2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4"/>
          <w:szCs w:val="24"/>
        </w:rPr>
        <w:t xml:space="preserve">Confiabilidade dos dados</w:t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SYS-05 — Lista de entidades contaminada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Não quantificável sem os documentos faltantes.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gxjw02m7p_j_ezvsv0l95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uajxm3nqu28b1skrxlo2y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Relação de entidades inscritas no Conselho, com inscrição vigente; 2) Cadastro de credores da função 08.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8 inscrições na lista de entidades são o próprio Município, outra Secretaria, outro ente federado ou matéria de saúde. Triagem obrigatória antes de qualquer peça.</w:t>
      </w:r>
      <w:r>
        <w:rPr>
          <w:rStyle w:val="FootnoteReference"/>
        </w:rPr>
        <w:footnoteReference w:id="6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Média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6"/>
          <w:szCs w:val="26"/>
        </w:rPr>
        <w:t xml:space="preserve">V — Providências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Requerer os documentos faltantes.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à Secretaria, com fundamento nos artigos 10 e 11 da Lei 12.527/2011. Prazo de resposta de vinte dias, prorrogável por dez.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Canal: </w:t>
      </w:r>
      <w:hyperlink w:history="1" r:id="rIdsvq2hflijqqpwk3ztkrhf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Acesso à Informação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Representar ao Tribunal de Contas dos Municípios.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quanto ao aporte próprio de nove mil reais, ao piso do Índice de Gestão Descentralizada e à interrupção da publicação oficial.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Canal: </w:t>
      </w:r>
      <w:hyperlink w:history="1" r:id="rIdo3zclm93d4vmlyqac3-em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Tribunal de Contas dos Municípios do Estado de Goiás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Comunicar à Secretaria Nacional de Assistência Social.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o descumprimento da condição de repasse, que autoriza a suspensão de R$ 8.250.000,00.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Provocar o próprio Conselho.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 deliberar sobre a apreciação mensal das contas e sobre a aplicação do Índice, matéria de sua competência privativa.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Canal: </w:t>
      </w:r>
      <w:hyperlink w:history="1" r:id="rIdc4rkqycdnnm-hxuqe6kn8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Sítio do Conselho Municipal de Assistência Social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1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6"/>
          <w:szCs w:val="26"/>
        </w:rPr>
        <w:t xml:space="preserve">VI — Ressalva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Este parecer resulta de análise automatizada sobre acervo público, revisada quanto ao método. Não substitui a revisão do advogado constituído</w:t>
      </w:r>
      <w:r>
        <w:rPr>
          <w:rStyle w:val="FootnoteReference"/>
        </w:rPr>
        <w:footnoteReference w:id="32"/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, nem constitui peça processual antes dela.</w:t>
      </w:r>
    </w:p>
    <w:sectPr>
      <w:footerReference w:type="default" r:id="rId7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Bookman Old Style" w:cs="Bookman Old Style" w:eastAsia="Bookman Old Style" w:hAnsi="Bookman Old Style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  <w:footnote w:id="1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37, caput, da Constituição Federal: a administração pública obedecerá ao princípio da publicidade.</w:t>
      </w:r>
    </w:p>
  </w:footnote>
  <w:footnote w:id="2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8º da Lei 12.527/2011: é dever do órgão divulgar informação de interesse coletivo independentemente de requerimento.</w:t>
      </w:r>
    </w:p>
  </w:footnote>
  <w:footnote w:id="3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8º, § 3º, incisos III e VI, da Lei 12.527/2011: acesso automatizado em formato aberto e informação atualizada.</w:t>
      </w:r>
    </w:p>
  </w:footnote>
  <w:footnote w:id="4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8º, § 1º, inciso III, da Lei 12.527/2011: divulgação obrigatória do registro das despesas.</w:t>
      </w:r>
    </w:p>
  </w:footnote>
  <w:footnote w:id="5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48 da Lei Complementar 101/2000: orçamentos, prestações de contas, Relatório Resumido da Execução Orçamentária e Relatório de Gestão Fiscal são instrumentos de transparência, com ampla divulgação.</w:t>
      </w:r>
    </w:p>
  </w:footnote>
  <w:footnote w:id="6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48-A, inciso I, da Lei Complementar 101/2000: divulgação de todo ato da execução da despesa, com processo, bem ou serviço, beneficiário e procedimento licitatório.</w:t>
      </w:r>
    </w:p>
  </w:footnote>
  <w:footnote w:id="7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6º da Lei 4.320/1964: todas as receitas e despesas constarão da Lei de Orçamento pelos seus totais.</w:t>
      </w:r>
    </w:p>
  </w:footnote>
  <w:footnote w:id="8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13 da Lei 4.320/1964: a despesa será discriminada por categoria econômica, grupo, modalidade e elemento.</w:t>
      </w:r>
    </w:p>
  </w:footnote>
  <w:footnote w:id="9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43, § 1º, inciso I, da Lei 4.320/1964: crédito adicional por superávit financeiro exige superávit apurado em balanço patrimonial.</w:t>
      </w:r>
    </w:p>
  </w:footnote>
  <w:footnote w:id="10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58 da Lei 4.320/1964: empenho é o ato que cria para o Estado obrigação de pagamento.</w:t>
      </w:r>
    </w:p>
  </w:footnote>
  <w:footnote w:id="11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63 da Lei 4.320/1964: a liquidação consiste na verificação do direito adquirido pelo credor, com base em títulos e documentos comprobatórios.</w:t>
      </w:r>
    </w:p>
  </w:footnote>
  <w:footnote w:id="12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30, parágrafo único, da Lei 8.742/1993: é condição para transferência do Fundo Nacional a comprovação orçamentária de recursos próprios alocados no Fundo.</w:t>
      </w:r>
    </w:p>
  </w:footnote>
  <w:footnote w:id="13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30-A da Lei 8.742/1993: o cofinanciamento se efetua mediante alocação de recursos próprios nos fundos nas três esferas.</w:t>
      </w:r>
    </w:p>
  </w:footnote>
  <w:footnote w:id="14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12-A, § 4º, da Lei 8.742/1993: percentual do Índice de Gestão Descentralizada deve custear apoio ao Conselho, vedado o pagamento de pessoal efetivo e gratificações.</w:t>
      </w:r>
    </w:p>
  </w:footnote>
  <w:footnote w:id="15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6º da Resolução CNAS/MDS 202/2025: no mínimo 10% do valor repassado mensalmente pelo Índice de Gestão Descentralizada ao controle social.</w:t>
      </w:r>
    </w:p>
  </w:footnote>
  <w:footnote w:id="16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6º, § 4º, da Resolução CNAS/MDS 202/2025: dotação orçamentária específica de fortalecimento do controle social no Quadro de Detalhamento de Despesas, a partir de 2026.</w:t>
      </w:r>
    </w:p>
  </w:footnote>
  <w:footnote w:id="17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6º, § 5º, da Resolução CNAS/MDS 202/2025: prestação de contas a cada quatro meses ao Conselho.</w:t>
      </w:r>
    </w:p>
  </w:footnote>
  <w:footnote w:id="18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6º, § 6º, da Resolução CNAS/MDS 202/2025: em caso de descumprimento, o ente terá seus repasses bloqueados até comprovar o cumprimento.</w:t>
      </w:r>
    </w:p>
  </w:footnote>
  <w:footnote w:id="19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14, § 7º, da Lei 14.601/2023: no mínimo 3% dos recursos do Índice destinados ao apoio ao Conselho de Assistência Social.</w:t>
      </w:r>
    </w:p>
  </w:footnote>
  <w:footnote w:id="20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2º, § 1º, da Lei municipal 7.531/1995: a dotação do órgão responsável pela assistência social será automaticamente transferida ao Fundo.</w:t>
      </w:r>
    </w:p>
  </w:footnote>
  <w:footnote w:id="21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4º, parágrafo único, da Lei municipal 7.531/1995: até 30% dos recursos do Tesouro Municipal podem custear pessoal e custeio das finalidades essenciais.</w:t>
      </w:r>
    </w:p>
  </w:footnote>
  <w:footnote w:id="22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5º da Lei municipal 7.531/1995: o repasse a entidades far-se-á por intermédio do Fundo.</w:t>
      </w:r>
    </w:p>
  </w:footnote>
  <w:footnote w:id="23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10, § 2º, da Lei municipal 9.009/2010: as Resoluções do Conselho serão publicadas no Diário Oficial do Município.</w:t>
      </w:r>
    </w:p>
  </w:footnote>
  <w:footnote w:id="24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10, caput, da Lei municipal 9.009/2010: todas as sessões do Conselho serão públicas.</w:t>
      </w:r>
    </w:p>
  </w:footnote>
  <w:footnote w:id="25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2º, inciso IV, alínea b, da Lei municipal 9.009/2010: compete ao Conselho apreciar mensalmente as contas e os relatórios do Fundo.</w:t>
      </w:r>
    </w:p>
  </w:footnote>
  <w:footnote w:id="26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2º, inciso IX, da Lei municipal 9.009/2010: compete ao Conselho apreciar previamente os contratos e convênios.</w:t>
      </w:r>
    </w:p>
  </w:footnote>
  <w:footnote w:id="27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8º da Lei municipal 9.009/2010: o órgão gestor prestará apoio técnico, administrativo e financeiro ao Conselho.</w:t>
      </w:r>
    </w:p>
  </w:footnote>
  <w:footnote w:id="28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Artigos 29, 42 e 63 da Lei 13.019/2014: emenda parlamentar dispensa chamamento, mas não dispensa plano de trabalho nem prestação de contas.</w:t>
      </w:r>
    </w:p>
  </w:footnote>
  <w:footnote w:id="29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193, inciso II, da Lei 14.133/2021: a Lei 8.666/1993 está revogada desde 30 de dezembro de 2023.</w:t>
      </w:r>
    </w:p>
  </w:footnote>
  <w:footnote w:id="30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50 da Lei 9.784/1999: os atos administrativos deverão ser motivados, com indicação dos fatos e fundamentos jurídicos.</w:t>
      </w:r>
    </w:p>
  </w:footnote>
  <w:footnote w:id="31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37, incisos II e V, da Constituição Federal: investidura depende de concurso; cargo em comissão destina-se a direção, chefia e assessoramento.</w:t>
      </w:r>
    </w:p>
  </w:footnote>
  <w:footnote w:id="32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32 da Lei 8.906/1994: o advogado é responsável pelos atos que praticar com dolo ou culpa.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ookman Old Style" w:cs="Bookman Old Style" w:eastAsia="Bookman Old Style" w:hAnsi="Bookman Old Style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jc w:val="center"/>
      <w:outlineLvl w:val="0"/>
    </w:pPr>
    <w:rPr>
      <w:rFonts w:ascii="Bookman Old Style" w:cs="Bookman Old Style" w:eastAsia="Bookman Old Style" w:hAnsi="Bookman Old Style"/>
      <w:b/>
      <w:bCs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20" w:before="240"/>
      <w:jc w:val="center"/>
      <w:outlineLvl w:val="1"/>
    </w:pPr>
    <w:rPr>
      <w:rFonts w:ascii="Bookman Old Style" w:cs="Bookman Old Style" w:eastAsia="Bookman Old Style" w:hAnsi="Bookman Old Style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100" w:before="200"/>
      <w:jc w:val="center"/>
      <w:outlineLvl w:val="2"/>
    </w:pPr>
    <w:rPr>
      <w:rFonts w:ascii="Bookman Old Style" w:cs="Bookman Old Style" w:eastAsia="Bookman Old Style" w:hAnsi="Bookman Old Style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dzposfk9lranfzgift6vf" Type="http://schemas.openxmlformats.org/officeDocument/2006/relationships/hyperlink" Target="https://www.goiania.go.gov.br/html/gabinete_civil/sileg/dados/legis/2026/lo_20260109_000011590_ane_000000001.pdf" TargetMode="External"/><Relationship Id="rIdto9ti1w7tt2yatlcvd0yn" Type="http://schemas.openxmlformats.org/officeDocument/2006/relationships/hyperlink" Target="https://www.goiania.go.gov.br/transparencia/?filtro_simplificado=categoria&amp;categoria=49" TargetMode="External"/><Relationship Id="rIdnbnpbmoe-i25b5gvzqtvz" Type="http://schemas.openxmlformats.org/officeDocument/2006/relationships/hyperlink" Target="https://www.goiania.go.gov.br/transparencia/?filtro_simplificado=categoria&amp;categoria=52" TargetMode="External"/><Relationship Id="rIdbyrqlvvd9ppfcoeu3cfri" Type="http://schemas.openxmlformats.org/officeDocument/2006/relationships/hyperlink" Target="https://www.goiania.go.gov.br/transparencia/?filtro_simplificado=categoria&amp;categoria=49" TargetMode="External"/><Relationship Id="rIdaf-nkdj3lqvpvamfrpnca" Type="http://schemas.openxmlformats.org/officeDocument/2006/relationships/hyperlink" Target="https://www.goiania.go.gov.br/transparencia/?filtro_simplificado=categoria&amp;categoria=55" TargetMode="External"/><Relationship Id="rId8bx5tc8rg0nptqyp_o7s1" Type="http://schemas.openxmlformats.org/officeDocument/2006/relationships/hyperlink" Target="https://www.goiania.go.gov.br/transparencia/?filtro_simplificado=categoria&amp;categoria=49" TargetMode="External"/><Relationship Id="rIdgbxxjemka0pdrqgh_z78h" Type="http://schemas.openxmlformats.org/officeDocument/2006/relationships/hyperlink" Target="https://cmasgyn.com.br/Documentos" TargetMode="External"/><Relationship Id="rId4cndzcy3chbdriy2opjy1" Type="http://schemas.openxmlformats.org/officeDocument/2006/relationships/hyperlink" Target="https://sileg.goiania.go.gov.br/geral/do_20260729_000008830.pdf" TargetMode="External"/><Relationship Id="rIdohprfdys6hcxfvhnmjqzh" Type="http://schemas.openxmlformats.org/officeDocument/2006/relationships/hyperlink" Target="https://github.com/amcjardimamerica-arch/cmasgyn-vigilancia/tree/main/dados" TargetMode="External"/><Relationship Id="rIdwavzs9qks6tespv6hu9jr" Type="http://schemas.openxmlformats.org/officeDocument/2006/relationships/hyperlink" Target="https://www.goiania.go.gov.br/casa-civil/diario-oficial/" TargetMode="External"/><Relationship Id="rIdjdby7md5667-elxh2lab1" Type="http://schemas.openxmlformats.org/officeDocument/2006/relationships/hyperlink" Target="https://github.com/amcjardimamerica-arch/cmasgyn-vigilancia/tree/main/dados" TargetMode="External"/><Relationship Id="rIdkyacopjcqujlwael6efw1" Type="http://schemas.openxmlformats.org/officeDocument/2006/relationships/hyperlink" Target="https://cmasgyn.com.br/Documentos" TargetMode="External"/><Relationship Id="rIdsixowwjhb0mdqfjgdl6re" Type="http://schemas.openxmlformats.org/officeDocument/2006/relationships/hyperlink" Target="https://www.goiania.go.gov.br/casa-civil/diario-oficial/" TargetMode="External"/><Relationship Id="rIddxk0prrldhq_gd3e30uoe" Type="http://schemas.openxmlformats.org/officeDocument/2006/relationships/hyperlink" Target="https://cmasgyn.com.br/Documentos" TargetMode="External"/><Relationship Id="rIdvsl7lr5jdl04kta5y_xeo" Type="http://schemas.openxmlformats.org/officeDocument/2006/relationships/hyperlink" Target="https://www.goiania.go.gov.br/html/gabinete_civil/sileg/dados/legis/2026/lo_20260109_000011590_ane_000000001.pdf" TargetMode="External"/><Relationship Id="rIdt37hecsfn3hjamzddcf1q" Type="http://schemas.openxmlformats.org/officeDocument/2006/relationships/hyperlink" Target="https://www.goiania.go.gov.br/html/gabinete_civil/sileg/dados/legis/2025/lo_20250107_000011315_ane_000000001.pdf" TargetMode="External"/><Relationship Id="rIdd0tdc3vgrd9rgdl7jnwfc" Type="http://schemas.openxmlformats.org/officeDocument/2006/relationships/hyperlink" Target="https://www.goiania.go.gov.br/transparencia/?filtro_simplificado=categoria&amp;categoria=52" TargetMode="External"/><Relationship Id="rIdans4obczminkvqlmjo8h9" Type="http://schemas.openxmlformats.org/officeDocument/2006/relationships/hyperlink" Target="https://www.goiania.go.gov.br/sec/financas/" TargetMode="External"/><Relationship Id="rIdhglaz7t3rtejd_csrdggz" Type="http://schemas.openxmlformats.org/officeDocument/2006/relationships/hyperlink" Target="https://github.com/amcjardimamerica-arch/cmasgyn-vigilancia/tree/main/dados" TargetMode="External"/><Relationship Id="rIdcluecdffogwvhmqk9-0fo" Type="http://schemas.openxmlformats.org/officeDocument/2006/relationships/hyperlink" Target="https://www.goiania.go.gov.br/transparencia/?filtro_simplificado=categoria&amp;categoria=49" TargetMode="External"/><Relationship Id="rIdwilpxmu2jyee_kn2psbtk" Type="http://schemas.openxmlformats.org/officeDocument/2006/relationships/hyperlink" Target="https://www.goiania.go.gov.br/html/gabinete_civil/sileg/dados/legis/2026/lo_20260109_000011590_ane_000000001.pdf" TargetMode="External"/><Relationship Id="rId1pweddlzpotpcqacbvjpa" Type="http://schemas.openxmlformats.org/officeDocument/2006/relationships/hyperlink" Target="https://www.goiania.go.gov.br/html/gabinete_civil/sileg/dados/legis/1995/lo_19951226_000007531.html" TargetMode="External"/><Relationship Id="rIdtz6jftczc7dirq4z4hm1t" Type="http://schemas.openxmlformats.org/officeDocument/2006/relationships/hyperlink" Target="https://www.goiania.go.gov.br/transparencia/?filtro_simplificado=categoria&amp;categoria=49" TargetMode="External"/><Relationship Id="rId2t65ux9lihxmjo1eizhnm" Type="http://schemas.openxmlformats.org/officeDocument/2006/relationships/hyperlink" Target="https://www.goiania.go.gov.br/transparencia/?filtro_simplificado=categoria&amp;categoria=52" TargetMode="External"/><Relationship Id="rIdpvbsj8kqmad3x3lfwck71" Type="http://schemas.openxmlformats.org/officeDocument/2006/relationships/hyperlink" Target="https://www.goiania.go.gov.br/html/gabinete_civil/sileg/dados/legis/2026/lo_20260109_000011590_ane_000000001.pdf" TargetMode="External"/><Relationship Id="rIdrxqgm21xmzfppbnrmgzod" Type="http://schemas.openxmlformats.org/officeDocument/2006/relationships/hyperlink" Target="https://www.gov.br/participamaisbrasil/blob/baixar/73611" TargetMode="External"/><Relationship Id="rIdubkenkhmhhcyccpxubijx" Type="http://schemas.openxmlformats.org/officeDocument/2006/relationships/hyperlink" Target="https://www.goiania.go.gov.br/transparencia/?filtro_simplificado=categoria&amp;categoria=49" TargetMode="External"/><Relationship Id="rId6_smdv5htq1hwtqr6njvt" Type="http://schemas.openxmlformats.org/officeDocument/2006/relationships/hyperlink" Target="https://cmasgyn.com.br/Documentos" TargetMode="External"/><Relationship Id="rIdxldxfcrq-waaso5ko_swe" Type="http://schemas.openxmlformats.org/officeDocument/2006/relationships/hyperlink" Target="https://www.gov.br/participamaisbrasil/blob/baixar/73611" TargetMode="External"/><Relationship Id="rIdsao1hyhuwbdq2gwo4qohw" Type="http://schemas.openxmlformats.org/officeDocument/2006/relationships/hyperlink" Target="https://www.goiania.go.gov.br/transparencia/?filtro_simplificado=categoria&amp;categoria=55" TargetMode="External"/><Relationship Id="rIdtx_u71fi726kfkn9ikljf" Type="http://schemas.openxmlformats.org/officeDocument/2006/relationships/hyperlink" Target="https://cmasgyn.com.br/Documentos" TargetMode="External"/><Relationship Id="rIdvmqfua6qctbq4hgxgcpzn" Type="http://schemas.openxmlformats.org/officeDocument/2006/relationships/hyperlink" Target="https://cmasgyn.com.br/Documentos" TargetMode="External"/><Relationship Id="rIdmgnffbx_hvvgaeuq8thw0" Type="http://schemas.openxmlformats.org/officeDocument/2006/relationships/hyperlink" Target="https://www.goiania.go.gov.br/transparencia/?filtro_simplificado=categoria&amp;categoria=50" TargetMode="External"/><Relationship Id="rIdifdk5bgibq0skdmnwvtyb" Type="http://schemas.openxmlformats.org/officeDocument/2006/relationships/hyperlink" Target="https://github.com/amcjardimamerica-arch/cmasgyn-vigilancia/tree/main/dados" TargetMode="External"/><Relationship Id="rIdsgy7jcv05ps-haa7qsih7" Type="http://schemas.openxmlformats.org/officeDocument/2006/relationships/hyperlink" Target="https://cmasgyn.com.br/Documentos" TargetMode="External"/><Relationship Id="rIddpfjgt1ux8jhursprrt7r" Type="http://schemas.openxmlformats.org/officeDocument/2006/relationships/hyperlink" Target="https://www.goiania.go.gov.br/transparencia/?filtro_simplificado=categoria&amp;categoria=52" TargetMode="External"/><Relationship Id="rIdpzsxsa8gcfth56oaiidtz" Type="http://schemas.openxmlformats.org/officeDocument/2006/relationships/hyperlink" Target="https://www.gov.br/participamaisbrasil/blob/baixar/73611" TargetMode="External"/><Relationship Id="rIdmbpe_y4zd46qz1ud4alzq" Type="http://schemas.openxmlformats.org/officeDocument/2006/relationships/hyperlink" Target="https://cmasgyn.com.br/Documentos" TargetMode="External"/><Relationship Id="rIdryrc3g4ogagqzmunaoikh" Type="http://schemas.openxmlformats.org/officeDocument/2006/relationships/hyperlink" Target="https://github.com/amcjardimamerica-arch/cmasgyn-vigilancia/tree/main/dados" TargetMode="External"/><Relationship Id="rId3mkasn7ffzeao35el0gpy" Type="http://schemas.openxmlformats.org/officeDocument/2006/relationships/hyperlink" Target="https://www.goiania.go.gov.br/transparencia/?filtro_simplificado=categoria&amp;categoria=49" TargetMode="External"/><Relationship Id="rIdqqo76ssyjvscgfyfi_tck" Type="http://schemas.openxmlformats.org/officeDocument/2006/relationships/hyperlink" Target="https://www.goiania.go.gov.br/html/gabinete_civil/sileg/dados/legis/2026/lo_20260109_000011590_ane_000000001.pdf" TargetMode="External"/><Relationship Id="rIdkqnjg01lzaxc8gh7ot9ee" Type="http://schemas.openxmlformats.org/officeDocument/2006/relationships/hyperlink" Target="https://www.goiania.go.gov.br/transparencia/?filtro_simplificado=categoria&amp;categoria=49" TargetMode="External"/><Relationship Id="rId19icxlxywnqkntdmvuxfo" Type="http://schemas.openxmlformats.org/officeDocument/2006/relationships/hyperlink" Target="https://www.goiania.go.gov.br/html/gabinete_civil/sileg/dados/legis/2026/lo_20260109_000011590_ane_000000001.pdf" TargetMode="External"/><Relationship Id="rIdj2ji-xkx8n_nnwvyc1n1d" Type="http://schemas.openxmlformats.org/officeDocument/2006/relationships/hyperlink" Target="https://www.goiania.go.gov.br/transparencia/?filtro_simplificado=categoria&amp;categoria=49" TargetMode="External"/><Relationship Id="rIdr2nzdbzkihsrark4atjdp" Type="http://schemas.openxmlformats.org/officeDocument/2006/relationships/hyperlink" Target="https://www.goiania.go.gov.br/html/gabinete_civil/sileg/dados/legis/2026/lo_20260109_000011590_ane_000000001.pdf" TargetMode="External"/><Relationship Id="rId8ubcizziz0q4_atps0hqu" Type="http://schemas.openxmlformats.org/officeDocument/2006/relationships/hyperlink" Target="https://www.goiania.go.gov.br/html/gabinete_civil/sileg/dados/legis/2010/lo_20101230_000009009.html" TargetMode="External"/><Relationship Id="rIdm-nya_djezmnnhttza1ez" Type="http://schemas.openxmlformats.org/officeDocument/2006/relationships/hyperlink" Target="https://www.goiania.go.gov.br/transparencia/?filtro_simplificado=categoria&amp;categoria=49" TargetMode="External"/><Relationship Id="rId6hv0o5hyp5ruhafcal0pw" Type="http://schemas.openxmlformats.org/officeDocument/2006/relationships/hyperlink" Target="https://www.goiania.go.gov.br/html/gabinete_civil/sileg/dados/legis/2026/lo_20260109_000011590_ane_000000001.pdf" TargetMode="External"/><Relationship Id="rIdp0cba-qrmasoahaayjgmd" Type="http://schemas.openxmlformats.org/officeDocument/2006/relationships/hyperlink" Target="https://www.goiania.go.gov.br/transparencia/?filtro_simplificado=categoria&amp;categoria=49" TargetMode="External"/><Relationship Id="rIdan-z4vkvmpfcc3otpkzhk" Type="http://schemas.openxmlformats.org/officeDocument/2006/relationships/hyperlink" Target="https://github.com/amcjardimamerica-arch/cmasgyn-vigilancia/tree/main/dados" TargetMode="External"/><Relationship Id="rIdkmksrlw1bsyj8g8mx5z3r" Type="http://schemas.openxmlformats.org/officeDocument/2006/relationships/hyperlink" Target="https://www.goiania.go.gov.br/transparencia/?filtro_simplificado=categoria&amp;categoria=55" TargetMode="External"/><Relationship Id="rIdqo688-l1wdzp_w5mcqbf8" Type="http://schemas.openxmlformats.org/officeDocument/2006/relationships/hyperlink" Target="https://github.com/amcjardimamerica-arch/cmasgyn-vigilancia/tree/main/dados" TargetMode="External"/><Relationship Id="rIdxxeyydtjg-ebsm02ut77m" Type="http://schemas.openxmlformats.org/officeDocument/2006/relationships/hyperlink" Target="https://www.goiania.go.gov.br/transparencia/?filtro_simplificado=categoria&amp;categoria=49" TargetMode="External"/><Relationship Id="rIdqfidjikl5dnu3ezbbhei2" Type="http://schemas.openxmlformats.org/officeDocument/2006/relationships/hyperlink" Target="https://www.goiania.go.gov.br/casa-civil/diario-oficial/" TargetMode="External"/><Relationship Id="rIdjtlardaogzftov3tedm_n" Type="http://schemas.openxmlformats.org/officeDocument/2006/relationships/hyperlink" Target="https://www.goiania.go.gov.br/html/gabinete_civil/sileg/dados/legis/1995/lo_19951226_000007531.html" TargetMode="External"/><Relationship Id="rIdqmfbkiinblkfcc1epdy2v" Type="http://schemas.openxmlformats.org/officeDocument/2006/relationships/hyperlink" Target="https://www.goiania.go.gov.br/transparencia/?filtro_simplificado=categoria&amp;categoria=55" TargetMode="External"/><Relationship Id="rIdc_q5ngy9np88dflrtjzrn" Type="http://schemas.openxmlformats.org/officeDocument/2006/relationships/hyperlink" Target="https://www.goiania.go.gov.br/transparencia/?filtro_simplificado=categoria&amp;categoria=52" TargetMode="External"/><Relationship Id="rIdfedfiiv8__kk9fbmdhmtx" Type="http://schemas.openxmlformats.org/officeDocument/2006/relationships/hyperlink" Target="https://github.com/amcjardimamerica-arch/cmasgyn-vigilancia/tree/main/dados" TargetMode="External"/><Relationship Id="rId5mzdtqbdgr1gxyi92nfdk" Type="http://schemas.openxmlformats.org/officeDocument/2006/relationships/hyperlink" Target="https://www.goiania.go.gov.br/transparencia/?filtro_simplificado=categoria&amp;categoria=55" TargetMode="External"/><Relationship Id="rIdqajbx-jrbmgcr01ge5ktw" Type="http://schemas.openxmlformats.org/officeDocument/2006/relationships/hyperlink" Target="https://github.com/amcjardimamerica-arch/cmasgyn-vigilancia/tree/main/dados" TargetMode="External"/><Relationship Id="rId00etgohhqnzz8vo1hta_e" Type="http://schemas.openxmlformats.org/officeDocument/2006/relationships/hyperlink" Target="https://www.goiania.go.gov.br/transparencia/?filtro_simplificado=categoria&amp;categoria=55" TargetMode="External"/><Relationship Id="rId4pzycgdh6dp21z2_igr4t" Type="http://schemas.openxmlformats.org/officeDocument/2006/relationships/hyperlink" Target="https://github.com/amcjardimamerica-arch/cmasgyn-vigilancia/tree/main/dados" TargetMode="External"/><Relationship Id="rIdsmb4fv8wh0onudsfztmsz" Type="http://schemas.openxmlformats.org/officeDocument/2006/relationships/hyperlink" Target="https://www.goiania.go.gov.br/transparencia/?filtro_simplificado=categoria&amp;categoria=49" TargetMode="External"/><Relationship Id="rIdgoyae-gmfxbexrgisjiqi" Type="http://schemas.openxmlformats.org/officeDocument/2006/relationships/hyperlink" Target="https://github.com/amcjardimamerica-arch/cmasgyn-vigilancia/tree/main/dados" TargetMode="External"/><Relationship Id="rIdoh_mpmhmii85723wdmjiq" Type="http://schemas.openxmlformats.org/officeDocument/2006/relationships/hyperlink" Target="https://www.goiania.go.gov.br/transparencia/?filtro_simplificado=categoria&amp;categoria=49" TargetMode="External"/><Relationship Id="rIdgadm50lpdzotoogw3x0ba" Type="http://schemas.openxmlformats.org/officeDocument/2006/relationships/hyperlink" Target="https://www.goiania.go.gov.br/html/gabinete_civil/sileg/dados/legis/2026/lo_20260109_000011590_ane_000000001.pdf" TargetMode="External"/><Relationship Id="rIdwoc20acbizjsux19gs72j" Type="http://schemas.openxmlformats.org/officeDocument/2006/relationships/hyperlink" Target="https://github.com/amcjardimamerica-arch/cmasgyn-vigilancia/tree/main/dados" TargetMode="External"/><Relationship Id="rIdnd_6ldcppj2ucrgfu0xuy" Type="http://schemas.openxmlformats.org/officeDocument/2006/relationships/hyperlink" Target="https://www.goiania.go.gov.br/transparencia/?filtro_simplificado=categoria&amp;categoria=52" TargetMode="External"/><Relationship Id="rId-fuknczmbuzbr1jsnziwf" Type="http://schemas.openxmlformats.org/officeDocument/2006/relationships/hyperlink" Target="https://github.com/amcjardimamerica-arch/cmasgyn-vigilancia/tree/main/dados" TargetMode="External"/><Relationship Id="rIdszwpqwvinihs2f_muk9cu" Type="http://schemas.openxmlformats.org/officeDocument/2006/relationships/hyperlink" Target="https://www.goiania.go.gov.br/transparencia/?filtro_simplificado=categoria&amp;categoria=49" TargetMode="External"/><Relationship Id="rIdgxjw02m7p_j_ezvsv0l95" Type="http://schemas.openxmlformats.org/officeDocument/2006/relationships/hyperlink" Target="https://github.com/amcjardimamerica-arch/cmasgyn-vigilancia/tree/main/dados" TargetMode="External"/><Relationship Id="rIduajxm3nqu28b1skrxlo2y" Type="http://schemas.openxmlformats.org/officeDocument/2006/relationships/hyperlink" Target="https://www.goiania.go.gov.br/transparencia/?filtro_simplificado=categoria&amp;categoria=49" TargetMode="External"/><Relationship Id="rIdsvq2hflijqqpwk3ztkrhf" Type="http://schemas.openxmlformats.org/officeDocument/2006/relationships/hyperlink" Target="https://www.goiania.go.gov.br/transparencia/?filtro_simplificado=categoria&amp;categoria=50" TargetMode="External"/><Relationship Id="rIdo3zclm93d4vmlyqac3-em" Type="http://schemas.openxmlformats.org/officeDocument/2006/relationships/hyperlink" Target="https://www.tcmgo.tc.br" TargetMode="External"/><Relationship Id="rIdc4rkqycdnnm-hxuqe6kn8" Type="http://schemas.openxmlformats.org/officeDocument/2006/relationships/hyperlink" Target="https://cmasgyn.com.br/Documentos" TargetMode="External"/><Relationship Id="rId8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Parecer de Fiscalização — 2026</dc:title>
  <dc:creator>AMC Jardim América</dc:creator>
  <cp:lastModifiedBy>Un-named</cp:lastModifiedBy>
  <cp:revision>1</cp:revision>
  <dcterms:created xsi:type="dcterms:W3CDTF">2026-08-26T11:05:09.447Z</dcterms:created>
  <dcterms:modified xsi:type="dcterms:W3CDTF">2026-08-26T11:05:09.447Z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