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Bookman Old Style" w:cs="Bookman Old Style" w:eastAsia="Bookman Old Style" w:hAnsi="Bookman Old Style"/>
          <w:b/>
          <w:bCs/>
          <w:sz w:val="32"/>
          <w:szCs w:val="32"/>
        </w:rPr>
        <w:t xml:space="preserve">Parecer Jurídico-Financeiro</w:t>
      </w:r>
    </w:p>
    <w:p>
      <w:pPr>
        <w:spacing w:after="12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Fiscalização do Exercício de 2026</w:t>
      </w:r>
    </w:p>
    <w:p>
      <w:pPr>
        <w:spacing w:after="600"/>
        <w:jc w:val="center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Secretaria Municipal de Políticas para as Mulheres, Assistência Social e Direitos Humanos, Fundo Municipal de Assistência Social e Conselho Municipal de Assistência Social de Goiânia</w:t>
      </w:r>
    </w:p>
    <w:p>
      <w:pPr>
        <w:spacing w:after="1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25 achados — 7 de severidade crítica, 15 alta e 3 média</w:t>
      </w:r>
    </w:p>
    <w:p>
      <w:pPr>
        <w:spacing w:after="2400"/>
        <w:jc w:val="center"/>
      </w:pPr>
      <w:r>
        <w:rPr>
          <w:rFonts w:ascii="Bookman Old Style" w:cs="Bookman Old Style" w:eastAsia="Bookman Old Style" w:hAnsi="Bookman Old Style"/>
          <w:sz w:val="20"/>
          <w:szCs w:val="20"/>
        </w:rPr>
        <w:t xml:space="preserve">18 confirmados por dupla via · 81 documentos complementares requisitados</w:t>
      </w:r>
    </w:p>
    <w:p>
      <w:pPr>
        <w:jc w:val="center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Goiânia, 26 de agosto de 2026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 - do Objeto e do Método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Este parecer examina a regularidade da aplicação de recursos públicos na política de assistência social do Município de Goiânia no exercício de 2026, abrangendo a Secretaria Municipal de Políticas para as Mulheres, Assistência Social e Direitos Humanos, o Fundo Municipal de Assistência Social e o Conselho Municipal de Assistência Social.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análise confronta o acervo documental coletado com o corpo normativo vigente, composto de duzentos e noventa e uma normas arquivadas em repositório próprio. Toda afirmação carrega selo probatório: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quando duas vias independentes convergem;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quando há uma única via; 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Inconclusivo por Documento Faltante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quando a regra existe, foi aplicada, e o dado necessário não está disponível.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Registra-se de plano que dado faltante é achado, e não silêncio. A ausência de documento no acervo público não prova sua inexistência no órgão, mas prova o descumprimento do dever de transparência ativa. Por essa razão, cada achado indica ao final os documentos complementares necessários à sua confirmação ou ao seu afastamento.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Advertências de método, que se repetem a cada uso. Indício de sobrepreço é indício: sobrepreço se demonstra por perícia com preço de mercado, nunca por estatística sobre texto de Diário Oficial. A extração de inscrições no cadastro nacional de pessoa jurídica capta também o cadastro do próprio Município nos cabeçalhos das edições, exigindo triagem antes de qualquer uso. Dotação, empenho e liquidação não comprovam movimentação bancária.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Em observância à minimização de dados, pessoa física é identificada exclusivamente pelo primeiro nome, suprimidos nome completo, inscrição no cadastro de pessoas físicas e matrícula. Pessoa jurídica mantém razão social e inscrição integrais.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II - Síntese dos Achados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340"/>
            <w:shd w:fill="E8E8E8" w:val="clear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Achados</w:t>
            </w:r>
          </w:p>
        </w:tc>
        <w:tc>
          <w:tcPr>
            <w:tcW w:type="dxa" w:w="2340"/>
            <w:shd w:fill="E8E8E8" w:val="clear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Críticos</w:t>
            </w:r>
          </w:p>
        </w:tc>
        <w:tc>
          <w:tcPr>
            <w:tcW w:type="dxa" w:w="2340"/>
            <w:shd w:fill="E8E8E8" w:val="clear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0"/>
                <w:szCs w:val="20"/>
              </w:rPr>
              <w:t xml:space="preserve">Confirmados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Bloco Administrativo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Bloco Financeiro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Bloco de Pessoal e Diárias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Integridade do Sistema de Vigilância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Bookman Old Style" w:cs="Bookman Old Style" w:eastAsia="Bookman Old Style" w:hAnsi="Bookman Old Style"/>
                <w:sz w:val="20"/>
                <w:szCs w:val="20"/>
              </w:rPr>
              <w:t xml:space="preserve">3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III - dos Achados</w:t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Administrativo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PUB-01 - Diario Oficial sem edição desde 29/07/2026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Última publicação: 2026-07-29 (26 dias corridos). Dos 21 dias úteis da janela, 18 sem edição. Sondagem com controle exclui falha do coletor.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37, caput, da Constituição Federal; Artigo 8º, parágrafo 3º, III e VI da Lei 12.527/2011; Artigo 10, parágrafo 2º da Lei municipal 9.009/2010</w:t>
      </w:r>
      <w:r>
        <w:rPr>
          <w:rStyle w:val="FootnoteReference"/>
        </w:rPr>
        <w:footnoteReference w:id="14"/>
      </w:r>
      <w:r>
        <w:rPr>
          <w:rStyle w:val="FootnoteReference"/>
        </w:rPr>
        <w:footnoteReference w:id="11"/>
      </w:r>
      <w:r>
        <w:rPr>
          <w:rStyle w:val="FootnoteReference"/>
        </w:rPr>
        <w:footnoteReference w:id="5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numerada e datada das edições do Diário Oficial publicadas entre 30/07/2026 e a data do protocolo, ou declaração de que não houve publicação;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Ato administrativo que determinou a suspensão da publicação, se houver;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Relação dos atos praticados no período, com data de assinatura e data de publicação;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PUB-02 - Atos do Conselho sem publicação, confirmado por dupla via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24 de 40 atos examinados não foram localizados por nenhuma das duas vias independentes. Índice global de publicidade de 6,36% é piso indiciário; use o confirmado.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10, parágrafo 2º da Lei municipal 9.009/2010</w:t>
      </w:r>
      <w:r>
        <w:rPr>
          <w:rStyle w:val="FootnoteReference"/>
        </w:rPr>
        <w:footnoteReference w:id="5"/>
      </w:r>
      <w:r>
        <w:rPr>
          <w:rStyle w:val="FootnoteReference"/>
        </w:rPr>
        <w:footnoteReference w:id="14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Cópia integral das Resoluções do Conselho de 2024 a 2026, com indicação da edição e página do Diário Oficial;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Livro de registro de Resoluções, com numeração sequencial;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Declaração da Secretaria Executiva sobre os atos não publicados;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Financeiro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REC-01 - Aporte próprio do Município no Fundo é simbólico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Tesouro Municipal em 2026: R$ 9.000,00 num Fundo de R$ 23.218.000,00 (0,039%). Em 2025 eram R$ 1.669.000,00 — queda de 99,46%. Orçamento municipal: R$ 10.842.253.000,00.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30, parágrafo único e Artigo 30-A da Lei 8.742/1993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2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Lei Orçamentária Anual de 2024, 2025 e 2026, com o Quadro de Detalhamento de Despesas;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receita realizada do Fundo por fonte, mês a mês;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Extratos mensais da conta especial do Fundo;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Comprovação orçamentária de recursos próprios exigida pelo artigo 30, parágrafo único, da Lei 8.742/1993;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e) Relatório Resumido da Execução Orçamentária dos seis bimestres;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DES-02 - Execução da despesa não rastreável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6 eventos de empenho em 161 — 3,73%. Empenhado, liquidado e pago são inaferíveis.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Artigos 58, 62 e 63 da Lei 4.320/1964; Artigo 48-A, inciso I, da Lei Complementar 101/2000</w:t>
      </w:r>
      <w:r>
        <w:rPr>
          <w:rStyle w:val="FootnoteReference"/>
        </w:rPr>
        <w:footnoteReference w:id="9"/>
      </w:r>
      <w:r>
        <w:rPr>
          <w:rStyle w:val="FootnoteReference"/>
        </w:rPr>
        <w:footnoteReference w:id="10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de empenhos, liquidações e pagamentos da função 08, exercícios 2024 a 2026;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Notas de empenho, de liquidação e ordens bancárias;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Extratos bancários do Fundo com identificação do favorecido de cada saída;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FMAS-01 - Recurso do Tesouro custeia o que está fora do controle do Conselho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Unidade 3601, Gabinete:: R$ 81.202.000,00, integralmente do Tesouro. Unidade 3650, Fundo:: R$ 23.218.000,00, dos quais R$ 9.000,00 do Tesouro. A dotação do órgão deveria ser automaticamente transferida ao Fundo.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Artigos 2º parágrafo 1º, 3 e 5 da Lei municipal 7.531/1995; Artigo 19, par.unico da Lei municipal 8.293/2004</w:t>
      </w:r>
      <w:r>
        <w:rPr>
          <w:rStyle w:val="FootnoteReference"/>
        </w:rPr>
        <w:footnoteReference w:id="3"/>
      </w:r>
      <w:r>
        <w:rPr>
          <w:rStyle w:val="FootnoteReference"/>
        </w:rPr>
        <w:footnoteReference w:id="1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Demonstrativo de execução da unidade orçamentária 3601, por função e subfunção;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Comprovação das transferências automáticas ao Fundo previstas no artigo 2º, parágrafo 1º, da Lei municipal 7.531/1995;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Ato de designação do gestor do Fundo, em conjunto com o Secretário Municipal de Finanças;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Segregação da despesa de assistência social dentro da unidade 3601;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IGD-01 - Piso de 10% do Índice de Gestão Descentralizada ao controle social sem execução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Base do Índice de Gestão Descentralizada nos decretos de crédito de 2026: R$ 706.707,15. Devido ao controle social: R$ 70.670,71. Executado: R$ 0,00. Percentual extraído do corpus, não digitado à mão.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6º da Resolução CNAS/MDS 202/2025; Artigo 12-A, parágrafo 4º da Lei 8.742/1993; Artigo 14, parágrafo 7º da Lei 14.601/2023</w:t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8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Demonstrativo dos repasses do Índice de Gestão Descentralizada recebidos mês a mês, por bloco;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Plano de aplicação do Índice deliberado pelo Conselho;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Demonstrativo da aplicação do piso de dez por cento ao controle social, com empenho, liquidação e pagamento;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Quadro de Detalhamento de Despesas com a dotação específica de fortalecimento do controle social;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e) Extrato da conta específica do Índice;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de Pessoal e Diárias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PES-07 - Vedação do IGD quanto a pessoal não verificável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Inconclusivo por Documento Faltante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O Artigo 12-A, paragrafo 4 parte final da Lei 8.742/1993 veda usar recurso do IGD destinado ao conselho para pagar pessoal efetivo e gratificações. Sem a folha por fonte de recurso, a vedação não se afere — nem para confirmar, nem para afastar.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12-A, paragrafo 4 da Lei 8.742/1993</w:t>
      </w:r>
      <w:r>
        <w:rPr>
          <w:rStyle w:val="FootnoteReference"/>
        </w:rPr>
        <w:footnoteReference w:id="8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Folha de pagamento com identificação da fonte de recurso de cada servidor;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aplicação do Índice de Gestão Descentralizada por elemento de despesa;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Declaração de que nenhum servidor efetivo ou gratificação foi custeado com recurso do Índice destinado ao Conselho;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Administrativo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ATA-01 - Nenhuma ata de plenária publicada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Zero atas no acervo. Sem ata pública não se afere quórum, paridade, deliberação nem voto. A ausência impede também verificar a apreciação prévia de contratos.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10, caput, da Lei municipal 9.009/2010</w:t>
      </w:r>
      <w:r>
        <w:rPr>
          <w:rStyle w:val="FootnoteReference"/>
        </w:rPr>
        <w:footnoteReference w:id="5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Atas de todas as sessões ordinárias e extraordinárias de 2023 a 2026;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Lista de presença de cada sessão, com segmento representado;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Regimento Interno vigente;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CTA-01 - Apreciação mensal das contas do Fundo sem registro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O Conselho deve apreciar mensalmente as contas do Fundo. Em 8 competências de 2026 não há uma única resolução ou ata de apreciação.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2º, inciso IV, alínea b, da Lei municipal 9.009/2010</w:t>
      </w:r>
      <w:r>
        <w:rPr>
          <w:rStyle w:val="FootnoteReference"/>
        </w:rPr>
        <w:footnoteReference w:id="6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Balancetes mensais do Fundo de 2026;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Atos de apreciação mensal das contas pelo Conselho, por competência;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Pareceres da Comissão de Financiamento do Conselho;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CTA-02 - Prestação de contas quadrimestral ao Conselho não demonstrada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Critério extraído do corpus: a cada 4 meses. Em 2026 seriam devidas duas prestações (janeiro-abril e maio-agosto). Nenhuma localizada.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6 parágrafo 5º da Resolução CNAS/MDS 202/2025</w:t>
      </w:r>
      <w:r>
        <w:rPr>
          <w:rStyle w:val="FootnoteReference"/>
        </w:rPr>
        <w:footnoteReference w:id="7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Prestações de contas quadrimestrais previstas no artigo 6º, parágrafo 5º, da Resolução CNAS/MDS 202/2025;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monitoramento da execução dos recursos do Índice de Gestão Descentralizada;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Demonstrativo de saldo em conta e do respectivo plano de reprogramação;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LEG-01 - Fundamento legal revogado invocado em 2026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1 ato(s) de 2026 mencionam a Lei 8.666/1993, revogada desde 30 de dezembro de 2023. Termo de fomento rege-se pela Lei 13.019/2014, nunca por lei de licitações. Conferir o processo.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193, inciso II, da Lei 14.133/2021</w:t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2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Processo administrativo integral do termo aditivo;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Instrumento original e todos os aditivos;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Parecer jurídico que fundamentou o aditamento;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Financeiro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REC-02 - Transferências sem ente de origem identificável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Transferências correntes de R$ 19.425.000,00 contra R$ 17.354.000,00 com fonte identificada. Diferença de R$ 2.071.000,00 sem origem. Rastreabilidade global do acervo: 17.57%.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Artigos 6º e 13 da Lei 4.320/1964; Artigo 48-A da Lei Complementar 101/2000</w:t>
      </w:r>
      <w:r>
        <w:rPr>
          <w:rStyle w:val="FootnoteReference"/>
        </w:rPr>
        <w:footnoteReference w:id="10"/>
      </w:r>
      <w:r>
        <w:rPr>
          <w:rStyle w:val="FootnoteReference"/>
        </w:rPr>
        <w:footnoteReference w:id="18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Quadro de Detalhamento de Despesas de 2026, com o mapa completo de fontes de recursos;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receita por fonte e por ente de origem;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Termos de repasse ou instrumentos de transferência do Estado;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DES-01 - Concentração numa ação genérica impede saber o destino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R$ 19.913.000,00 (85,8%) na ação 3650.0824401082269 'MANUTENCAO DOS SERVICOS E DA REDE', sem discriminação por unidade, serviço tipificado ou entidade.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13 da Lei 4.320/1964</w:t>
      </w:r>
      <w:r>
        <w:rPr>
          <w:rStyle w:val="FootnoteReference"/>
        </w:rPr>
        <w:footnoteReference w:id="10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Detalhamento da ação 08.244.0108.2269 por subação, unidade e serviço tipificado;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Plano Municipal de Assistência Social vigente;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Demonstrativo de execução por unidade: cada CRAS, CREAS e Centro POP;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Relação de entidades beneficiadas pela ação, com valor individual;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IGD-02 - Dotação do Conselho desproporcional ao fundo que fiscaliza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CMASGyn: R$ 256.000,00 para fiscalizar R$ 23.218.000,00 (1.1%). Conselho do Idoso, mesma Secretaria: R$ 261.000,00 para R$ 2.615.000,00 (9.98%). Razão de 9.07x. A dotação existe, mas não há execução publicada nem identificação como fortalecimento do controle social.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8º da Lei municipal 9.009/2010; Artigo 6 parágrafo 4º da Resolução CNAS/MDS 202/2025</w:t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6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Execução orçamentária da ação 08.244.0108.2591, por estágio;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Plano de trabalho do Conselho para o exercício;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Demonstrativo comparativo com a ação 08.244.0108.2592, do Conselho Municipal do Idoso;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Atos de designação da Secretaria Executiva e do Corpo Técnico do Conselho;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EMD-01 - Canal de emendas rivaliza com a política pública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938 emendas somando R$ 178.223.847,86. Em assistência social: 65 emendas, R$ 7.490.691,78 — 26.3% de toda a função 08 (R$ 28.440.000,00). Emenda dispensa chamamento, mas não dispensa plano de trabalho, prestação de contas nem apreciação prévia do Conselho.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Artigos 29, 42 e 63 da Lei 13.019/2014; Artigo 2º, inciso IX da Lei municipal 9.009/2010</w:t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6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das emendas impositivas de 2026 destinadas à função 08, com autor, entidade e valor;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Processos de execução de cada emenda;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Planos de trabalho e prestações de contas das parcerias decorrentes;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Atos de deliberação prévia do Conselho sobre cada parceria;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e) Justificativa de dispensa de chamamento público publicada;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de Pessoal e Diárias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PES-01 - Folha de pagamento invisível no acervo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Nenhuma linha de natureza 31901100 (Vencimentos e vantagens fixas). As rubricas do grupo 31 presentes são de exercícios anteriores e de ressarcimento de pessoal requisitado — não são a folha. Sem folha não se conta cargo, não se separa efetivo de comissionado e não se afere o teto de 30%.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48-A, inciso I, da Lei Complementar 101/2000; Artigo 8º, paragrafo 1 inciso III da Lei 12.527/2011</w:t>
      </w:r>
      <w:r>
        <w:rPr>
          <w:rStyle w:val="FootnoteReference"/>
        </w:rPr>
        <w:footnoteReference w:id="10"/>
      </w:r>
      <w:r>
        <w:rPr>
          <w:rStyle w:val="FootnoteReference"/>
        </w:rPr>
        <w:footnoteReference w:id="11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Folha de pagamento por competência, de 2024 a 2026, com cargo, forma de provimento e valor bruto;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despesa de pessoal por fonte de recursos;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Relação de servidores lotados nas unidades de assistência social;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PES-03 - Concessão de diárias praticamente ausente do acervo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1 ato(s) de concessão localizado(s) em 161 eventos. Órgão com equipes volantes, conferências e reuniões regionais não concede uma diária por exercício. A ausência mede a publicidade, não a despesa.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37, caput, da Constituição Federal; Artigo 50 da Lei 9.784/1999</w:t>
      </w:r>
      <w:r>
        <w:rPr>
          <w:rStyle w:val="FootnoteReference"/>
        </w:rPr>
        <w:footnoteReference w:id="14"/>
      </w:r>
      <w:r>
        <w:rPr>
          <w:rStyle w:val="FootnoteReference"/>
        </w:rPr>
        <w:footnoteReference w:id="15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de todas as diárias concedidas em 2026, com servidor, matrícula, destino, período, finalidade, quantidade e valor;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Atos de concessão publicados;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Norma municipal que fixa o valor das diárias;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PES-02 - Teto de 30% para pessoal não aferível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Inconclusivo por Documento Faltante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Regra declarada e não avaliada. Documento necessário: receita do FMAS por fonte e despesa de pessoal custeada pelo Tesouro.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ver config/criterios_pessoal.yml</w:t>
      </w:r>
      <w:r>
        <w:rPr>
          <w:rStyle w:val="FootnoteReference"/>
        </w:rPr>
        <w:footnoteReference w:id="4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Memória de cálculo do teto de trinta por cento previsto no artigo 4º, parágrafo único, da Lei municipal 7.531/1995;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receita do Fundo oriunda do Tesouro Municipal;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Demonstrativo de despesa de pessoal e custeio custeada por essa fonte;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PES-08 - Proporção entre efetivos e comissionados não aferível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Inconclusivo por Documento Faltante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Regra declarada e não avaliada. Documento necessário: relação nominal do quadro por competência, com forma de provimento.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ver config/criterios_pessoal.yml</w:t>
      </w:r>
      <w:r>
        <w:rPr>
          <w:rStyle w:val="FootnoteReference"/>
        </w:rPr>
        <w:footnoteReference w:id="14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nominal do quadro, por competência, com forma de provimento;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Estrutura de cargos em comissão e respectivas atribuições;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Editais e homologações dos concursos vigentes;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PES-09 - Equipe de referência mínima não aferível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Inconclusivo por Documento Faltante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Regra declarada e não avaliada. Documento necessário: quadro de lotação por unidade (CRAS, CREAS, Centro POP).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ver config/criterios_pessoal.yml</w:t>
      </w:r>
      <w:r>
        <w:rPr>
          <w:rStyle w:val="FootnoteReference"/>
        </w:rPr>
        <w:footnoteReference w:id="14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Quadro de lotação por unidade, com formação profissional de cada integrante;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Relação de unidades em funcionamento, com endereço e capacidade;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Integridade do Sistema de Vigilância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SYS-02 - Classificação por natureza desalinhada do valor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68 registros de 2026 com natureza divergente do rótulo; 21 trocam de grupo econômico, somando R$ 9.281.000,00. Bolsões por natureza são indiciários até a correção.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defeito de extracao</w:t>
      </w:r>
      <w:r>
        <w:rPr>
          <w:rStyle w:val="FootnoteReference"/>
        </w:rPr>
        <w:footnoteReference w:id="10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Quadro de Detalhamento de Despesas em formato aberto e estruturado;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Relação de despesas com natureza de dez dígitos, incluído o subitem;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SYS-03 - Soma de repasses excede o total da função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R$ 183.427.737,85 atribuídos a entidades contra R$ 53.810.573,26 de total rastreado — 3,41 vezes. Impossível. Causa: um valor de publicação replicado por inscrição. Não use a tabela de maiores valores sem triagem.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defeito de agregacao</w:t>
      </w:r>
      <w:r>
        <w:rPr>
          <w:rStyle w:val="FootnoteReference"/>
        </w:rPr>
        <w:footnoteReference w:id="10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de repasses a entidades, por instrumento, com valor individualizado;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Demonstrativo de execução por credor;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Financeiro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REC-03 - Rendimento de aplicação incompatível com execução regular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Receita patrimonial de R$ 2.574.000,00 sobre Fundo de R$ 23.218.000,00 — 11.1%. Pressupõe saldo médio aplicado próximo do orçamento anual inteiro. Confirmado pelo outro lado: R$ 33.059.000,00 em créditos de 2026 abertos contra fontes de exercícios anteriores.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43, paragrafo 1 inciso I da Lei 4.320/1964</w:t>
      </w:r>
      <w:r>
        <w:rPr>
          <w:rStyle w:val="FootnoteReference"/>
        </w:rPr>
        <w:footnoteReference w:id="18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Balanço Patrimonial de 2025, com demonstrativo do superávit financeiro por fonte;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Extratos de aplicação financeira do Fundo, mês a mês;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Decretos de crédito adicional de 2026, com a respectiva fonte de recursos e memória de cálculo;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d) Demonstrativo de saldo por fonte ao fim de cada exercício;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Bloco de Pessoal e Diárias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PES-04 - Prestação de contas de deslocamento não localizada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Nenhum relatório de viagem, comprovante de deslocamento ou devolução de diária não utilizada consta do acervo. A liquidação exige verificação do direito adquirido pelo credor, com base em títulos e documentos comprobatórios.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63 da Lei 4.320/1964</w:t>
      </w:r>
      <w:r>
        <w:rPr>
          <w:rStyle w:val="FootnoteReference"/>
        </w:rPr>
        <w:footnoteReference w:id="9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Relatórios de viagem de cada deslocamento;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Comprovantes de deslocamento e de hospedagem;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c) Comprovantes de devolução de diárias não utilizadas;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Integridade do Sistema de Vigilância</w:t>
      </w:r>
    </w:p>
    <w:p>
      <w:pPr>
        <w:pStyle w:val="Heading3"/>
        <w:spacing w:after="100" w:before="20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Achado SYS-05 - Lista de entidades contaminada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Severidade: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. Selo probatório: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Confirmado por Dupla Via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fatos apurados. 8 inscrições na lista de entidades são o próprio Município, outra Secretaria, outro ente federado ou matéria de saúde. Triagem obrigatória antes de qualquer peça.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 direito aplicável. A conduta descrita encontra reprovação em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metodo</w:t>
      </w:r>
      <w:r>
        <w:rPr>
          <w:rStyle w:val="FootnoteReference"/>
        </w:rPr>
        <w:footnoteReference w:id="10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norma é de aplicação cogente e sua inobservância, uma vez comprovada, sujeita o gestor às sanções cabíveis.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documentos complementares requisitados.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Para confirmação ou afastamento deste achado, requisitam-se: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a) Relação de entidades inscritas no Conselho, com inscrição vigente;</w:t>
      </w:r>
    </w:p>
    <w:p>
      <w:pPr>
        <w:spacing w:line="276"/>
        <w:ind w:left="1133" w:firstLine="0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b) Cadastro de credores da função 08;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IV - da Conclusão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Os achados não descrevem episódios isolados. Descrevem uma arquitetura em que a política de assistência social do Município é custeada por terceiros, administrada fora do fundo que a lei criou para administrá-la, e fiscalizada por conselho sem os meios que a lei lhe assegura.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O Tesouro Municipal aporta nove mil reais no Fundo, contra dezessete milhões, trezentos e cinquenta e quatro mil reais transferidos pela União e pelo Estado. A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condição de repasse do artigo 30, parágrafo único, da Lei 8.742/1993</w:t>
      </w:r>
      <w:r>
        <w:rPr>
          <w:rStyle w:val="FootnoteReference"/>
        </w:rPr>
        <w:footnoteReference w:id="1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não se tem por cumprida em sentido material. O órgão gestor federal está autorizado a suspender o repasse.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O piso de dez por cento do Índice de Gestão Descentralizada destinado ao controle social, exigido pelo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6º da Resolução CNAS/MDS 202/2025</w:t>
      </w:r>
      <w:r>
        <w:rPr>
          <w:rStyle w:val="FootnoteReference"/>
        </w:rPr>
        <w:footnoteReference w:id="7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, não registra execução. A própria norma comina a sanção: bloqueio dos repasses até a comprovação do cumprimento.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 desde trinta de julho de dois mil e vinte e seis nada disso é publicado, em afronta ao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37, caput, da Constituição Federal</w:t>
      </w:r>
      <w:r>
        <w:rPr>
          <w:rStyle w:val="FootnoteReference"/>
        </w:rPr>
        <w:footnoteReference w:id="14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e ao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10, parágrafo 2º, da Lei municipal 9.009/2010</w:t>
      </w:r>
      <w:r>
        <w:rPr>
          <w:rStyle w:val="FootnoteReference"/>
        </w:rPr>
        <w:footnoteReference w:id="5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A publicação é condição de eficácia do ato administrativo: o que não se publica não vincula terceiros, ainda que produza efeito financeiro.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40"/>
        <w:ind w:left="4536"/>
        <w:jc w:val="both"/>
      </w:pPr>
      <w:r>
        <w:rPr>
          <w:rFonts w:ascii="Bookman Old Style" w:cs="Bookman Old Style" w:eastAsia="Bookman Old Style" w:hAnsi="Bookman Old Style"/>
          <w:sz w:val="20"/>
          <w:szCs w:val="20"/>
        </w:rPr>
        <w:t xml:space="preserve">Constitui ato de improbidade administrativa que atenta contra os princípios da administração pública a ação ou omissão dolosa que viole os deveres de honestidade, de imparcialidade e de legalidade.</w:t>
      </w:r>
    </w:p>
    <w:p>
      <w:pPr>
        <w:spacing w:line="240"/>
        <w:ind w:left="4536"/>
        <w:jc w:val="both"/>
      </w:pPr>
      <w:r>
        <w:rPr>
          <w:rFonts w:ascii="Bookman Old Style" w:cs="Bookman Old Style" w:eastAsia="Bookman Old Style" w:hAnsi="Bookman Old Style"/>
          <w:sz w:val="14"/>
          <w:szCs w:val="14"/>
        </w:rPr>
        <w:t xml:space="preserve">(Artigo 11 da Lei 8.429/1992 - Lei de Improbidade Administrativa)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subsunção dos fatos a esse tipo depende de elemento subjetivo doloso, que não se presume e não se afere por este parecer. Registra-se a norma como referência de gravidade, não como imputação.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V - das Providências Sugeridas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Tribunal de Contas dos Municípios do Estado de Goiás.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representação quanto aos achados REC-01, FMAS-01, IGD-01, DES-02 e PUB-01, com pedido de medida cautelar quanto à interrupção da publicação oficial.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Ministério Público do Estado de Goiás.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representação quanto aos achados REC-01, IGD-01 e PUB-01, com fundamento no artigo 31 da Lei 8.742/1993, que atribui ao Ministério Público zelar pelo efetivo respeito aos direitos nela estabelecidos.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Secretaria Nacional de Assistência Social.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comunicação do achado REC-01 para os fins dos artigos 30, parágrafo único, e 30-A da Lei 8.742/1993.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Conselho Municipal de Assistência Social.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deliberação sobre os achados IGD-01, IGD-02, CTA-01 e CTA-02, matéria de sua competência privativa.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Secretaria Municipal de Políticas para as Mulheres, Assistência Social e Direitos Humanos.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requerimento dos oitenta e um documentos complementares indicados, com fundamento nos artigos 10 e 11 da Lei 12.527/2011.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VI - da Ressalva Final</w:t>
      </w:r>
    </w:p>
    <w:p>
      <w:pPr>
        <w:spacing w:after="0" w:before="0"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Este parecer é produto de análise automatizada sobre acervo documental público, revisado quanto ao método e à fundamentação. Não substitui a revisão do advogado constituído, na forma do </w:t>
      </w:r>
      <w:r>
        <w:rPr>
          <w:rFonts w:ascii="Bookman Old Style" w:cs="Bookman Old Style" w:eastAsia="Bookman Old Style" w:hAnsi="Bookman Old Style"/>
          <w:sz w:val="22"/>
          <w:szCs w:val="22"/>
          <w:u w:val="single"/>
        </w:rPr>
        <w:t xml:space="preserve">artigo 32 da Lei 8.906/1994</w:t>
      </w:r>
      <w:r>
        <w:rPr>
          <w:rStyle w:val="FootnoteReference"/>
        </w:rPr>
        <w:footnoteReference w:id="16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, nem constitui peça processual antes dessa revisão.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ookman Old Style" w:cs="Bookman Old Style" w:eastAsia="Bookman Old Style" w:hAnsi="Bookman Old Style"/>
        <w:sz w:val="18"/>
        <w:szCs w:val="18"/>
      </w:rPr>
      <w:t xml:space="preserve"/>
    </w:r>
    <w:r>
      <w:rPr>
        <w:rFonts w:ascii="Bookman Old Style" w:cs="Bookman Old Style" w:eastAsia="Bookman Old Style" w:hAnsi="Bookman Old Styl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30 da Lei 8.742/1993 – É condição para os repasses, aos Municípios, aos Estados e ao Distrito Federal, a efetiva instituição e funcionamento de: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Conselho de Assistência Social, de composição paritária entre governo e sociedade civil;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Fundo de Assistência Social, com orientação e controle dos respectivos Conselhos de Assistência Social;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III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Plano de Assistência Social.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Parágrafo único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. É, ainda, condição para transferência de recursos do FNAS aos Estados, ao Distrito Federal e aos Municípios a comprovação orçamentária dos recursos próprios destinados à Assistência Social, alocados em seus respectivos Fundos de Assistência Social, a partir do exercício de 1999.</w:t>
      </w:r>
    </w:p>
  </w:footnote>
  <w:footnote w:id="2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30-A da Lei 8.742/1993 – O cofinanciamento dos serviços, programas, projetos e benefícios eventuais, no que couber, e o aprimoramento da gestão da política de assistência social no SUAS se efetuam por meio de transferências automáticas entre os fundos de assistência social e mediante alocação de recursos próprios nesses fundos nas 3 (três) esferas de governo.</w:t>
      </w:r>
    </w:p>
  </w:footnote>
  <w:footnote w:id="3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2º da Lei municipal 7.531/1995 – Constituem receitas do Fundo Municipal de Assistência Social: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1º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A dotação orçamentária prevista para o órgão responsável pela Assistência Social será automaticamente transferida para a conta do FMAS, tão logo sejam realizadas as receitas correspondentes.</w:t>
      </w:r>
    </w:p>
  </w:footnote>
  <w:footnote w:id="4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4º da Lei municipal 7.531/1995 – Os recursos do FMAS serão aplicados em: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Parágrafo único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. Além dos dispêndios previstos nos incisos I a VII, do caput deste artigo, dos recursos diretamente arrecadados ou transferidos pelo Tesouro Municipal, até 30% (trinta por cento) será destinado ao pagamento de despesas com pessoal, inclusive encargos sociais e custeio das atividades relacionadas às finalidades essenciais da Secretaria Municipal de Assistência Social - SEMAS.</w:t>
      </w:r>
    </w:p>
  </w:footnote>
  <w:footnote w:id="5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10 da Lei municipal 9.009/2010 – Todas as sessões ordinárias e extraordinárias do CMASGyn serão públicas.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2º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As Resoluções do CMASGyn serão publicadas no Diário Oficial do Município.</w:t>
      </w:r>
    </w:p>
  </w:footnote>
  <w:footnote w:id="6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2º da Lei municipal 9.009/2010 – Compete ao CMASGyn: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IV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zelar pela efetivação do sistema descentralizado e participativo de assistência social, cabendo-lhe: (...) b) apreciar mensalmente as contas e os relatórios do FMASGyn;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IX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apreciar previamente os contratos e convênios, na forma da Lei de Parceria.</w:t>
      </w:r>
    </w:p>
  </w:footnote>
  <w:footnote w:id="7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6º da Resolução CNAS/MDS 202/2025 – O financiamento do controle social quanto às ações voltadas para a gestão do PBF e do CadÚnico ocorrerá por meio de aplicação de no mínimo 10% do valor repassado mensalmente pelo Índice de Gestão Descentralizada do Sistema Único da Assistência Social - IGD/SUAS e do Índice de Gestão Descentralizada do Programa Bolsa Família - IGD/PBF, destinados ao controle social, conforme as normas vigentes, sem prejuízo de outras fontes de financiamento.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4º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As gestões municipais, estaduais e do Distrito Federal deverão incluir no Quadro de Detalhamento de Despesas - QDD uma dotação orçamentária específica de fortalecimento do controle social (CMAS, CEAS e CAS/DF) a partir do ano de 2026.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5º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As gestões municipais, estaduais e do Distrito Federal deverão apresentar prestação de contas a cada 4 meses para os respectivos conselhos de Assistência Social, contendo o detalhamento do processo de monitoramento da execução dos recursos e as medidas que têm sido tomadas em caso de acúmulo de saldo.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6º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Cabe ao Órgão Gestor Federal da Política de Assistência Social monitorar o cumprimento referente à aplicação mínima dos 10% do repasse dos IGDs para fortalecimento do controle social e, em caso de descumprimento, o ente federado terá seus repasses bloqueados até que comprovem o cumprimento da norma.</w:t>
      </w:r>
    </w:p>
  </w:footnote>
  <w:footnote w:id="8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12-A da Lei 8.742/1993 – A União apoiará financeiramente o aprimoramento à gestão descentralizada dos serviços, programas, projetos e benefícios de assistência social, por meio do Índice de Gestão Descentralizada (IGD) do SUAS.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4º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Para fins de fortalecimento dos Conselhos de Assistência Social dos Estados, dos Municípios e do Distrito Federal, percentual dos recursos transferidos deverá ser gasto com atividades de apoio técnico e operacional àqueles colegiados, na forma fixada pelo Ministério, vedada a utilização dos recursos para pagamento de pessoal efetivo e de gratificações de qualquer natureza a servidor público.</w:t>
      </w:r>
    </w:p>
  </w:footnote>
  <w:footnote w:id="9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63 da Lei 4.320/1964 – A liquidação da despesa consiste na verificação do direito adquirido pelo credor tendo por base os títulos e documentos comprobatórios do respectivo crédito.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1º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Essa verificação tem por fim apurar: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a origem e o objeto do que se deve pagar;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a importância exata a pagar;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III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a quem se deve pagar a importância, para extinguir a obrigação.</w:t>
      </w:r>
    </w:p>
  </w:footnote>
  <w:footnote w:id="10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48-A da Lei Complementar 101/2000 – Para os fins a que se refere o inciso II do parágrafo único do art. 48, os entes da Federação disponibilizarão a qualquer pessoa física ou jurídica o acesso a informações referentes a: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quanto à despesa: todos os atos praticados pelas unidades gestoras no decorrer da execução da despesa, no momento de sua realização, com a disponibilização mínima dos dados referentes ao número do correspondente processo, ao bem fornecido ou ao serviço prestado, à pessoa física ou jurídica beneficiária do pagamento e, quando for o caso, ao procedimento licitatório realizado;</w:t>
      </w:r>
    </w:p>
  </w:footnote>
  <w:footnote w:id="11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8º da Lei 12.527/2011 – É dever dos órgãos e entidades públicas promover, independentemente de requerimentos, a divulgação em local de fácil acesso, no âmbito de suas competências, de informações de interesse coletivo ou geral por eles produzidas ou custodiadas.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EE0000"/>
          <w:sz w:val="14"/>
          <w:szCs w:val="14"/>
        </w:rPr>
        <w:t xml:space="preserve">§ 3º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Os sítios de que trata o § 2º deverão, na forma de regulamento, atender, entre outros, aos seguintes requisitos: (...)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III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possibilitar o acesso automatizado por sistemas externos em formatos abertos, estruturados e legíveis por máquina; (...)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VI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manter atualizadas as informações disponíveis para acesso;</w:t>
      </w:r>
    </w:p>
  </w:footnote>
  <w:footnote w:id="12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b/>
          <w:bCs/>
          <w:sz w:val="14"/>
          <w:szCs w:val="14"/>
        </w:rPr>
        <w:t xml:space="preserve">Artigo 42 da Lei 13.019/2014 – As parcerias serão formalizadas mediante a celebração de termo de colaboração, de termo de fomento ou de acordo de cooperação, conforme o caso, que terá como cláusulas essenciais: (...)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a descrição do objeto pactuado;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</w:t>
      </w:r>
      <w:r>
        <w:rPr>
          <w:rFonts w:ascii="Bookman Old Style" w:cs="Bookman Old Style" w:eastAsia="Bookman Old Style" w:hAnsi="Bookman Old Style"/>
          <w:b/>
          <w:bCs/>
          <w:color w:val="00FF00"/>
          <w:sz w:val="14"/>
          <w:szCs w:val="14"/>
        </w:rPr>
        <w:t xml:space="preserve">II</w:t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 - as obrigações das partes;</w:t>
      </w:r>
    </w:p>
  </w:footnote>
  <w:footnote w:id="13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193 da Lei 14.133/2021 – Revogam-se: (...) II - a Lei nº 8.666, de 21 de junho de 1993, a Lei nº 10.520, de 17 de julho de 2002, e os arts. 1º a 47-A da Lei nº 12.462, de 4 de agosto de 2011, em 30 de dezembro de 2023.</w:t>
      </w:r>
    </w:p>
  </w:footnote>
  <w:footnote w:id="14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37 da Constituição Federal – A administração pública direta e indireta de qualquer dos Poderes da União, dos Estados, do Distrito Federal e dos Municípios obedecerá aos princípios de legalidade, impessoalidade, moralidade, publicidade e eficiência e, também, ao seguinte: (...)</w:t>
      </w:r>
    </w:p>
  </w:footnote>
  <w:footnote w:id="15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50 da Lei 9.784/1999 – Os atos administrativos deverão ser motivados, com indicação dos fatos e dos fundamentos jurídicos, quando: I - neguem, limitem ou afetem direitos ou interesses; (...) VIII - importem anulação, revogação, suspensão ou convalidação de ato administrativo.</w:t>
      </w:r>
    </w:p>
  </w:footnote>
  <w:footnote w:id="16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32 da Lei 8.906/1994 – O advogado é responsável pelos atos que, no exercício profissional, praticar com dolo ou culpa.</w:t>
      </w:r>
    </w:p>
  </w:footnote>
  <w:footnote w:id="17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11 da Lei 8.429/1992 – Constitui ato de improbidade administrativa que atenta contra os princípios da administração pública a ação ou omissão dolosa que viole os deveres de honestidade, de imparcialidade e de legalidade, caracterizada por uma das seguintes condutas: (...)</w:t>
      </w:r>
    </w:p>
  </w:footnote>
  <w:footnote w:id="18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48 da Lei Complementar 101/2000 – São instrumentos de transparência da gestão fiscal, aos quais será dada ampla divulgação, inclusive em meios eletrônicos de acesso público: os planos, orçamentos e leis de diretrizes orçamentárias; as prestações de contas e o respectivo parecer prévio; o Relatório Resumido da Execução Orçamentária e o Relatório de Gestão Fiscal; e as versões simplificadas desses documentos.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Bookman Old Style" w:cs="Bookman Old Style" w:eastAsia="Bookman Old Style" w:hAnsi="Bookman Old Style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jc w:val="center"/>
      <w:outlineLvl w:val="1"/>
    </w:pPr>
    <w:rPr>
      <w:rFonts w:ascii="Bookman Old Style" w:cs="Bookman Old Style" w:eastAsia="Bookman Old Style" w:hAnsi="Bookman Old Style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jc w:val="center"/>
      <w:outlineLvl w:val="2"/>
    </w:pPr>
    <w:rPr>
      <w:rFonts w:ascii="Bookman Old Style" w:cs="Bookman Old Style" w:eastAsia="Bookman Old Style" w:hAnsi="Bookman Old Style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Jurídico-Financeiro - Exercício 2026</dc:title>
  <dc:creator>AMC Jardim América</dc:creator>
  <cp:lastModifiedBy>Un-named</cp:lastModifiedBy>
  <cp:revision>1</cp:revision>
  <dcterms:created xsi:type="dcterms:W3CDTF">2026-08-26T01:01:17.950Z</dcterms:created>
  <dcterms:modified xsi:type="dcterms:W3CDTF">2026-08-26T01:01:17.951Z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