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4368C4">
      <w:r>
        <w:t xml:space="preserve">“The flower deserves a more particular description than Gray gives it. But Bigelow says well of its corolla that it is ‘remarkable for its distinct “,” five angled form.’ Its segments are a little </w:t>
      </w:r>
      <w:proofErr w:type="spellStart"/>
      <w:r>
        <w:t>recurved</w:t>
      </w:r>
      <w:proofErr w:type="spellEnd"/>
      <w:r>
        <w:t>. The calyx-segments are acute and pink at last; the racemes “,” elongated “,” about one inch long “,” one-sided; the corolla “,” narrowed at the mouth “,” but very wide above; the calyx “,” with its segments “,” pedicels “,” and the whole raceme (and indeed the leaves somewhat) “,” glandular hairy.”</w:t>
      </w:r>
    </w:p>
    <w:p w:rsidR="004368C4" w:rsidRDefault="004368C4"/>
    <w:p w:rsidR="004368C4" w:rsidRDefault="004368C4" w:rsidP="004368C4">
      <w:r>
        <w:t xml:space="preserve">PE 12, pg. 375 / </w:t>
      </w:r>
      <w:r w:rsidRPr="008054ED">
        <w:t>2 April-31 July 1857</w:t>
      </w:r>
      <w:r>
        <w:t xml:space="preserve">/ NNPM MA 1302:29 / T vol. # XXIII / PDF # XV / </w:t>
      </w:r>
      <w:r w:rsidRPr="00F24C22">
        <w:t>JIX</w:t>
      </w:r>
      <w:r>
        <w:t xml:space="preserve"> </w:t>
      </w:r>
    </w:p>
    <w:p w:rsidR="004368C4" w:rsidRDefault="004368C4"/>
    <w:p w:rsidR="004368C4" w:rsidRDefault="004368C4">
      <w:proofErr w:type="spellStart"/>
      <w:r>
        <w:t>Gowing’s</w:t>
      </w:r>
      <w:proofErr w:type="spellEnd"/>
      <w:r>
        <w:t xml:space="preserve"> Swamp</w:t>
      </w:r>
      <w:bookmarkStart w:id="0" w:name="_GoBack"/>
      <w:bookmarkEnd w:id="0"/>
    </w:p>
    <w:sectPr w:rsidR="004368C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C4"/>
    <w:rsid w:val="004368C4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Macintosh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2015-11-29T19:30:00Z</dcterms:created>
  <dcterms:modified xsi:type="dcterms:W3CDTF">2015-11-29T19:33:00Z</dcterms:modified>
</cp:coreProperties>
</file>