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Archivo-bold.ttf" ContentType="application/x-font-ttf"/>
  <Override PartName="/word/fonts/Archivo-boldItalic.ttf" ContentType="application/x-font-ttf"/>
  <Override PartName="/word/fonts/Archivo-italic.ttf" ContentType="application/x-font-ttf"/>
  <Override PartName="/word/fonts/Archivo-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line="240"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02">
      <w:pPr>
        <w:widowControl w:val="0"/>
        <w:pBdr>
          <w:top w:space="0" w:sz="0" w:val="nil"/>
          <w:left w:space="0" w:sz="0" w:val="nil"/>
          <w:bottom w:space="0" w:sz="0" w:val="nil"/>
          <w:right w:space="0" w:sz="0" w:val="nil"/>
          <w:between w:space="0" w:sz="0" w:val="nil"/>
        </w:pBdr>
        <w:spacing w:line="240"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03">
      <w:pPr>
        <w:widowControl w:val="0"/>
        <w:pBdr>
          <w:top w:space="0" w:sz="0" w:val="nil"/>
          <w:left w:space="0" w:sz="0" w:val="nil"/>
          <w:bottom w:space="0" w:sz="0" w:val="nil"/>
          <w:right w:space="0" w:sz="0" w:val="nil"/>
          <w:between w:space="0" w:sz="0" w:val="nil"/>
        </w:pBdr>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 </w:t>
      </w:r>
    </w:p>
    <w:p w:rsidR="00000000" w:rsidDel="00000000" w:rsidP="00000000" w:rsidRDefault="00000000" w:rsidRPr="00000000" w14:paraId="00000004">
      <w:pPr>
        <w:widowControl w:val="0"/>
        <w:pBdr>
          <w:top w:space="0" w:sz="0" w:val="nil"/>
          <w:left w:space="0" w:sz="0" w:val="nil"/>
          <w:bottom w:space="0" w:sz="0" w:val="nil"/>
          <w:right w:space="0" w:sz="0" w:val="nil"/>
          <w:between w:space="0" w:sz="0" w:val="nil"/>
        </w:pBdr>
        <w:spacing w:line="240" w:lineRule="auto"/>
        <w:rPr>
          <w:rFonts w:ascii="Calibri" w:cs="Calibri" w:eastAsia="Calibri" w:hAnsi="Calibri"/>
          <w:b w:val="1"/>
          <w:bCs w:val="1"/>
          <w:color w:val="000000"/>
        </w:rPr>
      </w:pPr>
      <w:r w:rsidDel="00000000" w:rsidR="00000000" w:rsidRPr="00000000">
        <w:rPr>
          <w:rtl w:val="0"/>
        </w:rPr>
      </w:r>
    </w:p>
    <w:p w:rsidR="00000000" w:rsidDel="00000000" w:rsidP="00000000" w:rsidRDefault="00000000" w:rsidRPr="00000000" w14:paraId="00000005">
      <w:pPr>
        <w:widowControl w:val="0"/>
        <w:pBdr>
          <w:top w:space="0" w:sz="0" w:val="nil"/>
          <w:left w:space="0" w:sz="0" w:val="nil"/>
          <w:bottom w:space="0" w:sz="0" w:val="nil"/>
          <w:right w:space="0" w:sz="0" w:val="nil"/>
          <w:between w:space="0" w:sz="0" w:val="nil"/>
        </w:pBdr>
        <w:spacing w:line="240" w:lineRule="auto"/>
        <w:rPr>
          <w:rFonts w:ascii="Calibri" w:cs="Calibri" w:eastAsia="Calibri" w:hAnsi="Calibri"/>
          <w:b w:val="1"/>
          <w:bCs w:val="1"/>
          <w:color w:val="000000"/>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PACIENTE: </w:t>
      </w:r>
      <w:r w:rsidDel="00000000" w:rsidR="00000000" w:rsidRPr="00000000">
        <w:rPr>
          <w:rFonts w:ascii="Roboto" w:cs="Roboto" w:eastAsia="Roboto" w:hAnsi="Roboto"/>
          <w:sz w:val="24"/>
          <w:szCs w:val="24"/>
          <w:highlight w:val="white"/>
          <w:rtl w:val="0"/>
        </w:rPr>
        <w:t>Paciente de Ejemplo</w:t>
      </w:r>
      <w:r w:rsidDel="00000000" w:rsidR="00000000" w:rsidRPr="00000000">
        <w:rPr>
          <w:rtl w:val="0"/>
        </w:rPr>
        <w:t xml:space="preserve"> </w:t>
      </w:r>
      <w:r w:rsidDel="00000000" w:rsidR="00000000" w:rsidRPr="00000000">
        <w:rPr>
          <w:rtl w:val="0"/>
        </w:rPr>
        <w:tab/>
        <w:tab/>
        <w:t xml:space="preserve">                          FECHA: 10/06/2026</w:t>
        <w:tab/>
        <w:tab/>
        <w:t xml:space="preserve">MEDICO: DRA PATRICIA QUISPE ALMANDOZ</w:t>
        <w:tab/>
        <w:tab/>
        <w:tab/>
        <w:tab/>
      </w:r>
    </w:p>
    <w:p w:rsidR="00000000" w:rsidDel="00000000" w:rsidP="00000000" w:rsidRDefault="00000000" w:rsidRPr="00000000" w14:paraId="00000008">
      <w:pPr>
        <w:widowControl w:val="0"/>
        <w:pBdr>
          <w:top w:space="0" w:sz="0" w:val="nil"/>
          <w:left w:space="0" w:sz="0" w:val="nil"/>
          <w:bottom w:space="0" w:sz="0" w:val="nil"/>
          <w:right w:space="0" w:sz="0" w:val="nil"/>
          <w:between w:space="0" w:sz="0" w:val="nil"/>
        </w:pBdr>
        <w:spacing w:line="240" w:lineRule="auto"/>
        <w:rPr>
          <w:rFonts w:ascii="Calibri" w:cs="Calibri" w:eastAsia="Calibri" w:hAnsi="Calibri"/>
          <w:b w:val="1"/>
          <w:bCs w:val="1"/>
          <w:color w:val="000000"/>
        </w:rPr>
      </w:pPr>
      <w:r w:rsidDel="00000000" w:rsidR="00000000" w:rsidRPr="00000000">
        <w:rPr>
          <w:rtl w:val="0"/>
        </w:rPr>
        <w:t xml:space="preserve">TRATAMIENTO: TRANSFERENCIA EMBRIONARIA </w:t>
        <w:tab/>
        <w:tab/>
      </w:r>
      <w:r w:rsidDel="00000000" w:rsidR="00000000" w:rsidRPr="00000000">
        <w:rPr>
          <w:rtl w:val="0"/>
        </w:rPr>
      </w:r>
    </w:p>
    <w:p w:rsidR="00000000" w:rsidDel="00000000" w:rsidP="00000000" w:rsidRDefault="00000000" w:rsidRPr="00000000" w14:paraId="00000009">
      <w:pPr>
        <w:widowControl w:val="0"/>
        <w:pBdr>
          <w:top w:space="0" w:sz="0" w:val="nil"/>
          <w:left w:space="0" w:sz="0" w:val="nil"/>
          <w:bottom w:space="0" w:sz="0" w:val="nil"/>
          <w:right w:space="0" w:sz="0" w:val="nil"/>
          <w:between w:space="0" w:sz="0" w:val="nil"/>
        </w:pBdr>
        <w:spacing w:line="240" w:lineRule="auto"/>
        <w:rPr>
          <w:rFonts w:ascii="Calibri" w:cs="Calibri" w:eastAsia="Calibri" w:hAnsi="Calibri"/>
          <w:b w:val="1"/>
          <w:bCs w:val="1"/>
          <w:color w:val="000000"/>
        </w:rPr>
      </w:pPr>
      <w:r w:rsidDel="00000000" w:rsidR="00000000" w:rsidRPr="00000000">
        <w:rPr>
          <w:rtl w:val="0"/>
        </w:rPr>
      </w:r>
    </w:p>
    <w:p w:rsidR="00000000" w:rsidDel="00000000" w:rsidP="00000000" w:rsidRDefault="00000000" w:rsidRPr="00000000" w14:paraId="0000000A">
      <w:pPr>
        <w:widowControl w:val="0"/>
        <w:pBdr>
          <w:top w:space="0" w:sz="0" w:val="nil"/>
          <w:left w:space="0" w:sz="0" w:val="nil"/>
          <w:bottom w:space="0" w:sz="0" w:val="nil"/>
          <w:right w:space="0" w:sz="0" w:val="nil"/>
          <w:between w:space="0" w:sz="0" w:val="nil"/>
        </w:pBdr>
        <w:spacing w:line="240" w:lineRule="auto"/>
        <w:rPr>
          <w:rFonts w:ascii="Calibri" w:cs="Calibri" w:eastAsia="Calibri" w:hAnsi="Calibri"/>
          <w:b w:val="1"/>
          <w:bCs w:val="1"/>
          <w:color w:val="000000"/>
        </w:rPr>
      </w:pPr>
      <w:r w:rsidDel="00000000" w:rsidR="00000000" w:rsidRPr="00000000">
        <w:rPr>
          <w:rtl w:val="0"/>
        </w:rPr>
      </w:r>
    </w:p>
    <w:p w:rsidR="00000000" w:rsidDel="00000000" w:rsidP="00000000" w:rsidRDefault="00000000" w:rsidRPr="00000000" w14:paraId="0000000B">
      <w:pPr>
        <w:widowControl w:val="0"/>
        <w:pBdr>
          <w:top w:space="0" w:sz="0" w:val="nil"/>
          <w:left w:space="0" w:sz="0" w:val="nil"/>
          <w:bottom w:space="0" w:sz="0" w:val="nil"/>
          <w:right w:space="0" w:sz="0" w:val="nil"/>
          <w:between w:space="0" w:sz="0" w:val="nil"/>
        </w:pBdr>
        <w:spacing w:line="240" w:lineRule="auto"/>
        <w:rPr>
          <w:rFonts w:ascii="Calibri" w:cs="Calibri" w:eastAsia="Calibri" w:hAnsi="Calibri"/>
          <w:b w:val="1"/>
          <w:bCs w:val="1"/>
          <w:color w:val="000000"/>
        </w:rPr>
      </w:pPr>
      <w:r w:rsidDel="00000000" w:rsidR="00000000" w:rsidRPr="00000000">
        <w:rPr>
          <w:rtl w:val="0"/>
        </w:rPr>
      </w:r>
    </w:p>
    <w:p w:rsidR="00000000" w:rsidDel="00000000" w:rsidP="00000000" w:rsidRDefault="00000000" w:rsidRPr="00000000" w14:paraId="0000000C">
      <w:pPr>
        <w:pBdr>
          <w:bottom w:color="000000" w:space="1" w:sz="4" w:val="single"/>
        </w:pBdr>
        <w:rPr>
          <w:b w:val="1"/>
          <w:bCs w:val="1"/>
          <w:sz w:val="20"/>
          <w:szCs w:val="20"/>
        </w:rPr>
      </w:pPr>
      <w:r w:rsidDel="00000000" w:rsidR="00000000" w:rsidRPr="00000000">
        <w:rPr>
          <w:b w:val="1"/>
          <w:bCs w:val="1"/>
          <w:sz w:val="20"/>
          <w:szCs w:val="20"/>
          <w:rtl w:val="0"/>
        </w:rPr>
        <w:t xml:space="preserve">TRANSFERENCIA EMBRIONARIA</w:t>
        <w:tab/>
      </w:r>
    </w:p>
    <w:p w:rsidR="00000000" w:rsidDel="00000000" w:rsidP="00000000" w:rsidRDefault="00000000" w:rsidRPr="00000000" w14:paraId="0000000D">
      <w:pPr>
        <w:pBdr>
          <w:bottom w:color="000000" w:space="1" w:sz="4" w:val="single"/>
        </w:pBdr>
        <w:rPr>
          <w:b w:val="1"/>
          <w:bCs w:val="1"/>
        </w:rPr>
      </w:pPr>
      <w:r w:rsidDel="00000000" w:rsidR="00000000" w:rsidRPr="00000000">
        <w:rPr>
          <w:b w:val="1"/>
          <w:bCs w:val="1"/>
          <w:sz w:val="20"/>
          <w:szCs w:val="20"/>
          <w:rtl w:val="0"/>
        </w:rPr>
        <w:tab/>
        <w:tab/>
        <w:tab/>
      </w:r>
      <w:r w:rsidDel="00000000" w:rsidR="00000000" w:rsidRPr="00000000">
        <w:rPr>
          <w:rtl w:val="0"/>
        </w:rPr>
      </w:r>
    </w:p>
    <w:p w:rsidR="00000000" w:rsidDel="00000000" w:rsidP="00000000" w:rsidRDefault="00000000" w:rsidRPr="00000000" w14:paraId="0000000E">
      <w:pPr>
        <w:pBdr>
          <w:bottom w:color="000000" w:space="1" w:sz="4" w:val="single"/>
        </w:pBdr>
        <w:rPr>
          <w:sz w:val="20"/>
          <w:szCs w:val="20"/>
        </w:rPr>
      </w:pPr>
      <w:r w:rsidDel="00000000" w:rsidR="00000000" w:rsidRPr="00000000">
        <w:rPr>
          <w:sz w:val="20"/>
          <w:szCs w:val="20"/>
          <w:rtl w:val="0"/>
        </w:rPr>
        <w:t xml:space="preserve">Honorarios médicos (pago en efectivo o transferencia bancaria)</w:t>
        <w:tab/>
        <w:tab/>
        <w:tab/>
        <w:t xml:space="preserve">             S/ 1200</w:t>
        <w:tab/>
        <w:tab/>
      </w:r>
    </w:p>
    <w:p w:rsidR="00000000" w:rsidDel="00000000" w:rsidP="00000000" w:rsidRDefault="00000000" w:rsidRPr="00000000" w14:paraId="0000000F">
      <w:pPr>
        <w:pBdr>
          <w:bottom w:color="000000" w:space="1" w:sz="4" w:val="single"/>
        </w:pBdr>
        <w:rPr>
          <w:sz w:val="20"/>
          <w:szCs w:val="20"/>
        </w:rPr>
      </w:pPr>
      <w:r w:rsidDel="00000000" w:rsidR="00000000" w:rsidRPr="00000000">
        <w:rPr>
          <w:sz w:val="20"/>
          <w:szCs w:val="20"/>
          <w:rtl w:val="0"/>
        </w:rPr>
        <w:t xml:space="preserve">Control endometrial, desvitrificación de embriones y transferencia embrionaria</w:t>
        <w:tab/>
        <w:t xml:space="preserve">             S/ 3800                           </w:t>
      </w:r>
    </w:p>
    <w:p w:rsidR="00000000" w:rsidDel="00000000" w:rsidP="00000000" w:rsidRDefault="00000000" w:rsidRPr="00000000" w14:paraId="00000010">
      <w:pPr>
        <w:rPr>
          <w:b w:val="1"/>
          <w:bCs w:val="1"/>
          <w:sz w:val="20"/>
          <w:szCs w:val="20"/>
        </w:rPr>
      </w:pPr>
      <w:r w:rsidDel="00000000" w:rsidR="00000000" w:rsidRPr="00000000">
        <w:rPr>
          <w:sz w:val="20"/>
          <w:szCs w:val="20"/>
          <w:rtl w:val="0"/>
        </w:rPr>
        <w:tab/>
        <w:tab/>
        <w:tab/>
        <w:tab/>
        <w:tab/>
        <w:tab/>
        <w:tab/>
      </w:r>
      <w:r w:rsidDel="00000000" w:rsidR="00000000" w:rsidRPr="00000000">
        <w:rPr>
          <w:b w:val="1"/>
          <w:bCs w:val="1"/>
          <w:sz w:val="20"/>
          <w:szCs w:val="20"/>
          <w:rtl w:val="0"/>
        </w:rPr>
        <w:t xml:space="preserve">TOTAL: </w:t>
        <w:tab/>
        <w:tab/>
        <w:t xml:space="preserve">             S/ 5000</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ab/>
        <w:tab/>
        <w:tab/>
        <w:tab/>
      </w:r>
    </w:p>
    <w:p w:rsidR="00000000" w:rsidDel="00000000" w:rsidP="00000000" w:rsidRDefault="00000000" w:rsidRPr="00000000" w14:paraId="00000013">
      <w:pPr>
        <w:rPr>
          <w:b w:val="1"/>
          <w:bCs w:val="1"/>
        </w:rPr>
      </w:pPr>
      <w:r w:rsidDel="00000000" w:rsidR="00000000" w:rsidRPr="00000000">
        <w:rPr>
          <w:b w:val="1"/>
          <w:bCs w:val="1"/>
          <w:sz w:val="20"/>
          <w:szCs w:val="20"/>
          <w:rtl w:val="0"/>
        </w:rPr>
        <w:t xml:space="preserve">VIGENCIA DEL PRESUPUESTO</w:t>
        <w:tab/>
        <w:tab/>
        <w:tab/>
        <w:tab/>
      </w:r>
      <w:r w:rsidDel="00000000" w:rsidR="00000000" w:rsidRPr="00000000">
        <w:rPr>
          <w:rtl w:val="0"/>
        </w:rPr>
      </w:r>
    </w:p>
    <w:p w:rsidR="00000000" w:rsidDel="00000000" w:rsidP="00000000" w:rsidRDefault="00000000" w:rsidRPr="00000000" w14:paraId="00000014">
      <w:pPr>
        <w:spacing w:line="240" w:lineRule="auto"/>
        <w:rPr>
          <w:sz w:val="20"/>
          <w:szCs w:val="20"/>
        </w:rPr>
      </w:pPr>
      <w:r w:rsidDel="00000000" w:rsidR="00000000" w:rsidRPr="00000000">
        <w:rPr>
          <w:sz w:val="20"/>
          <w:szCs w:val="20"/>
          <w:rtl w:val="0"/>
        </w:rPr>
        <w:t xml:space="preserve">El presupuesto tiene una vigencia de 90 días</w:t>
        <w:tab/>
        <w:tab/>
        <w:tab/>
        <w:tab/>
        <w:tab/>
        <w:tab/>
        <w:tab/>
      </w:r>
    </w:p>
    <w:p w:rsidR="00000000" w:rsidDel="00000000" w:rsidP="00000000" w:rsidRDefault="00000000" w:rsidRPr="00000000" w14:paraId="00000015">
      <w:pPr>
        <w:spacing w:line="240" w:lineRule="auto"/>
        <w:rPr>
          <w:sz w:val="20"/>
          <w:szCs w:val="20"/>
        </w:rPr>
      </w:pPr>
      <w:r w:rsidDel="00000000" w:rsidR="00000000" w:rsidRPr="00000000">
        <w:rPr>
          <w:sz w:val="20"/>
          <w:szCs w:val="20"/>
          <w:rtl w:val="0"/>
        </w:rPr>
        <w:t xml:space="preserve">Una vez pagado el tratamiento el presupuesto tendrá una validez de 60 días</w:t>
        <w:tab/>
      </w:r>
    </w:p>
    <w:p w:rsidR="00000000" w:rsidDel="00000000" w:rsidP="00000000" w:rsidRDefault="00000000" w:rsidRPr="00000000" w14:paraId="00000016">
      <w:pPr>
        <w:spacing w:line="240" w:lineRule="auto"/>
        <w:rPr>
          <w:sz w:val="20"/>
          <w:szCs w:val="20"/>
        </w:rPr>
      </w:pPr>
      <w:r w:rsidDel="00000000" w:rsidR="00000000" w:rsidRPr="00000000">
        <w:rPr>
          <w:sz w:val="20"/>
          <w:szCs w:val="20"/>
          <w:rtl w:val="0"/>
        </w:rPr>
        <w:t xml:space="preserve">Una vez vencido el plazo ampliado, cualquier pago anticipado se utilizará para cubrir el nuevo presupuesto que se elabore con los precios vigentes a dicha fecha.</w:t>
        <w:tab/>
      </w:r>
    </w:p>
    <w:p w:rsidR="00000000" w:rsidDel="00000000" w:rsidP="00000000" w:rsidRDefault="00000000" w:rsidRPr="00000000" w14:paraId="00000017">
      <w:pPr>
        <w:spacing w:line="240" w:lineRule="auto"/>
        <w:rPr>
          <w:sz w:val="20"/>
          <w:szCs w:val="20"/>
        </w:rPr>
      </w:pPr>
      <w:r w:rsidDel="00000000" w:rsidR="00000000" w:rsidRPr="00000000">
        <w:rPr>
          <w:sz w:val="20"/>
          <w:szCs w:val="20"/>
          <w:rtl w:val="0"/>
        </w:rPr>
        <w:tab/>
        <w:tab/>
        <w:tab/>
      </w:r>
    </w:p>
    <w:p w:rsidR="00000000" w:rsidDel="00000000" w:rsidP="00000000" w:rsidRDefault="00000000" w:rsidRPr="00000000" w14:paraId="00000018">
      <w:pPr>
        <w:rPr>
          <w:sz w:val="20"/>
          <w:szCs w:val="20"/>
        </w:rPr>
      </w:pPr>
      <w:r w:rsidDel="00000000" w:rsidR="00000000" w:rsidRPr="00000000">
        <w:rPr>
          <w:sz w:val="20"/>
          <w:szCs w:val="20"/>
          <w:rtl w:val="0"/>
        </w:rPr>
        <w:t xml:space="preserve">DEVOLUCIÓN DE ANTICIPOS O DE SERVICIOS NO REALIZADOS</w:t>
        <w:tab/>
        <w:tab/>
        <w:tab/>
        <w:tab/>
      </w:r>
    </w:p>
    <w:p w:rsidR="00000000" w:rsidDel="00000000" w:rsidP="00000000" w:rsidRDefault="00000000" w:rsidRPr="00000000" w14:paraId="00000019">
      <w:pPr>
        <w:rPr>
          <w:sz w:val="20"/>
          <w:szCs w:val="20"/>
        </w:rPr>
      </w:pPr>
      <w:r w:rsidDel="00000000" w:rsidR="00000000" w:rsidRPr="00000000">
        <w:rPr>
          <w:sz w:val="20"/>
          <w:szCs w:val="20"/>
          <w:rtl w:val="0"/>
        </w:rPr>
        <w:t xml:space="preserve">En caso la paciente decida no continuar con el tratamiento en cualquiera de sus etapas, la empresa hará la devolución del dinero abonado de todos los procedimientos no realizados, con una retención del 10% por motivos de gastos administrativos.</w:t>
      </w:r>
    </w:p>
    <w:p w:rsidR="00000000" w:rsidDel="00000000" w:rsidP="00000000" w:rsidRDefault="00000000" w:rsidRPr="00000000" w14:paraId="0000001A">
      <w:pPr>
        <w:rPr>
          <w:sz w:val="20"/>
          <w:szCs w:val="20"/>
        </w:rPr>
      </w:pPr>
      <w:r w:rsidDel="00000000" w:rsidR="00000000" w:rsidRPr="00000000">
        <w:rPr>
          <w:rtl w:val="0"/>
        </w:rPr>
      </w:r>
    </w:p>
    <w:p w:rsidR="00000000" w:rsidDel="00000000" w:rsidP="00000000" w:rsidRDefault="00000000" w:rsidRPr="00000000" w14:paraId="0000001B">
      <w:pPr>
        <w:rPr>
          <w:b w:val="1"/>
          <w:bCs w:val="1"/>
        </w:rPr>
      </w:pPr>
      <w:r w:rsidDel="00000000" w:rsidR="00000000" w:rsidRPr="00000000">
        <w:rPr>
          <w:b w:val="1"/>
          <w:bCs w:val="1"/>
          <w:sz w:val="20"/>
          <w:szCs w:val="20"/>
          <w:rtl w:val="0"/>
        </w:rPr>
        <w:t xml:space="preserve">HEMOS LEÍDO Y ACEPTAMOS LAS CONDICIONES Y TÉRMINOS ASOCIADOS A LOS SERVICIOS INDICADOS EN EL PRESUPUESTO</w:t>
        <w:tab/>
      </w:r>
      <w:r w:rsidDel="00000000" w:rsidR="00000000" w:rsidRPr="00000000">
        <w:rPr>
          <w:b w:val="1"/>
          <w:bCs w:val="1"/>
          <w:rtl w:val="0"/>
        </w:rPr>
        <w:tab/>
        <w:tab/>
        <w:tab/>
      </w:r>
    </w:p>
    <w:p w:rsidR="00000000" w:rsidDel="00000000" w:rsidP="00000000" w:rsidRDefault="00000000" w:rsidRPr="00000000" w14:paraId="0000001C">
      <w:pPr>
        <w:rPr/>
      </w:pPr>
      <w:r w:rsidDel="00000000" w:rsidR="00000000" w:rsidRPr="00000000">
        <w:rPr>
          <w:rtl w:val="0"/>
        </w:rPr>
        <w:tab/>
        <w:tab/>
        <w:tab/>
        <w:tab/>
      </w:r>
    </w:p>
    <w:p w:rsidR="00000000" w:rsidDel="00000000" w:rsidP="00000000" w:rsidRDefault="00000000" w:rsidRPr="00000000" w14:paraId="0000001D">
      <w:pPr>
        <w:rPr/>
      </w:pPr>
      <w:r w:rsidDel="00000000" w:rsidR="00000000" w:rsidRPr="00000000">
        <w:rPr>
          <w:rtl w:val="0"/>
        </w:rPr>
        <w:tab/>
        <w:tab/>
        <w:tab/>
        <w:tab/>
      </w:r>
      <w:r w:rsidDel="00000000" w:rsidR="00000000" w:rsidRPr="00000000">
        <w:drawing>
          <wp:anchor allowOverlap="1" behindDoc="0" distB="0" distT="0" distL="114300" distR="114300" hidden="0" layoutInCell="1" locked="0" relativeHeight="0" simplePos="0">
            <wp:simplePos x="0" y="0"/>
            <wp:positionH relativeFrom="column">
              <wp:posOffset>-50163</wp:posOffset>
            </wp:positionH>
            <wp:positionV relativeFrom="paragraph">
              <wp:posOffset>213995</wp:posOffset>
            </wp:positionV>
            <wp:extent cx="1777364" cy="22225"/>
            <wp:effectExtent b="0" l="0" r="0" t="0"/>
            <wp:wrapNone/>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777364" cy="2222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3074035</wp:posOffset>
            </wp:positionH>
            <wp:positionV relativeFrom="paragraph">
              <wp:posOffset>189865</wp:posOffset>
            </wp:positionV>
            <wp:extent cx="2191385" cy="22225"/>
            <wp:effectExtent b="0" l="0" r="0" t="0"/>
            <wp:wrapNone/>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2191385" cy="22225"/>
                    </a:xfrm>
                    <a:prstGeom prst="rect"/>
                    <a:ln/>
                  </pic:spPr>
                </pic:pic>
              </a:graphicData>
            </a:graphic>
          </wp:anchor>
        </w:drawing>
      </w:r>
    </w:p>
    <w:p w:rsidR="00000000" w:rsidDel="00000000" w:rsidP="00000000" w:rsidRDefault="00000000" w:rsidRPr="00000000" w14:paraId="0000001E">
      <w:pPr>
        <w:rPr/>
      </w:pPr>
      <w:r w:rsidDel="00000000" w:rsidR="00000000" w:rsidRPr="00000000">
        <w:rPr>
          <w:sz w:val="20"/>
          <w:szCs w:val="20"/>
          <w:rtl w:val="0"/>
        </w:rPr>
        <w:t xml:space="preserve">REPROFERTILIDAD EIRL</w:t>
      </w:r>
      <w:r w:rsidDel="00000000" w:rsidR="00000000" w:rsidRPr="00000000">
        <w:rPr>
          <w:rtl w:val="0"/>
        </w:rPr>
        <w:tab/>
        <w:tab/>
        <w:tab/>
        <w:t xml:space="preserve">         </w:t>
      </w:r>
      <w:r w:rsidDel="00000000" w:rsidR="00000000" w:rsidRPr="00000000">
        <w:rPr>
          <w:sz w:val="20"/>
          <w:szCs w:val="20"/>
          <w:rtl w:val="0"/>
        </w:rPr>
        <w:t xml:space="preserve">NOMBRE Y FIRMA DE LA PACIENTE</w:t>
        <w:tab/>
      </w:r>
      <w:r w:rsidDel="00000000" w:rsidR="00000000" w:rsidRPr="00000000">
        <w:rPr>
          <w:rtl w:val="0"/>
        </w:rPr>
        <w:tab/>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sz w:val="20"/>
          <w:szCs w:val="20"/>
        </w:rPr>
      </w:pPr>
      <w:r w:rsidDel="00000000" w:rsidR="00000000" w:rsidRPr="00000000">
        <w:rPr>
          <w:rtl w:val="0"/>
        </w:rPr>
      </w:r>
    </w:p>
    <w:p w:rsidR="00000000" w:rsidDel="00000000" w:rsidP="00000000" w:rsidRDefault="00000000" w:rsidRPr="00000000" w14:paraId="00000031">
      <w:pPr>
        <w:rPr>
          <w:sz w:val="20"/>
          <w:szCs w:val="20"/>
        </w:rPr>
      </w:pPr>
      <w:r w:rsidDel="00000000" w:rsidR="00000000" w:rsidRPr="00000000">
        <w:rPr>
          <w:rtl w:val="0"/>
        </w:rPr>
      </w:r>
    </w:p>
    <w:p w:rsidR="00000000" w:rsidDel="00000000" w:rsidP="00000000" w:rsidRDefault="00000000" w:rsidRPr="00000000" w14:paraId="00000032">
      <w:pPr>
        <w:rPr>
          <w:sz w:val="20"/>
          <w:szCs w:val="20"/>
        </w:rPr>
      </w:pPr>
      <w:r w:rsidDel="00000000" w:rsidR="00000000" w:rsidRPr="00000000">
        <w:rPr>
          <w:rtl w:val="0"/>
        </w:rPr>
      </w:r>
    </w:p>
    <w:p w:rsidR="00000000" w:rsidDel="00000000" w:rsidP="00000000" w:rsidRDefault="00000000" w:rsidRPr="00000000" w14:paraId="00000033">
      <w:pPr>
        <w:rPr>
          <w:sz w:val="20"/>
          <w:szCs w:val="20"/>
        </w:rPr>
      </w:pPr>
      <w:r w:rsidDel="00000000" w:rsidR="00000000" w:rsidRPr="00000000">
        <w:rPr>
          <w:rtl w:val="0"/>
        </w:rPr>
      </w:r>
    </w:p>
    <w:p w:rsidR="00000000" w:rsidDel="00000000" w:rsidP="00000000" w:rsidRDefault="00000000" w:rsidRPr="00000000" w14:paraId="00000034">
      <w:pPr>
        <w:rPr>
          <w:sz w:val="20"/>
          <w:szCs w:val="20"/>
        </w:rPr>
      </w:pPr>
      <w:r w:rsidDel="00000000" w:rsidR="00000000" w:rsidRPr="00000000">
        <w:rPr>
          <w:sz w:val="20"/>
          <w:szCs w:val="20"/>
          <w:rtl w:val="0"/>
        </w:rPr>
        <w:t xml:space="preserve">EVALUACIONES PREVIAS AL TRATAMIENTO DE REPRODUCCIÓN ASISTIDA</w:t>
      </w:r>
    </w:p>
    <w:p w:rsidR="00000000" w:rsidDel="00000000" w:rsidP="00000000" w:rsidRDefault="00000000" w:rsidRPr="00000000" w14:paraId="00000035">
      <w:pPr>
        <w:rPr>
          <w:sz w:val="20"/>
          <w:szCs w:val="20"/>
        </w:rPr>
      </w:pPr>
      <w:r w:rsidDel="00000000" w:rsidR="00000000" w:rsidRPr="00000000">
        <w:rPr>
          <w:rtl w:val="0"/>
        </w:rPr>
      </w:r>
    </w:p>
    <w:p w:rsidR="00000000" w:rsidDel="00000000" w:rsidP="00000000" w:rsidRDefault="00000000" w:rsidRPr="00000000" w14:paraId="00000036">
      <w:pPr>
        <w:rPr>
          <w:b w:val="1"/>
          <w:bCs w:val="1"/>
          <w:sz w:val="20"/>
          <w:szCs w:val="20"/>
        </w:rPr>
      </w:pPr>
      <w:r w:rsidDel="00000000" w:rsidR="00000000" w:rsidRPr="00000000">
        <w:rPr>
          <w:b w:val="1"/>
          <w:bCs w:val="1"/>
          <w:sz w:val="20"/>
          <w:szCs w:val="20"/>
          <w:rtl w:val="0"/>
        </w:rPr>
        <w:t xml:space="preserve">MUJER    (vigencia de seis meses a excepción del hemograma que tiene una vigencia de un mes)</w:t>
      </w:r>
    </w:p>
    <w:p w:rsidR="00000000" w:rsidDel="00000000" w:rsidP="00000000" w:rsidRDefault="00000000" w:rsidRPr="00000000" w14:paraId="00000037">
      <w:pPr>
        <w:rPr>
          <w:b w:val="1"/>
          <w:bCs w:val="1"/>
          <w:sz w:val="20"/>
          <w:szCs w:val="20"/>
        </w:rPr>
      </w:pPr>
      <w:r w:rsidDel="00000000" w:rsidR="00000000" w:rsidRPr="00000000">
        <w:rPr>
          <w:rtl w:val="0"/>
        </w:rPr>
      </w:r>
    </w:p>
    <w:p w:rsidR="00000000" w:rsidDel="00000000" w:rsidP="00000000" w:rsidRDefault="00000000" w:rsidRPr="00000000" w14:paraId="00000038">
      <w:pPr>
        <w:spacing w:line="240" w:lineRule="auto"/>
        <w:rPr>
          <w:sz w:val="20"/>
          <w:szCs w:val="20"/>
        </w:rPr>
      </w:pPr>
      <w:r w:rsidDel="00000000" w:rsidR="00000000" w:rsidRPr="00000000">
        <w:rPr>
          <w:sz w:val="20"/>
          <w:szCs w:val="20"/>
          <w:rtl w:val="0"/>
        </w:rPr>
        <w:t xml:space="preserve">- Examen completo de orina</w:t>
      </w:r>
    </w:p>
    <w:p w:rsidR="00000000" w:rsidDel="00000000" w:rsidP="00000000" w:rsidRDefault="00000000" w:rsidRPr="00000000" w14:paraId="00000039">
      <w:pPr>
        <w:spacing w:line="240" w:lineRule="auto"/>
        <w:rPr>
          <w:sz w:val="20"/>
          <w:szCs w:val="20"/>
        </w:rPr>
      </w:pPr>
      <w:r w:rsidDel="00000000" w:rsidR="00000000" w:rsidRPr="00000000">
        <w:rPr>
          <w:sz w:val="20"/>
          <w:szCs w:val="20"/>
          <w:rtl w:val="0"/>
        </w:rPr>
        <w:t xml:space="preserve">- HIV I y II</w:t>
      </w:r>
    </w:p>
    <w:p w:rsidR="00000000" w:rsidDel="00000000" w:rsidP="00000000" w:rsidRDefault="00000000" w:rsidRPr="00000000" w14:paraId="0000003A">
      <w:pPr>
        <w:spacing w:line="240" w:lineRule="auto"/>
        <w:rPr>
          <w:sz w:val="20"/>
          <w:szCs w:val="20"/>
        </w:rPr>
      </w:pPr>
      <w:r w:rsidDel="00000000" w:rsidR="00000000" w:rsidRPr="00000000">
        <w:rPr>
          <w:sz w:val="20"/>
          <w:szCs w:val="20"/>
          <w:rtl w:val="0"/>
        </w:rPr>
        <w:t xml:space="preserve">- Hepatitis B HBsAG</w:t>
      </w:r>
    </w:p>
    <w:p w:rsidR="00000000" w:rsidDel="00000000" w:rsidP="00000000" w:rsidRDefault="00000000" w:rsidRPr="00000000" w14:paraId="0000003B">
      <w:pPr>
        <w:spacing w:line="240" w:lineRule="auto"/>
        <w:rPr>
          <w:sz w:val="20"/>
          <w:szCs w:val="20"/>
        </w:rPr>
      </w:pPr>
      <w:r w:rsidDel="00000000" w:rsidR="00000000" w:rsidRPr="00000000">
        <w:rPr>
          <w:sz w:val="20"/>
          <w:szCs w:val="20"/>
          <w:rtl w:val="0"/>
        </w:rPr>
        <w:t xml:space="preserve">- Hepatitis C anticuerpos</w:t>
      </w:r>
    </w:p>
    <w:p w:rsidR="00000000" w:rsidDel="00000000" w:rsidP="00000000" w:rsidRDefault="00000000" w:rsidRPr="00000000" w14:paraId="0000003C">
      <w:pPr>
        <w:spacing w:line="240" w:lineRule="auto"/>
        <w:rPr>
          <w:sz w:val="20"/>
          <w:szCs w:val="20"/>
        </w:rPr>
      </w:pPr>
      <w:r w:rsidDel="00000000" w:rsidR="00000000" w:rsidRPr="00000000">
        <w:rPr>
          <w:sz w:val="20"/>
          <w:szCs w:val="20"/>
          <w:rtl w:val="0"/>
        </w:rPr>
        <w:t xml:space="preserve">- VDRL</w:t>
      </w:r>
    </w:p>
    <w:p w:rsidR="00000000" w:rsidDel="00000000" w:rsidP="00000000" w:rsidRDefault="00000000" w:rsidRPr="00000000" w14:paraId="0000003D">
      <w:pPr>
        <w:spacing w:line="240" w:lineRule="auto"/>
        <w:rPr>
          <w:sz w:val="20"/>
          <w:szCs w:val="20"/>
        </w:rPr>
      </w:pPr>
      <w:r w:rsidDel="00000000" w:rsidR="00000000" w:rsidRPr="00000000">
        <w:rPr>
          <w:sz w:val="20"/>
          <w:szCs w:val="20"/>
          <w:rtl w:val="0"/>
        </w:rPr>
        <w:t xml:space="preserve">- Chlamydia trachomatis Ig M</w:t>
      </w:r>
    </w:p>
    <w:p w:rsidR="00000000" w:rsidDel="00000000" w:rsidP="00000000" w:rsidRDefault="00000000" w:rsidRPr="00000000" w14:paraId="0000003E">
      <w:pPr>
        <w:widowControl w:val="0"/>
        <w:pBdr>
          <w:top w:space="0" w:sz="0" w:val="nil"/>
          <w:left w:space="0" w:sz="0" w:val="nil"/>
          <w:bottom w:space="0" w:sz="0" w:val="nil"/>
          <w:right w:space="0" w:sz="0" w:val="nil"/>
          <w:between w:space="0" w:sz="0" w:val="nil"/>
        </w:pBdr>
        <w:spacing w:line="240" w:lineRule="auto"/>
        <w:rPr>
          <w:rFonts w:ascii="Calibri" w:cs="Calibri" w:eastAsia="Calibri" w:hAnsi="Calibri"/>
          <w:b w:val="1"/>
          <w:bCs w:val="1"/>
          <w:color w:val="000000"/>
        </w:rPr>
      </w:pPr>
      <w:r w:rsidDel="00000000" w:rsidR="00000000" w:rsidRPr="00000000">
        <w:rPr>
          <w:rtl w:val="0"/>
        </w:rPr>
      </w:r>
    </w:p>
    <w:sectPr>
      <w:headerReference r:id="rId9" w:type="default"/>
      <w:footerReference r:id="rId10" w:type="default"/>
      <w:pgSz w:h="15840" w:w="12240" w:orient="portrait"/>
      <w:pgMar w:bottom="426" w:top="0" w:left="709" w:right="1183"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chiv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rFonts w:ascii="Archivo" w:cs="Archivo" w:eastAsia="Archivo" w:hAnsi="Archivo"/>
        <w:sz w:val="16"/>
        <w:szCs w:val="16"/>
      </w:rPr>
    </w:pPr>
    <w:r w:rsidDel="00000000" w:rsidR="00000000" w:rsidRPr="00000000">
      <w:rPr>
        <w:rtl w:val="0"/>
      </w:rPr>
    </w:r>
  </w:p>
  <w:tbl>
    <w:tblPr>
      <w:tblStyle w:val="Table1"/>
      <w:tblpPr w:leftFromText="180" w:rightFromText="180" w:topFromText="180" w:bottomFromText="180" w:vertAnchor="text" w:horzAnchor="text" w:tblpX="7476" w:tblpY="0"/>
      <w:tblW w:w="19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35"/>
      <w:tblGridChange w:id="0">
        <w:tblGrid>
          <w:gridCol w:w="1935"/>
        </w:tblGrid>
      </w:tblGridChange>
    </w:tblGrid>
    <w:tr>
      <w:trPr>
        <w:cantSplit w:val="1"/>
        <w:trHeight w:val="450" w:hRule="atLeast"/>
        <w:tblHeader w:val="0"/>
      </w:trPr>
      <w:tc>
        <w:tcPr>
          <w:tcBorders>
            <w:top w:color="000000" w:space="0" w:sz="0" w:val="nil"/>
            <w:left w:color="000000" w:space="0" w:sz="0" w:val="nil"/>
            <w:bottom w:color="000000" w:space="0" w:sz="0" w:val="nil"/>
            <w:right w:color="000000" w:space="0" w:sz="0" w:val="nil"/>
          </w:tcBorders>
          <w:tcMar>
            <w:top w:w="144.0" w:type="dxa"/>
            <w:left w:w="144.0" w:type="dxa"/>
            <w:bottom w:w="144.0" w:type="dxa"/>
            <w:right w:w="144.0" w:type="dxa"/>
          </w:tcMar>
        </w:tcPr>
        <w:p w:rsidR="00000000" w:rsidDel="00000000" w:rsidP="00000000" w:rsidRDefault="00000000" w:rsidRPr="00000000" w14:paraId="00000042">
          <w:pPr>
            <w:widowControl w:val="0"/>
            <w:spacing w:line="240" w:lineRule="auto"/>
            <w:rPr>
              <w:rFonts w:ascii="Archivo" w:cs="Archivo" w:eastAsia="Archivo" w:hAnsi="Archivo"/>
              <w:color w:val="54565a"/>
            </w:rPr>
          </w:pPr>
          <w:r w:rsidDel="00000000" w:rsidR="00000000" w:rsidRPr="00000000">
            <w:rPr>
              <w:rtl w:val="0"/>
            </w:rPr>
          </w:r>
        </w:p>
      </w:tc>
    </w:tr>
  </w:tbl>
  <w:p w:rsidR="00000000" w:rsidDel="00000000" w:rsidP="00000000" w:rsidRDefault="00000000" w:rsidRPr="00000000" w14:paraId="00000043">
    <w:pPr>
      <w:widowControl w:val="0"/>
      <w:spacing w:line="240" w:lineRule="auto"/>
      <w:rPr>
        <w:rFonts w:ascii="Archivo" w:cs="Archivo" w:eastAsia="Archivo" w:hAnsi="Archivo"/>
        <w:sz w:val="16"/>
        <w:szCs w:val="16"/>
      </w:rPr>
    </w:pPr>
    <w:r w:rsidDel="00000000" w:rsidR="00000000" w:rsidRPr="00000000">
      <w:rPr>
        <w:rtl w:val="0"/>
      </w:rPr>
    </w:r>
  </w:p>
  <w:tbl>
    <w:tblPr>
      <w:tblStyle w:val="Table2"/>
      <w:tblpPr w:leftFromText="180" w:rightFromText="180" w:topFromText="180" w:bottomFromText="180" w:vertAnchor="text" w:horzAnchor="text" w:tblpX="3834" w:tblpY="0"/>
      <w:tblW w:w="2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5"/>
      <w:tblGridChange w:id="0">
        <w:tblGrid>
          <w:gridCol w:w="2265"/>
        </w:tblGrid>
      </w:tblGridChange>
    </w:tblGrid>
    <w:tr>
      <w:trPr>
        <w:cantSplit w:val="1"/>
        <w:trHeight w:val="476"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tcPr>
        <w:p w:rsidR="00000000" w:rsidDel="00000000" w:rsidP="00000000" w:rsidRDefault="00000000" w:rsidRPr="00000000" w14:paraId="00000044">
          <w:pPr>
            <w:widowControl w:val="0"/>
            <w:spacing w:line="240" w:lineRule="auto"/>
            <w:rPr>
              <w:rFonts w:ascii="Archivo" w:cs="Archivo" w:eastAsia="Archivo" w:hAnsi="Archivo"/>
              <w:color w:val="54565a"/>
              <w:sz w:val="16"/>
              <w:szCs w:val="16"/>
            </w:rPr>
          </w:pPr>
          <w:r w:rsidDel="00000000" w:rsidR="00000000" w:rsidRPr="00000000">
            <w:rPr>
              <w:rtl w:val="0"/>
            </w:rPr>
          </w:r>
        </w:p>
      </w:tc>
    </w:tr>
  </w:tbl>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widowControl w:val="0"/>
      <w:spacing w:line="240" w:lineRule="auto"/>
      <w:rPr>
        <w:rFonts w:ascii="Archivo" w:cs="Archivo" w:eastAsia="Archivo" w:hAnsi="Archiv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Archivo-regular.ttf"/><Relationship Id="rId6" Type="http://schemas.openxmlformats.org/officeDocument/2006/relationships/font" Target="fonts/Archivo-bold.ttf"/><Relationship Id="rId7" Type="http://schemas.openxmlformats.org/officeDocument/2006/relationships/font" Target="fonts/Archivo-italic.ttf"/><Relationship Id="rId8" Type="http://schemas.openxmlformats.org/officeDocument/2006/relationships/font" Target="fonts/Archiv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766Lr1oGuJpC6cRwGxhHMEegFg==">CgMxLjA4AHIhMXZ5d2xpRnNueGhETy1WX0FQNldCZURqUEhYTU9mZ29T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