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40"/>
        <w:jc w:val="center"/>
      </w:pPr>
      <w:r>
        <w:rPr>
          <w:rFonts w:ascii="Calibri" w:hAnsi="Calibri"/>
          <w:b/>
          <w:i w:val="0"/>
          <w:color w:val="0B0B0B"/>
          <w:sz w:val="52"/>
        </w:rPr>
        <w:t>LA-ICP-MS U-(Th-)Pb Geochronology TAPP</w:t>
      </w:r>
    </w:p>
    <w:p>
      <w:pPr>
        <w:spacing w:after="80"/>
        <w:jc w:val="center"/>
      </w:pPr>
      <w:r>
        <w:rPr>
          <w:rFonts w:ascii="Calibri" w:hAnsi="Calibri"/>
          <w:b w:val="0"/>
          <w:i w:val="0"/>
          <w:color w:val="52514E"/>
          <w:sz w:val="30"/>
        </w:rPr>
        <w:t>A Comparative Experiment in AI-Led vs. Human-Led</w:t>
      </w:r>
    </w:p>
    <w:p>
      <w:pPr>
        <w:spacing w:after="800"/>
        <w:jc w:val="center"/>
      </w:pPr>
      <w:r>
        <w:rPr>
          <w:rFonts w:ascii="Calibri" w:hAnsi="Calibri"/>
          <w:b w:val="0"/>
          <w:i w:val="0"/>
          <w:color w:val="52514E"/>
          <w:sz w:val="30"/>
        </w:rPr>
        <w:t>Analytical Metadata Standard Development</w:t>
      </w:r>
    </w:p>
    <w:p>
      <w:pPr>
        <w:spacing w:after="80"/>
        <w:jc w:val="center"/>
      </w:pPr>
      <w:r>
        <w:rPr>
          <w:rFonts w:ascii="Calibri" w:hAnsi="Calibri"/>
          <w:b w:val="0"/>
          <w:i w:val="0"/>
          <w:color w:val="52514E"/>
          <w:sz w:val="24"/>
        </w:rPr>
        <w:t>Astromat / EarthChem TAPP Development Program</w:t>
      </w:r>
    </w:p>
    <w:p>
      <w:pPr>
        <w:spacing w:after="1600"/>
        <w:jc w:val="center"/>
      </w:pPr>
      <w:r>
        <w:rPr>
          <w:rFonts w:ascii="Calibri" w:hAnsi="Calibri"/>
          <w:b w:val="0"/>
          <w:i w:val="0"/>
          <w:color w:val="898781"/>
          <w:sz w:val="24"/>
        </w:rPr>
        <w:t>July 2026</w:t>
      </w:r>
    </w:p>
    <w:p>
      <w:pPr>
        <w:spacing w:after="160"/>
        <w:jc w:val="center"/>
      </w:pPr>
      <w:r>
        <w:rPr>
          <w:rFonts w:ascii="Calibri" w:hAnsi="Calibri"/>
          <w:b w:val="0"/>
          <w:i/>
          <w:color w:val="52514E"/>
          <w:sz w:val="20"/>
        </w:rPr>
        <w:t>Prepared for review by LA-ICP-MS geochronology domain experts</w:t>
      </w:r>
    </w:p>
    <w:p>
      <w:r>
        <w:br w:type="page"/>
      </w:r>
    </w:p>
    <w:p>
      <w:pPr>
        <w:pStyle w:val="Heading1"/>
      </w:pPr>
      <w:r>
        <w:t>Executive Summary</w:t>
      </w:r>
    </w:p>
    <w:p>
      <w:pPr>
        <w:spacing w:after="160"/>
      </w:pPr>
      <w:r>
        <w:rPr>
          <w:rFonts w:ascii="Calibri" w:hAnsi="Calibri"/>
          <w:b w:val="0"/>
          <w:i w:val="0"/>
          <w:color w:val="0B0B0B"/>
          <w:sz w:val="22"/>
        </w:rPr>
        <w:t>This report documents an experiment in generating a Technique-Aligned Procedure Profile (TAPP) for LA-ICP-MS U-(Th-)Pb geochronology directly from Table 3 of Horstwood et al. (2016) — a community reporting standard developed entirely by human experts through workshop consensus, with no AI involvement. The exercise was designed as a direct benchmark: where does this project’s AI-assisted, seed-paper-driven TAPP development workflow already agree with an independently-produced, 100%-human community standard, and where does it diverge?</w:t>
      </w:r>
    </w:p>
    <w:p>
      <w:pPr>
        <w:spacing w:after="160" w:before="0"/>
      </w:pPr>
      <w:r>
        <w:rPr>
          <w:rFonts w:ascii="Calibri" w:hAnsi="Calibri"/>
          <w:b/>
          <w:i w:val="0"/>
          <w:color w:val="0B0B0B"/>
          <w:sz w:val="22"/>
        </w:rPr>
        <w:t xml:space="preserve">Headline finding: </w:t>
      </w:r>
      <w:r>
        <w:rPr>
          <w:rFonts w:ascii="Calibri" w:hAnsi="Calibri"/>
          <w:b w:val="0"/>
          <w:i w:val="0"/>
          <w:color w:val="0B0B0B"/>
          <w:sz w:val="22"/>
        </w:rPr>
        <w:t xml:space="preserve">of the 33 comparable metadata items in Table 3, </w:t>
      </w:r>
      <w:r>
        <w:rPr>
          <w:rFonts w:ascii="Calibri" w:hAnsi="Calibri"/>
          <w:b/>
          <w:i w:val="0"/>
          <w:color w:val="0B0B0B"/>
          <w:sz w:val="22"/>
        </w:rPr>
        <w:t>24 (72.7%) were already fully captured</w:t>
      </w:r>
      <w:r>
        <w:rPr>
          <w:rFonts w:ascii="Calibri" w:hAnsi="Calibri"/>
          <w:b w:val="0"/>
          <w:i w:val="0"/>
          <w:color w:val="0B0B0B"/>
          <w:sz w:val="22"/>
        </w:rPr>
        <w:t xml:space="preserve"> by this project’s existing LA-Q/SF-ICP-MS TAPP and/or the MC-ICP-MS-specific portions of the Solution MC-ICP-MS TAPP — </w:t>
      </w:r>
      <w:r>
        <w:rPr>
          <w:rFonts w:ascii="Calibri" w:hAnsi="Calibri"/>
          <w:b w:val="0"/>
          <w:i/>
          <w:color w:val="0B0B0B"/>
          <w:sz w:val="22"/>
        </w:rPr>
        <w:t>before either paper was consulted for this exercise</w:t>
      </w:r>
      <w:r>
        <w:rPr>
          <w:rFonts w:ascii="Calibri" w:hAnsi="Calibri"/>
          <w:b w:val="0"/>
          <w:i w:val="0"/>
          <w:color w:val="0B0B0B"/>
          <w:sz w:val="22"/>
        </w:rPr>
        <w:t>. A further 2 items (6.1%) were partially captured, and 7 (21.2%) were genuine gaps — of which one (common-Pb correction) is an expected scope boundary rather than a shortfall, since neither reference TAPP targets geochronology specifically.</w:t>
      </w:r>
    </w:p>
    <w:p>
      <w:pPr>
        <w:spacing w:after="160"/>
      </w:pPr>
      <w:r>
        <w:rPr>
          <w:rFonts w:ascii="Calibri" w:hAnsi="Calibri"/>
          <w:b w:val="0"/>
          <w:i w:val="0"/>
          <w:color w:val="0B0B0B"/>
          <w:sz w:val="22"/>
        </w:rPr>
        <w:t>Where the two development approaches diverged, the differences clustered tightly around two themes — plasma-interference QC monitoring and signal-selection/interference-correction provenance — rather than being scattered randomly across the field set. This pattern is more consistent with the AI-assisted workflow having matured through many iterative review cycles than with any systematic blind spot specific to geochronology.</w:t>
      </w:r>
    </w:p>
    <w:p>
      <w:pPr>
        <w:spacing w:after="160"/>
      </w:pPr>
      <w:r>
        <w:rPr>
          <w:rFonts w:ascii="Calibri" w:hAnsi="Calibri"/>
          <w:b w:val="0"/>
          <w:i w:val="0"/>
          <w:color w:val="0B0B0B"/>
          <w:sz w:val="22"/>
        </w:rPr>
        <w:t>A follow-on experiment split the resulting TAPP by ICP-MS instrument type (quadrupole, sector-field, multi-collector). 96 of 122 fields (78.7%) proved to be fully general across all three instrument types, with only 26 fields requiring instrument-specific scoping. This is a data-backed argument for keeping related instrument variants inside one TAPP rather than three parallel documents — consistent with, and now validated against, existing project practice.</w:t>
      </w:r>
    </w:p>
    <w:p>
      <w:pPr>
        <w:spacing w:after="160"/>
      </w:pPr>
      <w:r>
        <w:rPr>
          <w:rFonts w:ascii="Calibri" w:hAnsi="Calibri"/>
          <w:b w:val="0"/>
          <w:i w:val="0"/>
          <w:color w:val="0B0B0B"/>
          <w:sz w:val="22"/>
        </w:rPr>
        <w:t>The exercise also surfaced one durable improvement to the project’s TAPP library: a new field, “Constants and Reference Values Used” (documenting decay constants and other citable, revisable physical constants), has since been adopted as a mandatory field across all TAPPs in the project.</w:t>
      </w:r>
    </w:p>
    <w:p>
      <w:pPr>
        <w:spacing w:before="120" w:after="280"/>
        <w:pBdr>
          <w:bottom w:val="single" w:sz="6" w:space="1" w:color="E1E0D9"/>
        </w:pBdr>
      </w:pPr>
    </w:p>
    <w:p>
      <w:r>
        <w:br w:type="page"/>
      </w:r>
    </w:p>
    <w:p>
      <w:pPr>
        <w:pStyle w:val="Heading1"/>
      </w:pPr>
      <w:r>
        <w:t>Contents</w:t>
      </w:r>
    </w:p>
    <w:p>
      <w:pPr>
        <w:spacing w:after="60"/>
      </w:pPr>
      <w:r>
        <w:rPr>
          <w:rFonts w:ascii="Calibri" w:hAnsi="Calibri"/>
          <w:b w:val="0"/>
          <w:i w:val="0"/>
          <w:color w:val="0B0B0B"/>
          <w:sz w:val="22"/>
        </w:rPr>
        <w:t>Executive Summary</w:t>
      </w:r>
    </w:p>
    <w:p>
      <w:pPr>
        <w:spacing w:after="60"/>
      </w:pPr>
      <w:r>
        <w:rPr>
          <w:rFonts w:ascii="Calibri" w:hAnsi="Calibri"/>
          <w:b w:val="0"/>
          <w:i w:val="0"/>
          <w:color w:val="0B0B0B"/>
          <w:sz w:val="22"/>
        </w:rPr>
        <w:t>1. Background and Motivation</w:t>
      </w:r>
    </w:p>
    <w:p>
      <w:pPr>
        <w:spacing w:after="60"/>
      </w:pPr>
      <w:r>
        <w:rPr>
          <w:rFonts w:ascii="Calibri" w:hAnsi="Calibri"/>
          <w:b w:val="0"/>
          <w:i w:val="0"/>
          <w:color w:val="0B0B0B"/>
          <w:sz w:val="22"/>
        </w:rPr>
        <w:t>2. Source Material</w:t>
      </w:r>
    </w:p>
    <w:p>
      <w:pPr>
        <w:spacing w:after="60"/>
        <w:ind w:left="432"/>
      </w:pPr>
      <w:r>
        <w:rPr>
          <w:rFonts w:ascii="Calibri" w:hAnsi="Calibri"/>
          <w:b w:val="0"/>
          <w:i w:val="0"/>
          <w:color w:val="52514E"/>
          <w:sz w:val="21"/>
        </w:rPr>
        <w:t>2.1 The human-derived reference standard</w:t>
      </w:r>
    </w:p>
    <w:p>
      <w:pPr>
        <w:spacing w:after="60"/>
        <w:ind w:left="432"/>
      </w:pPr>
      <w:r>
        <w:rPr>
          <w:rFonts w:ascii="Calibri" w:hAnsi="Calibri"/>
          <w:b w:val="0"/>
          <w:i w:val="0"/>
          <w:color w:val="52514E"/>
          <w:sz w:val="21"/>
        </w:rPr>
        <w:t>2.2 Existing AI-led TAPPs used as comparison points</w:t>
      </w:r>
    </w:p>
    <w:p>
      <w:pPr>
        <w:spacing w:after="60"/>
      </w:pPr>
      <w:r>
        <w:rPr>
          <w:rFonts w:ascii="Calibri" w:hAnsi="Calibri"/>
          <w:b w:val="0"/>
          <w:i w:val="0"/>
          <w:color w:val="0B0B0B"/>
          <w:sz w:val="22"/>
        </w:rPr>
        <w:t>3. Methodology</w:t>
      </w:r>
    </w:p>
    <w:p>
      <w:pPr>
        <w:spacing w:after="60"/>
        <w:ind w:left="432"/>
      </w:pPr>
      <w:r>
        <w:rPr>
          <w:rFonts w:ascii="Calibri" w:hAnsi="Calibri"/>
          <w:b w:val="0"/>
          <w:i w:val="0"/>
          <w:color w:val="52514E"/>
          <w:sz w:val="21"/>
        </w:rPr>
        <w:t>3.1 Building the TAPP from Table 3</w:t>
      </w:r>
    </w:p>
    <w:p>
      <w:pPr>
        <w:spacing w:after="60"/>
        <w:ind w:left="432"/>
      </w:pPr>
      <w:r>
        <w:rPr>
          <w:rFonts w:ascii="Calibri" w:hAnsi="Calibri"/>
          <w:b w:val="0"/>
          <w:i w:val="0"/>
          <w:color w:val="52514E"/>
          <w:sz w:val="21"/>
        </w:rPr>
        <w:t>3.2 Dual-provenance labeling</w:t>
      </w:r>
    </w:p>
    <w:p>
      <w:pPr>
        <w:spacing w:after="60"/>
        <w:ind w:left="432"/>
      </w:pPr>
      <w:r>
        <w:rPr>
          <w:rFonts w:ascii="Calibri" w:hAnsi="Calibri"/>
          <w:b w:val="0"/>
          <w:i w:val="0"/>
          <w:color w:val="52514E"/>
          <w:sz w:val="21"/>
        </w:rPr>
        <w:t>3.3 Tier assignment methodology</w:t>
      </w:r>
    </w:p>
    <w:p>
      <w:pPr>
        <w:spacing w:after="60"/>
      </w:pPr>
      <w:r>
        <w:rPr>
          <w:rFonts w:ascii="Calibri" w:hAnsi="Calibri"/>
          <w:b w:val="0"/>
          <w:i w:val="0"/>
          <w:color w:val="0B0B0B"/>
          <w:sz w:val="22"/>
        </w:rPr>
        <w:t>4. Scope and Structure of the Resulting TAPP</w:t>
      </w:r>
    </w:p>
    <w:p>
      <w:pPr>
        <w:spacing w:after="60"/>
        <w:ind w:left="432"/>
      </w:pPr>
      <w:r>
        <w:rPr>
          <w:rFonts w:ascii="Calibri" w:hAnsi="Calibri"/>
          <w:b w:val="0"/>
          <w:i w:val="0"/>
          <w:color w:val="52514E"/>
          <w:sz w:val="21"/>
        </w:rPr>
        <w:t>4.1 Technique scope</w:t>
      </w:r>
    </w:p>
    <w:p>
      <w:pPr>
        <w:spacing w:after="60"/>
        <w:ind w:left="432"/>
      </w:pPr>
      <w:r>
        <w:rPr>
          <w:rFonts w:ascii="Calibri" w:hAnsi="Calibri"/>
          <w:b w:val="0"/>
          <w:i w:val="0"/>
          <w:color w:val="52514E"/>
          <w:sz w:val="21"/>
        </w:rPr>
        <w:t>4.2 Version evolution</w:t>
      </w:r>
    </w:p>
    <w:p>
      <w:pPr>
        <w:spacing w:after="60"/>
        <w:ind w:left="432"/>
      </w:pPr>
      <w:r>
        <w:rPr>
          <w:rFonts w:ascii="Calibri" w:hAnsi="Calibri"/>
          <w:b w:val="0"/>
          <w:i w:val="0"/>
          <w:color w:val="52514E"/>
          <w:sz w:val="21"/>
        </w:rPr>
        <w:t>4.3 Field distribution by group (v6)</w:t>
      </w:r>
    </w:p>
    <w:p>
      <w:pPr>
        <w:spacing w:after="60"/>
        <w:ind w:left="432"/>
      </w:pPr>
      <w:r>
        <w:rPr>
          <w:rFonts w:ascii="Calibri" w:hAnsi="Calibri"/>
          <w:b w:val="0"/>
          <w:i w:val="0"/>
          <w:color w:val="52514E"/>
          <w:sz w:val="21"/>
        </w:rPr>
        <w:t>4.4 Composition by provenance</w:t>
      </w:r>
    </w:p>
    <w:p>
      <w:pPr>
        <w:spacing w:after="60"/>
      </w:pPr>
      <w:r>
        <w:rPr>
          <w:rFonts w:ascii="Calibri" w:hAnsi="Calibri"/>
          <w:b w:val="0"/>
          <w:i w:val="0"/>
          <w:color w:val="0B0B0B"/>
          <w:sz w:val="22"/>
        </w:rPr>
        <w:t>5. Comparison with Existing AI-Led ICP-MS TAPPs</w:t>
      </w:r>
    </w:p>
    <w:p>
      <w:pPr>
        <w:spacing w:after="60"/>
        <w:ind w:left="432"/>
      </w:pPr>
      <w:r>
        <w:rPr>
          <w:rFonts w:ascii="Calibri" w:hAnsi="Calibri"/>
          <w:b w:val="0"/>
          <w:i w:val="0"/>
          <w:color w:val="52514E"/>
          <w:sz w:val="21"/>
        </w:rPr>
        <w:t>5.1 Table 3 item-by-item capture status</w:t>
      </w:r>
    </w:p>
    <w:p>
      <w:pPr>
        <w:spacing w:after="60"/>
        <w:ind w:left="432"/>
      </w:pPr>
      <w:r>
        <w:rPr>
          <w:rFonts w:ascii="Calibri" w:hAnsi="Calibri"/>
          <w:b w:val="0"/>
          <w:i w:val="0"/>
          <w:color w:val="52514E"/>
          <w:sz w:val="21"/>
        </w:rPr>
        <w:t>5.2 What existing TAPPs contributed beyond Table 3</w:t>
      </w:r>
    </w:p>
    <w:p>
      <w:pPr>
        <w:spacing w:after="60"/>
        <w:ind w:left="432"/>
      </w:pPr>
      <w:r>
        <w:rPr>
          <w:rFonts w:ascii="Calibri" w:hAnsi="Calibri"/>
          <w:b w:val="0"/>
          <w:i w:val="0"/>
          <w:color w:val="52514E"/>
          <w:sz w:val="21"/>
        </w:rPr>
        <w:t>5.3 Why the approaches diverge: three explanations, weighed</w:t>
      </w:r>
    </w:p>
    <w:p>
      <w:pPr>
        <w:spacing w:after="60"/>
      </w:pPr>
      <w:r>
        <w:rPr>
          <w:rFonts w:ascii="Calibri" w:hAnsi="Calibri"/>
          <w:b w:val="0"/>
          <w:i w:val="0"/>
          <w:color w:val="0B0B0B"/>
          <w:sz w:val="22"/>
        </w:rPr>
        <w:t>6. Separating the TAPP by ICP-MS Instrument Type</w:t>
      </w:r>
    </w:p>
    <w:p>
      <w:pPr>
        <w:spacing w:after="60"/>
        <w:ind w:left="432"/>
      </w:pPr>
      <w:r>
        <w:rPr>
          <w:rFonts w:ascii="Calibri" w:hAnsi="Calibri"/>
          <w:b w:val="0"/>
          <w:i w:val="0"/>
          <w:color w:val="52514E"/>
          <w:sz w:val="21"/>
        </w:rPr>
        <w:t>6.1 Method</w:t>
      </w:r>
    </w:p>
    <w:p>
      <w:pPr>
        <w:spacing w:after="60"/>
        <w:ind w:left="432"/>
      </w:pPr>
      <w:r>
        <w:rPr>
          <w:rFonts w:ascii="Calibri" w:hAnsi="Calibri"/>
          <w:b w:val="0"/>
          <w:i w:val="0"/>
          <w:color w:val="52514E"/>
          <w:sz w:val="21"/>
        </w:rPr>
        <w:t>6.2 Result: the separation is clean, and the shared core dominates</w:t>
      </w:r>
    </w:p>
    <w:p>
      <w:pPr>
        <w:spacing w:after="60"/>
        <w:ind w:left="432"/>
      </w:pPr>
      <w:r>
        <w:rPr>
          <w:rFonts w:ascii="Calibri" w:hAnsi="Calibri"/>
          <w:b w:val="0"/>
          <w:i w:val="0"/>
          <w:color w:val="52514E"/>
          <w:sz w:val="21"/>
        </w:rPr>
        <w:t>6.3 A structural finding: parent fields can be general even when their detail is instrument-scoped</w:t>
      </w:r>
    </w:p>
    <w:p>
      <w:pPr>
        <w:spacing w:after="60"/>
        <w:ind w:left="432"/>
      </w:pPr>
      <w:r>
        <w:rPr>
          <w:rFonts w:ascii="Calibri" w:hAnsi="Calibri"/>
          <w:b w:val="0"/>
          <w:i w:val="0"/>
          <w:color w:val="52514E"/>
          <w:sz w:val="21"/>
        </w:rPr>
        <w:t>6.4 Implication for TAPP architecture</w:t>
      </w:r>
    </w:p>
    <w:p>
      <w:pPr>
        <w:spacing w:after="60"/>
        <w:ind w:left="432"/>
      </w:pPr>
      <w:r>
        <w:rPr>
          <w:rFonts w:ascii="Calibri" w:hAnsi="Calibri"/>
          <w:b w:val="0"/>
          <w:i w:val="0"/>
          <w:color w:val="52514E"/>
          <w:sz w:val="21"/>
        </w:rPr>
        <w:t>6.5 Postscript (2026-07-29): collision/reaction cells on modern MC-ICP-MS</w:t>
      </w:r>
    </w:p>
    <w:p>
      <w:pPr>
        <w:spacing w:after="60"/>
      </w:pPr>
      <w:r>
        <w:rPr>
          <w:rFonts w:ascii="Calibri" w:hAnsi="Calibri"/>
          <w:b w:val="0"/>
          <w:i w:val="0"/>
          <w:color w:val="0B0B0B"/>
          <w:sz w:val="22"/>
        </w:rPr>
        <w:t>7. Lessons Learned</w:t>
      </w:r>
    </w:p>
    <w:p>
      <w:pPr>
        <w:spacing w:after="60"/>
        <w:ind w:left="432"/>
      </w:pPr>
      <w:r>
        <w:rPr>
          <w:rFonts w:ascii="Calibri" w:hAnsi="Calibri"/>
          <w:b w:val="0"/>
          <w:i w:val="0"/>
          <w:color w:val="52514E"/>
          <w:sz w:val="21"/>
        </w:rPr>
        <w:t>7.1 Process lessons for future TAPP comparisons</w:t>
      </w:r>
    </w:p>
    <w:p>
      <w:pPr>
        <w:spacing w:after="60"/>
        <w:ind w:left="432"/>
      </w:pPr>
      <w:r>
        <w:rPr>
          <w:rFonts w:ascii="Calibri" w:hAnsi="Calibri"/>
          <w:b w:val="0"/>
          <w:i w:val="0"/>
          <w:color w:val="52514E"/>
          <w:sz w:val="21"/>
        </w:rPr>
        <w:t>7.2 A durable outcome: a new mandatory cross-TAPP field</w:t>
      </w:r>
    </w:p>
    <w:p>
      <w:pPr>
        <w:spacing w:after="60"/>
      </w:pPr>
      <w:r>
        <w:rPr>
          <w:rFonts w:ascii="Calibri" w:hAnsi="Calibri"/>
          <w:b w:val="0"/>
          <w:i w:val="0"/>
          <w:color w:val="0B0B0B"/>
          <w:sz w:val="22"/>
        </w:rPr>
        <w:t>8. Conclusions</w:t>
      </w:r>
    </w:p>
    <w:p>
      <w:r>
        <w:br w:type="page"/>
      </w:r>
    </w:p>
    <w:p>
      <w:pPr>
        <w:pStyle w:val="Heading1"/>
      </w:pPr>
      <w:r>
        <w:t>1. Background and Motivation</w:t>
      </w:r>
    </w:p>
    <w:p>
      <w:pPr>
        <w:spacing w:after="160"/>
      </w:pPr>
      <w:r>
        <w:rPr>
          <w:rFonts w:ascii="Calibri" w:hAnsi="Calibri"/>
          <w:b w:val="0"/>
          <w:i w:val="0"/>
          <w:color w:val="0B0B0B"/>
          <w:sz w:val="22"/>
        </w:rPr>
        <w:t>A Technique-Aligned Procedure Profile (TAPP) is this project’s structured metadata framework for documenting an analytical technique at two levels: the procedure (the standing set of guidelines specifying how a technique is applied, registerable with a DOI) and the analysis (the specific execution of that procedure on a given sample, on a given date). TAPPs are the primary metadata deliverable for the Astromat/EarthChem method-metadata infrastructure, and to date have been developed through an AI-assisted workflow: seed papers and existing procedure templates inform a preliminary draft, which is then refined through structured human review and validated against a literature assessment of application papers.</w:t>
      </w:r>
    </w:p>
    <w:p>
      <w:pPr>
        <w:spacing w:after="160"/>
      </w:pPr>
      <w:r>
        <w:rPr>
          <w:rFonts w:ascii="Calibri" w:hAnsi="Calibri"/>
          <w:b w:val="0"/>
          <w:i w:val="0"/>
          <w:color w:val="0B0B0B"/>
          <w:sz w:val="22"/>
        </w:rPr>
        <w:t>This experiment set that workflow against a different kind of input: Horstwood et al. (2016), a widely-cited community reporting standard for LA-ICP-MS U-(Th-)Pb geochronology, produced through in-person workshops among practicing geochronologists with no AI assistance at any stage. Its Table 3 (“Recommended reporting template (metadata) for LA-ICP-MS U-(Th-)Pb data”) is, in effect, an independent, human-only answer to the same question this project’s TAPP workflow is built to answer: what metadata must be reported for a procedure to be reproducible and trustworthy?</w:t>
      </w:r>
    </w:p>
    <w:p>
      <w:pPr>
        <w:spacing w:after="160"/>
      </w:pPr>
      <w:r>
        <w:rPr>
          <w:rFonts w:ascii="Calibri" w:hAnsi="Calibri"/>
          <w:b w:val="0"/>
          <w:i w:val="0"/>
          <w:color w:val="0B0B0B"/>
          <w:sz w:val="22"/>
        </w:rPr>
        <w:t>Building a TAPP directly from that table — and only from that table, without supplementing it from other literature the way a normal TAPP development cycle would — created a clean comparison point. Two additional questions followed naturally from the result: how does the resulting TAPP relate to this project’s existing ICP-MS TAPPs, and how cleanly can a single geochronology TAPP be separated by the underlying ICP-MS mass-analyzer type (quadrupole, sector-field, multi-collector)?</w:t>
      </w:r>
    </w:p>
    <w:p>
      <w:pPr>
        <w:pStyle w:val="Heading1"/>
      </w:pPr>
      <w:r>
        <w:t>2. Source Material</w:t>
      </w:r>
    </w:p>
    <w:p>
      <w:pPr>
        <w:pStyle w:val="Heading2"/>
      </w:pPr>
      <w:r>
        <w:t>2.1 The human-derived reference standard</w:t>
      </w:r>
    </w:p>
    <w:p>
      <w:pPr>
        <w:spacing w:after="160" w:before="0"/>
      </w:pPr>
      <w:r>
        <w:rPr>
          <w:rFonts w:ascii="Calibri" w:hAnsi="Calibri"/>
          <w:b w:val="0"/>
          <w:i/>
          <w:color w:val="0B0B0B"/>
          <w:sz w:val="22"/>
        </w:rPr>
        <w:t xml:space="preserve">Horstwood, M.S.A., Kosler, J., Gehrels, G., Jackson, S.E., McLean, N.M., Paton, C., Pearson, N.J., Sircombe, K., Sylvester, P., Vermeesch, P., Bowring, J.F., Condon, D.J. &amp; Schoene, B. (2016). </w:t>
      </w:r>
      <w:r>
        <w:rPr>
          <w:rFonts w:ascii="Calibri" w:hAnsi="Calibri"/>
          <w:b/>
          <w:i/>
          <w:color w:val="0B0B0B"/>
          <w:sz w:val="22"/>
        </w:rPr>
        <w:t>Community-Derived Standards for LA-ICP-MS U-(Th-)Pb Geochronology – Uncertainty Propagation, Age Interpretation and Data Reporting.</w:t>
      </w:r>
      <w:r>
        <w:rPr>
          <w:rFonts w:ascii="Calibri" w:hAnsi="Calibri"/>
          <w:b w:val="0"/>
          <w:i w:val="0"/>
          <w:color w:val="0B0B0B"/>
          <w:sz w:val="22"/>
        </w:rPr>
        <w:t xml:space="preserve"> Geostandards and Geoanalytical Research, 40(3), 311–332. doi:10.1111/j.1751-908X.2016.00379.x</w:t>
      </w:r>
    </w:p>
    <w:p>
      <w:pPr>
        <w:spacing w:after="160"/>
      </w:pPr>
      <w:r>
        <w:rPr>
          <w:rFonts w:ascii="Calibri" w:hAnsi="Calibri"/>
          <w:b w:val="0"/>
          <w:i w:val="0"/>
          <w:color w:val="0B0B0B"/>
          <w:sz w:val="22"/>
        </w:rPr>
        <w:t>The paper’s author list spans thirteen geochronologists from leading LA-ICP-MS facilities (NERC Isotope Geosciences Laboratory/BGS, University of Arizona, Geological Survey of Canada, University of Kansas, University of Copenhagen, Macquarie University/GEMOC, Geoscience Australia, Texas Tech University, University College London, College of Charleston, and Princeton University), reflecting a genuine cross-laboratory consensus rather than a single lab’s house style. Its Table 3 is explicitly framed by the authors as “the recommended minimum metadata types to be submitted for publication” — a floor for adequate reporting, not an exhaustive best-practice checklist.</w:t>
      </w:r>
    </w:p>
    <w:p>
      <w:pPr>
        <w:pStyle w:val="Heading2"/>
      </w:pPr>
      <w:r>
        <w:t>2.2 Existing AI-led TAPPs used as comparison points</w:t>
      </w:r>
    </w:p>
    <w:p>
      <w:pPr>
        <w:pStyle w:val="ListBullet"/>
        <w:spacing w:after="80"/>
        <w:ind w:left="360"/>
      </w:pPr>
      <w:r>
        <w:rPr>
          <w:rFonts w:ascii="Calibri" w:hAnsi="Calibri"/>
          <w:color w:val="0B0B0B"/>
          <w:sz w:val="22"/>
        </w:rPr>
        <w:t>LA-Q/SF-ICP-MS TAPP (v4.1 at the time of this comparison; now v5 after a subsequent cross-TAPP retrofit unrelated to geochronology) — covers laser ablation coupled to single-collector quadrupole and sector-field ICP-MS for multi-element trace/major-element chemistry. Developed from seed papers and literature assessment against 13 procedures from 10 papers. Not built for geochronology.</w:t>
      </w:r>
    </w:p>
    <w:p>
      <w:pPr>
        <w:pStyle w:val="ListBullet"/>
        <w:spacing w:after="80"/>
        <w:ind w:left="360"/>
      </w:pPr>
      <w:r>
        <w:rPr>
          <w:rFonts w:ascii="Calibri" w:hAnsi="Calibri"/>
          <w:color w:val="0B0B0B"/>
          <w:sz w:val="22"/>
        </w:rPr>
        <w:t>Solution MC-ICP-MS TAPP (v3 at the time of this comparison; now v5 after two subsequent updates unrelated to the Table 3 comparison — see Section 6.5) — covers solution-introduction multi-collector ICP-MS for high-precision isotope ratio and isotope dilution work (Fe, U, Sn, Pb, Zn, and other systems). Included in this comparison specifically because LA-Q/SF-ICP-MS has no multi-collector coverage, and Horstwood et al.’s own worked example instrument is a multi-collector system (Nu Instruments Nu Plasma HR).</w:t>
      </w:r>
    </w:p>
    <w:p>
      <w:pPr>
        <w:spacing w:after="160"/>
      </w:pPr>
      <w:r>
        <w:rPr>
          <w:rFonts w:ascii="Calibri" w:hAnsi="Calibri"/>
          <w:b w:val="0"/>
          <w:i w:val="0"/>
          <w:color w:val="0B0B0B"/>
          <w:sz w:val="22"/>
        </w:rPr>
        <w:t>Both are pre-existing, independently-developed TAPPs — neither was built with U-(Th-)Pb geochronology, nor Horstwood et al. (2016), in mind.</w:t>
      </w:r>
    </w:p>
    <w:p>
      <w:r>
        <w:br w:type="page"/>
      </w:r>
    </w:p>
    <w:p>
      <w:pPr>
        <w:pStyle w:val="Heading1"/>
      </w:pPr>
      <w:r>
        <w:t>3. Methodology</w:t>
      </w:r>
    </w:p>
    <w:p>
      <w:pPr>
        <w:pStyle w:val="Heading2"/>
      </w:pPr>
      <w:r>
        <w:t>3.1 Building the TAPP from Table 3</w:t>
      </w:r>
    </w:p>
    <w:p>
      <w:pPr>
        <w:spacing w:after="160"/>
      </w:pPr>
      <w:r>
        <w:rPr>
          <w:rFonts w:ascii="Calibri" w:hAnsi="Calibri"/>
          <w:b w:val="0"/>
          <w:i w:val="0"/>
          <w:color w:val="0B0B0B"/>
          <w:sz w:val="22"/>
        </w:rPr>
        <w:t>Every item in Table 3 was mapped into this project’s standard six-group TAPP structure (Procedure Identification, Samples, Instrument &amp; Software, Measurement Information, Data Processing, Quality Control &amp; Uncertainty) without splitting, merging, or adding to the paper’s own content in the first pass. Table 3’s own five internal sections (laboratory/sample preparation, laser ablation system, ICP-MS instrument, data processing, and other information) do not correspond one-to-one with the TAPP’s six groups by design — remapping them was itself part of the exercise, since it tests whether the project’s group structure can accommodate an independently-organized source.</w:t>
      </w:r>
    </w:p>
    <w:p>
      <w:pPr>
        <w:spacing w:after="160"/>
      </w:pPr>
      <w:r>
        <w:rPr>
          <w:rFonts w:ascii="Calibri" w:hAnsi="Calibri"/>
          <w:b w:val="0"/>
          <w:i w:val="0"/>
          <w:color w:val="0B0B0B"/>
          <w:sz w:val="22"/>
        </w:rPr>
        <w:t>Fields required by every TAPP regardless of source paper (Group 1 identity fields, the mandatory Analytical Mode field, standard Group 2/3/6 field names) were then added and distinctly labeled, so that paper-derived and in-house-mandated content remain traceable to their origin throughout the CSV’s Comments column.</w:t>
      </w:r>
    </w:p>
    <w:p>
      <w:pPr>
        <w:pStyle w:val="Heading2"/>
      </w:pPr>
      <w:r>
        <w:t>3.2 Dual-provenance labeling</w:t>
      </w:r>
    </w:p>
    <w:p>
      <w:pPr>
        <w:spacing w:after="160"/>
      </w:pPr>
      <w:r>
        <w:rPr>
          <w:rFonts w:ascii="Calibri" w:hAnsi="Calibri"/>
          <w:b w:val="0"/>
          <w:i w:val="0"/>
          <w:color w:val="0B0B0B"/>
          <w:sz w:val="22"/>
        </w:rPr>
        <w:t>Every field in the resulting TAPP carries a source label distinguishing five provenance categories, allowing the TAPP’s composition to be audited field-by-field rather than taken on faith:</w:t>
      </w:r>
    </w:p>
    <w:p>
      <w:pPr>
        <w:pStyle w:val="ListBullet"/>
        <w:spacing w:after="80"/>
        <w:ind w:left="360"/>
      </w:pPr>
      <w:r>
        <w:rPr>
          <w:rFonts w:ascii="Calibri" w:hAnsi="Calibri"/>
          <w:color w:val="0B0B0B"/>
          <w:sz w:val="22"/>
        </w:rPr>
        <w:t>Paper-direct — transcribed from Table 3 without modification</w:t>
      </w:r>
    </w:p>
    <w:p>
      <w:pPr>
        <w:pStyle w:val="ListBullet"/>
        <w:spacing w:after="80"/>
        <w:ind w:left="360"/>
      </w:pPr>
      <w:r>
        <w:rPr>
          <w:rFonts w:ascii="Calibri" w:hAnsi="Calibri"/>
          <w:color w:val="0B0B0B"/>
          <w:sz w:val="22"/>
        </w:rPr>
        <w:t>Paper-split/restructured — derived from Table 3 content that was renamed, merged, or split for cross-TAPP consistency (e.g., to match the LA-Q/SF-ICP-MS TAPP’s field-naming conventions)</w:t>
      </w:r>
    </w:p>
    <w:p>
      <w:pPr>
        <w:pStyle w:val="ListBullet"/>
        <w:spacing w:after="80"/>
        <w:ind w:left="360"/>
      </w:pPr>
      <w:r>
        <w:rPr>
          <w:rFonts w:ascii="Calibri" w:hAnsi="Calibri"/>
          <w:color w:val="0B0B0B"/>
          <w:sz w:val="22"/>
        </w:rPr>
        <w:t>In-house template — mandatory fields required in every TAPP regardless of technique (Group 1 identity fields, Analytical Mode, standard QC field names)</w:t>
      </w:r>
    </w:p>
    <w:p>
      <w:pPr>
        <w:pStyle w:val="ListBullet"/>
        <w:spacing w:after="80"/>
        <w:ind w:left="360"/>
      </w:pPr>
      <w:r>
        <w:rPr>
          <w:rFonts w:ascii="Calibri" w:hAnsi="Calibri"/>
          <w:color w:val="0B0B0B"/>
          <w:sz w:val="22"/>
        </w:rPr>
        <w:t>Imported from LA-Q/SF-ICP-MS TAPP — fields with no Table 3 precedent, adopted from the existing quadrupole/sector-field trace-element TAPP</w:t>
      </w:r>
    </w:p>
    <w:p>
      <w:pPr>
        <w:pStyle w:val="ListBullet"/>
        <w:spacing w:after="80"/>
        <w:ind w:left="360"/>
      </w:pPr>
      <w:r>
        <w:rPr>
          <w:rFonts w:ascii="Calibri" w:hAnsi="Calibri"/>
          <w:color w:val="0B0B0B"/>
          <w:sz w:val="22"/>
        </w:rPr>
        <w:t>Imported from Solution MC-ICP-MS TAPP — fields with no Table 3 precedent, adopted from the existing multi-collector solution TAPP</w:t>
      </w:r>
    </w:p>
    <w:p>
      <w:pPr>
        <w:pStyle w:val="Heading2"/>
      </w:pPr>
      <w:r>
        <w:t>3.3 Tier assignment methodology</w:t>
      </w:r>
    </w:p>
    <w:p>
      <w:pPr>
        <w:spacing w:after="160"/>
      </w:pPr>
      <w:r>
        <w:rPr>
          <w:rFonts w:ascii="Calibri" w:hAnsi="Calibri"/>
          <w:b w:val="0"/>
          <w:i w:val="0"/>
          <w:color w:val="0B0B0B"/>
          <w:sz w:val="22"/>
        </w:rPr>
        <w:t>Every TAPP field carries two tier values: a Procedure-Level Tier (Basic = mandatory for procedure registration; Advanced = recommended but optional; N/A = not applicable at procedure level) and an Analysis-Level Tier (Read-Only, Editable, Basic, or Advanced). Tier assignment in this TAPP followed source-dependent rules rather than a single blanket policy:</w:t>
      </w:r>
    </w:p>
    <w:tbl>
      <w:tblPr>
        <w:tblStyle w:val="TableGrid"/>
        <w:tblW w:type="auto" w:w="0"/>
        <w:tblLayout w:type="fixed"/>
        <w:tblLook w:firstColumn="1" w:firstRow="1" w:lastColumn="0" w:lastRow="0" w:noHBand="0" w:noVBand="1" w:val="04A0"/>
      </w:tblPr>
      <w:tblGrid>
        <w:gridCol w:w="3456"/>
        <w:gridCol w:w="3456"/>
        <w:gridCol w:w="3456"/>
      </w:tblGrid>
      <w:tr>
        <w:tc>
          <w:tcPr>
            <w:tcW w:type="dxa" w:w="2880"/>
            <w:vAlign w:val="center"/>
            <w:shd w:val="clear" w:color="auto" w:fill="2F5597"/>
          </w:tcPr>
          <w:p>
            <w:pPr>
              <w:spacing w:after="0"/>
            </w:pPr>
            <w:r/>
            <w:r>
              <w:rPr>
                <w:rFonts w:ascii="Calibri" w:hAnsi="Calibri"/>
                <w:b/>
                <w:color w:val="FFFFFF"/>
                <w:sz w:val="18"/>
              </w:rPr>
              <w:t>Source category</w:t>
            </w:r>
          </w:p>
        </w:tc>
        <w:tc>
          <w:tcPr>
            <w:tcW w:type="dxa" w:w="2448"/>
            <w:vAlign w:val="center"/>
            <w:shd w:val="clear" w:color="auto" w:fill="2F5597"/>
          </w:tcPr>
          <w:p>
            <w:pPr>
              <w:spacing w:after="0"/>
            </w:pPr>
            <w:r/>
            <w:r>
              <w:rPr>
                <w:rFonts w:ascii="Calibri" w:hAnsi="Calibri"/>
                <w:b/>
                <w:color w:val="FFFFFF"/>
                <w:sz w:val="18"/>
              </w:rPr>
              <w:t>Procedure-Level Tier rule</w:t>
            </w:r>
          </w:p>
        </w:tc>
        <w:tc>
          <w:tcPr>
            <w:tcW w:type="dxa" w:w="4752"/>
            <w:vAlign w:val="center"/>
            <w:shd w:val="clear" w:color="auto" w:fill="2F5597"/>
          </w:tcPr>
          <w:p>
            <w:pPr>
              <w:spacing w:after="0"/>
            </w:pPr>
            <w:r/>
            <w:r>
              <w:rPr>
                <w:rFonts w:ascii="Calibri" w:hAnsi="Calibri"/>
                <w:b/>
                <w:color w:val="FFFFFF"/>
                <w:sz w:val="18"/>
              </w:rPr>
              <w:t>Rationale</w:t>
            </w:r>
          </w:p>
        </w:tc>
      </w:tr>
      <w:tr>
        <w:tc>
          <w:tcPr>
            <w:tcW w:type="dxa" w:w="2880"/>
            <w:vAlign w:val="center"/>
            <w:shd w:val="clear" w:color="auto" w:fill="E8F1FC"/>
          </w:tcPr>
          <w:p>
            <w:pPr>
              <w:spacing w:after="0"/>
            </w:pPr>
            <w:r/>
            <w:r>
              <w:rPr>
                <w:rFonts w:ascii="Calibri" w:hAnsi="Calibri"/>
                <w:b w:val="0"/>
                <w:color w:val="0B0B0B"/>
                <w:sz w:val="18"/>
              </w:rPr>
              <w:t>Paper-direct / paper-split content</w:t>
            </w:r>
          </w:p>
        </w:tc>
        <w:tc>
          <w:tcPr>
            <w:tcW w:type="dxa" w:w="2448"/>
            <w:vAlign w:val="center"/>
            <w:shd w:val="clear" w:color="auto" w:fill="E8F1FC"/>
          </w:tcPr>
          <w:p>
            <w:pPr>
              <w:spacing w:after="0"/>
            </w:pPr>
            <w:r/>
            <w:r>
              <w:rPr>
                <w:rFonts w:ascii="Calibri" w:hAnsi="Calibri"/>
                <w:b w:val="0"/>
                <w:color w:val="0B0B0B"/>
                <w:sz w:val="18"/>
              </w:rPr>
              <w:t>Basic</w:t>
            </w:r>
          </w:p>
        </w:tc>
        <w:tc>
          <w:tcPr>
            <w:tcW w:type="dxa" w:w="4752"/>
            <w:vAlign w:val="center"/>
            <w:shd w:val="clear" w:color="auto" w:fill="E8F1FC"/>
          </w:tcPr>
          <w:p>
            <w:pPr>
              <w:spacing w:after="0"/>
            </w:pPr>
            <w:r/>
            <w:r>
              <w:rPr>
                <w:rFonts w:ascii="Calibri" w:hAnsi="Calibri"/>
                <w:b w:val="0"/>
                <w:color w:val="0B0B0B"/>
                <w:sz w:val="18"/>
              </w:rPr>
              <w:t>Horstwood et al. (2016) explicitly frame Table 3 as “the recommended minimum metadata types” — a minimum-reporting standard maps directly to Basic (mandatory for registration), not Advanced.</w:t>
            </w:r>
          </w:p>
        </w:tc>
      </w:tr>
      <w:tr>
        <w:tc>
          <w:tcPr>
            <w:tcW w:type="dxa" w:w="2880"/>
            <w:vAlign w:val="center"/>
          </w:tcPr>
          <w:p>
            <w:pPr>
              <w:spacing w:after="0"/>
            </w:pPr>
            <w:r/>
            <w:r>
              <w:rPr>
                <w:rFonts w:ascii="Calibri" w:hAnsi="Calibri"/>
                <w:b w:val="0"/>
                <w:color w:val="0B0B0B"/>
                <w:sz w:val="18"/>
              </w:rPr>
              <w:t>In-house template fields</w:t>
            </w:r>
          </w:p>
        </w:tc>
        <w:tc>
          <w:tcPr>
            <w:tcW w:type="dxa" w:w="2448"/>
            <w:vAlign w:val="center"/>
          </w:tcPr>
          <w:p>
            <w:pPr>
              <w:spacing w:after="0"/>
            </w:pPr>
            <w:r/>
            <w:r>
              <w:rPr>
                <w:rFonts w:ascii="Calibri" w:hAnsi="Calibri"/>
                <w:b w:val="0"/>
                <w:color w:val="0B0B0B"/>
                <w:sz w:val="18"/>
              </w:rPr>
              <w:t>As specified by existing cross-TAPP rules</w:t>
            </w:r>
          </w:p>
        </w:tc>
        <w:tc>
          <w:tcPr>
            <w:tcW w:type="dxa" w:w="4752"/>
            <w:vAlign w:val="center"/>
          </w:tcPr>
          <w:p>
            <w:pPr>
              <w:spacing w:after="0"/>
            </w:pPr>
            <w:r/>
            <w:r>
              <w:rPr>
                <w:rFonts w:ascii="Calibri" w:hAnsi="Calibri"/>
                <w:b w:val="0"/>
                <w:color w:val="0B0B0B"/>
                <w:sz w:val="18"/>
              </w:rPr>
              <w:t>Group 1 identity fields, Analytical Mode, and standard QC field names follow the tier assignments already fixed by convention across all TAPPs.</w:t>
            </w:r>
          </w:p>
        </w:tc>
      </w:tr>
      <w:tr>
        <w:tc>
          <w:tcPr>
            <w:tcW w:type="dxa" w:w="2880"/>
            <w:vAlign w:val="center"/>
          </w:tcPr>
          <w:p>
            <w:pPr>
              <w:spacing w:after="0"/>
            </w:pPr>
            <w:r/>
            <w:r>
              <w:rPr>
                <w:rFonts w:ascii="Calibri" w:hAnsi="Calibri"/>
                <w:b w:val="0"/>
                <w:color w:val="0B0B0B"/>
                <w:sz w:val="18"/>
              </w:rPr>
              <w:t>Imported from LA-Q/SF-ICP-MS or Solution MC-ICP-MS</w:t>
            </w:r>
          </w:p>
        </w:tc>
        <w:tc>
          <w:tcPr>
            <w:tcW w:type="dxa" w:w="2448"/>
            <w:vAlign w:val="center"/>
          </w:tcPr>
          <w:p>
            <w:pPr>
              <w:spacing w:after="0"/>
            </w:pPr>
            <w:r/>
            <w:r>
              <w:rPr>
                <w:rFonts w:ascii="Calibri" w:hAnsi="Calibri"/>
                <w:b w:val="0"/>
                <w:color w:val="0B0B0B"/>
                <w:sz w:val="18"/>
              </w:rPr>
              <w:t>Advanced by default, regardless of the source TAPP’s own tier</w:t>
            </w:r>
          </w:p>
        </w:tc>
        <w:tc>
          <w:tcPr>
            <w:tcW w:type="dxa" w:w="4752"/>
            <w:vAlign w:val="center"/>
          </w:tcPr>
          <w:p>
            <w:pPr>
              <w:spacing w:after="0"/>
            </w:pPr>
            <w:r/>
            <w:r>
              <w:rPr>
                <w:rFonts w:ascii="Calibri" w:hAnsi="Calibri"/>
                <w:b w:val="0"/>
                <w:color w:val="0B0B0B"/>
                <w:sz w:val="18"/>
              </w:rPr>
              <w:t>A field being mandatory for general trace-element or general isotope-ratio work does not establish that it is equally mandatory for geochronology specifically. Advanced is the conservative default pending expert review; several candidates for promotion to Basic are flagged in Section 5.</w:t>
            </w:r>
          </w:p>
        </w:tc>
      </w:tr>
      <w:tr>
        <w:tc>
          <w:tcPr>
            <w:tcW w:type="dxa" w:w="2880"/>
            <w:vAlign w:val="center"/>
          </w:tcPr>
          <w:p>
            <w:pPr>
              <w:spacing w:after="0"/>
            </w:pPr>
            <w:r/>
            <w:r>
              <w:rPr>
                <w:rFonts w:ascii="Calibri" w:hAnsi="Calibri"/>
                <w:b w:val="0"/>
                <w:color w:val="0B0B0B"/>
                <w:sz w:val="18"/>
              </w:rPr>
              <w:t>New fields with no precedent in any source (e.g., a mathematical mass-fractionation law)</w:t>
            </w:r>
          </w:p>
        </w:tc>
        <w:tc>
          <w:tcPr>
            <w:tcW w:type="dxa" w:w="2448"/>
            <w:vAlign w:val="center"/>
          </w:tcPr>
          <w:p>
            <w:pPr>
              <w:spacing w:after="0"/>
            </w:pPr>
            <w:r/>
            <w:r>
              <w:rPr>
                <w:rFonts w:ascii="Calibri" w:hAnsi="Calibri"/>
                <w:b w:val="0"/>
                <w:color w:val="0B0B0B"/>
                <w:sz w:val="18"/>
              </w:rPr>
              <w:t>Advanced</w:t>
            </w:r>
          </w:p>
        </w:tc>
        <w:tc>
          <w:tcPr>
            <w:tcW w:type="dxa" w:w="4752"/>
            <w:vAlign w:val="center"/>
          </w:tcPr>
          <w:p>
            <w:pPr>
              <w:spacing w:after="0"/>
            </w:pPr>
            <w:r/>
            <w:r>
              <w:rPr>
                <w:rFonts w:ascii="Calibri" w:hAnsi="Calibri"/>
                <w:b w:val="0"/>
                <w:color w:val="0B0B0B"/>
                <w:sz w:val="18"/>
              </w:rPr>
              <w:t>No existing content — paper, in-house rule, or sibling TAPP — establishes this as mandatory; treated with the same caution as an import.</w:t>
            </w:r>
          </w:p>
        </w:tc>
      </w:tr>
    </w:tbl>
    <w:p>
      <w:pPr>
        <w:spacing w:after="320" w:before="80"/>
      </w:pPr>
      <w:r>
        <w:rPr>
          <w:rFonts w:ascii="Calibri" w:hAnsi="Calibri"/>
          <w:b w:val="0"/>
          <w:i/>
          <w:color w:val="52514E"/>
          <w:sz w:val="18"/>
        </w:rPr>
        <w:t>Table 1. Tier assignment rules by field provenance.</w:t>
      </w:r>
    </w:p>
    <w:p>
      <w:pPr>
        <w:spacing w:after="160"/>
      </w:pPr>
      <w:r>
        <w:rPr>
          <w:rFonts w:ascii="Calibri" w:hAnsi="Calibri"/>
          <w:b w:val="0"/>
          <w:i w:val="0"/>
          <w:color w:val="0B0B0B"/>
          <w:sz w:val="22"/>
        </w:rPr>
        <w:t>This produced a deliberately asymmetric TAPP: content traceable to the human-derived standard defaults to mandatory, while content contributed by the AI-assisted comparison process defaults to optional until a domain expert confirms otherwise. This asymmetry is itself falsifiable — Section 5 identifies which imported fields are strong candidates for promotion, based on how central they are to data quality in practice.</w:t>
      </w:r>
    </w:p>
    <w:p>
      <w:r>
        <w:br w:type="page"/>
      </w:r>
    </w:p>
    <w:p>
      <w:pPr>
        <w:pStyle w:val="Heading1"/>
      </w:pPr>
      <w:r>
        <w:t>4. Scope and Structure of the Resulting TAPP</w:t>
      </w:r>
    </w:p>
    <w:p>
      <w:pPr>
        <w:pStyle w:val="Heading2"/>
      </w:pPr>
      <w:r>
        <w:t>4.1 Technique scope</w:t>
      </w:r>
    </w:p>
    <w:p>
      <w:pPr>
        <w:spacing w:after="160"/>
      </w:pPr>
      <w:r>
        <w:rPr>
          <w:rFonts w:ascii="Calibri" w:hAnsi="Calibri"/>
          <w:b w:val="0"/>
          <w:i w:val="0"/>
          <w:color w:val="0B0B0B"/>
          <w:sz w:val="22"/>
        </w:rPr>
        <w:t>The TAPP covers LA-ICP-MS U-(Th-)Pb geochronology in situ spot analysis, deliberately scoped to match Horstwood et al.’s own title and content rather than any one mass-analyzer configuration: quadrupole (Q-ICP-MS), single-collector sector-field (SF-ICP-MS), and multi-collector (MC-ICP-MS) instruments are all in scope, distinguished where necessary by instrument-specific fields (Section 6) rather than by separate documents. The technique is scoped to static spot ablation only; depth-profiling and single-pulse ablation, mentioned in Table 3 as a variant used by some laboratories, are documented as descriptive context within relevant fields rather than as a second formal analytical mode, since geochronology is overwhelmingly spot-based in practice.</w:t>
      </w:r>
    </w:p>
    <w:p>
      <w:pPr>
        <w:pStyle w:val="Heading2"/>
      </w:pPr>
      <w:r>
        <w:t>4.2 Version evolution</w:t>
      </w:r>
    </w:p>
    <w:tbl>
      <w:tblPr>
        <w:tblStyle w:val="TableGrid"/>
        <w:tblW w:type="auto" w:w="0"/>
        <w:tblLayout w:type="fixed"/>
        <w:tblLook w:firstColumn="1" w:firstRow="1" w:lastColumn="0" w:lastRow="0" w:noHBand="0" w:noVBand="1" w:val="04A0"/>
      </w:tblPr>
      <w:tblGrid>
        <w:gridCol w:w="3456"/>
        <w:gridCol w:w="3456"/>
        <w:gridCol w:w="3456"/>
      </w:tblGrid>
      <w:tr>
        <w:tc>
          <w:tcPr>
            <w:tcW w:type="dxa" w:w="1008"/>
            <w:vAlign w:val="center"/>
            <w:shd w:val="clear" w:color="auto" w:fill="2F5597"/>
          </w:tcPr>
          <w:p>
            <w:pPr>
              <w:spacing w:after="0"/>
            </w:pPr>
            <w:r/>
            <w:r>
              <w:rPr>
                <w:rFonts w:ascii="Calibri" w:hAnsi="Calibri"/>
                <w:b/>
                <w:color w:val="FFFFFF"/>
                <w:sz w:val="18"/>
              </w:rPr>
              <w:t>Version</w:t>
            </w:r>
          </w:p>
        </w:tc>
        <w:tc>
          <w:tcPr>
            <w:tcW w:type="dxa" w:w="1152"/>
            <w:vAlign w:val="center"/>
            <w:shd w:val="clear" w:color="auto" w:fill="2F5597"/>
          </w:tcPr>
          <w:p>
            <w:pPr>
              <w:spacing w:after="0"/>
            </w:pPr>
            <w:r/>
            <w:r>
              <w:rPr>
                <w:rFonts w:ascii="Calibri" w:hAnsi="Calibri"/>
                <w:b/>
                <w:color w:val="FFFFFF"/>
                <w:sz w:val="18"/>
              </w:rPr>
              <w:t>Fields</w:t>
            </w:r>
          </w:p>
        </w:tc>
        <w:tc>
          <w:tcPr>
            <w:tcW w:type="dxa" w:w="7920"/>
            <w:vAlign w:val="center"/>
            <w:shd w:val="clear" w:color="auto" w:fill="2F5597"/>
          </w:tcPr>
          <w:p>
            <w:pPr>
              <w:spacing w:after="0"/>
            </w:pPr>
            <w:r/>
            <w:r>
              <w:rPr>
                <w:rFonts w:ascii="Calibri" w:hAnsi="Calibri"/>
                <w:b/>
                <w:color w:val="FFFFFF"/>
                <w:sz w:val="18"/>
              </w:rPr>
              <w:t>Key change</w:t>
            </w:r>
          </w:p>
        </w:tc>
      </w:tr>
      <w:tr>
        <w:tc>
          <w:tcPr>
            <w:tcW w:type="dxa" w:w="1008"/>
            <w:vAlign w:val="center"/>
          </w:tcPr>
          <w:p>
            <w:pPr>
              <w:spacing w:after="0"/>
            </w:pPr>
            <w:r/>
            <w:r>
              <w:rPr>
                <w:rFonts w:ascii="Calibri" w:hAnsi="Calibri"/>
                <w:b w:val="0"/>
                <w:color w:val="0B0B0B"/>
                <w:sz w:val="18"/>
              </w:rPr>
              <w:t>v1</w:t>
            </w:r>
          </w:p>
        </w:tc>
        <w:tc>
          <w:tcPr>
            <w:tcW w:type="dxa" w:w="1152"/>
            <w:vAlign w:val="center"/>
          </w:tcPr>
          <w:p>
            <w:pPr>
              <w:spacing w:after="0"/>
            </w:pPr>
            <w:r/>
            <w:r>
              <w:rPr>
                <w:rFonts w:ascii="Calibri" w:hAnsi="Calibri"/>
                <w:b w:val="0"/>
                <w:color w:val="0B0B0B"/>
                <w:sz w:val="18"/>
              </w:rPr>
              <w:t>61</w:t>
            </w:r>
          </w:p>
        </w:tc>
        <w:tc>
          <w:tcPr>
            <w:tcW w:type="dxa" w:w="7920"/>
            <w:vAlign w:val="center"/>
          </w:tcPr>
          <w:p>
            <w:pPr>
              <w:spacing w:after="0"/>
            </w:pPr>
            <w:r/>
            <w:r>
              <w:rPr>
                <w:rFonts w:ascii="Calibri" w:hAnsi="Calibri"/>
                <w:b w:val="0"/>
                <w:color w:val="0B0B0B"/>
                <w:sz w:val="18"/>
              </w:rPr>
              <w:t>Initial build: Table 3 items mapped into the six-group structure; in-house mandatory fields added and distinctly labeled.</w:t>
            </w:r>
          </w:p>
        </w:tc>
      </w:tr>
      <w:tr>
        <w:tc>
          <w:tcPr>
            <w:tcW w:type="dxa" w:w="1008"/>
            <w:vAlign w:val="center"/>
          </w:tcPr>
          <w:p>
            <w:pPr>
              <w:spacing w:after="0"/>
            </w:pPr>
            <w:r/>
            <w:r>
              <w:rPr>
                <w:rFonts w:ascii="Calibri" w:hAnsi="Calibri"/>
                <w:b w:val="0"/>
                <w:color w:val="0B0B0B"/>
                <w:sz w:val="18"/>
              </w:rPr>
              <w:t>v2</w:t>
            </w:r>
          </w:p>
        </w:tc>
        <w:tc>
          <w:tcPr>
            <w:tcW w:type="dxa" w:w="1152"/>
            <w:vAlign w:val="center"/>
          </w:tcPr>
          <w:p>
            <w:pPr>
              <w:spacing w:after="0"/>
            </w:pPr>
            <w:r/>
            <w:r>
              <w:rPr>
                <w:rFonts w:ascii="Calibri" w:hAnsi="Calibri"/>
                <w:b w:val="0"/>
                <w:color w:val="0B0B0B"/>
                <w:sz w:val="18"/>
              </w:rPr>
              <w:t>57</w:t>
            </w:r>
          </w:p>
        </w:tc>
        <w:tc>
          <w:tcPr>
            <w:tcW w:type="dxa" w:w="7920"/>
            <w:vAlign w:val="center"/>
          </w:tcPr>
          <w:p>
            <w:pPr>
              <w:spacing w:after="0"/>
            </w:pPr>
            <w:r/>
            <w:r>
              <w:rPr>
                <w:rFonts w:ascii="Calibri" w:hAnsi="Calibri"/>
                <w:b w:val="0"/>
                <w:color w:val="0B0B0B"/>
                <w:sz w:val="18"/>
              </w:rPr>
              <w:t>Four fields that duplicated existing in-house standard fields (e.g., a paper-derived “Laboratory name” alongside the in-house “Laboratory” field) were merged, keeping the in-house name for cross-TAPP consistency.</w:t>
            </w:r>
          </w:p>
        </w:tc>
      </w:tr>
      <w:tr>
        <w:tc>
          <w:tcPr>
            <w:tcW w:type="dxa" w:w="1008"/>
            <w:vAlign w:val="center"/>
          </w:tcPr>
          <w:p>
            <w:pPr>
              <w:spacing w:after="0"/>
            </w:pPr>
            <w:r/>
            <w:r>
              <w:rPr>
                <w:rFonts w:ascii="Calibri" w:hAnsi="Calibri"/>
                <w:b w:val="0"/>
                <w:color w:val="0B0B0B"/>
                <w:sz w:val="18"/>
              </w:rPr>
              <w:t>v3</w:t>
            </w:r>
          </w:p>
        </w:tc>
        <w:tc>
          <w:tcPr>
            <w:tcW w:type="dxa" w:w="1152"/>
            <w:vAlign w:val="center"/>
          </w:tcPr>
          <w:p>
            <w:pPr>
              <w:spacing w:after="0"/>
            </w:pPr>
            <w:r/>
            <w:r>
              <w:rPr>
                <w:rFonts w:ascii="Calibri" w:hAnsi="Calibri"/>
                <w:b w:val="0"/>
                <w:color w:val="0B0B0B"/>
                <w:sz w:val="18"/>
              </w:rPr>
              <w:t>121</w:t>
            </w:r>
          </w:p>
        </w:tc>
        <w:tc>
          <w:tcPr>
            <w:tcW w:type="dxa" w:w="7920"/>
            <w:vAlign w:val="center"/>
          </w:tcPr>
          <w:p>
            <w:pPr>
              <w:spacing w:after="0"/>
            </w:pPr>
            <w:r/>
            <w:r>
              <w:rPr>
                <w:rFonts w:ascii="Calibri" w:hAnsi="Calibri"/>
                <w:b w:val="0"/>
                <w:color w:val="0B0B0B"/>
                <w:sz w:val="18"/>
              </w:rPr>
              <w:t>Fields imported from LA-Q/SF-ICP-MS TAPP and Solution MC-ICP-MS TAPP following full field-by-field comparison (Section 5); several fields renamed or split to match sibling-TAPP conventions.</w:t>
            </w:r>
          </w:p>
        </w:tc>
      </w:tr>
      <w:tr>
        <w:tc>
          <w:tcPr>
            <w:tcW w:type="dxa" w:w="1008"/>
            <w:vAlign w:val="center"/>
          </w:tcPr>
          <w:p>
            <w:pPr>
              <w:spacing w:after="0"/>
            </w:pPr>
            <w:r/>
            <w:r>
              <w:rPr>
                <w:rFonts w:ascii="Calibri" w:hAnsi="Calibri"/>
                <w:b w:val="0"/>
                <w:color w:val="0B0B0B"/>
                <w:sz w:val="18"/>
              </w:rPr>
              <w:t>v4</w:t>
            </w:r>
          </w:p>
        </w:tc>
        <w:tc>
          <w:tcPr>
            <w:tcW w:type="dxa" w:w="1152"/>
            <w:vAlign w:val="center"/>
          </w:tcPr>
          <w:p>
            <w:pPr>
              <w:spacing w:after="0"/>
            </w:pPr>
            <w:r/>
            <w:r>
              <w:rPr>
                <w:rFonts w:ascii="Calibri" w:hAnsi="Calibri"/>
                <w:b w:val="0"/>
                <w:color w:val="0B0B0B"/>
                <w:sz w:val="18"/>
              </w:rPr>
              <w:t>121</w:t>
            </w:r>
          </w:p>
        </w:tc>
        <w:tc>
          <w:tcPr>
            <w:tcW w:type="dxa" w:w="7920"/>
            <w:vAlign w:val="center"/>
          </w:tcPr>
          <w:p>
            <w:pPr>
              <w:spacing w:after="0"/>
            </w:pPr>
            <w:r/>
            <w:r>
              <w:rPr>
                <w:rFonts w:ascii="Calibri" w:hAnsi="Calibri"/>
                <w:b w:val="0"/>
                <w:color w:val="0B0B0B"/>
                <w:sz w:val="18"/>
              </w:rPr>
              <w:t>Added Q-ICP-MS / SF-ICP-MS / MC-ICP-MS flag columns (mirroring the existing Spot/Transect/Mapping mode-flag mechanism), enabling the instrument-type separation analysis in Section 6.</w:t>
            </w:r>
          </w:p>
        </w:tc>
      </w:tr>
      <w:tr>
        <w:tc>
          <w:tcPr>
            <w:tcW w:type="dxa" w:w="1008"/>
            <w:vAlign w:val="center"/>
            <w:shd w:val="clear" w:color="auto" w:fill="FFF2CC"/>
          </w:tcPr>
          <w:p>
            <w:pPr>
              <w:spacing w:after="0"/>
            </w:pPr>
            <w:r/>
            <w:r>
              <w:rPr>
                <w:rFonts w:ascii="Calibri" w:hAnsi="Calibri"/>
                <w:b w:val="0"/>
                <w:color w:val="0B0B0B"/>
                <w:sz w:val="18"/>
              </w:rPr>
              <w:t>v5</w:t>
            </w:r>
          </w:p>
        </w:tc>
        <w:tc>
          <w:tcPr>
            <w:tcW w:type="dxa" w:w="1152"/>
            <w:vAlign w:val="center"/>
            <w:shd w:val="clear" w:color="auto" w:fill="FFF2CC"/>
          </w:tcPr>
          <w:p>
            <w:pPr>
              <w:spacing w:after="0"/>
            </w:pPr>
            <w:r/>
            <w:r>
              <w:rPr>
                <w:rFonts w:ascii="Calibri" w:hAnsi="Calibri"/>
                <w:b w:val="0"/>
                <w:color w:val="0B0B0B"/>
                <w:sz w:val="18"/>
              </w:rPr>
              <w:t>122</w:t>
            </w:r>
          </w:p>
        </w:tc>
        <w:tc>
          <w:tcPr>
            <w:tcW w:type="dxa" w:w="7920"/>
            <w:vAlign w:val="center"/>
            <w:shd w:val="clear" w:color="auto" w:fill="FFF2CC"/>
          </w:tcPr>
          <w:p>
            <w:pPr>
              <w:spacing w:after="0"/>
            </w:pPr>
            <w:r/>
            <w:r>
              <w:rPr>
                <w:rFonts w:ascii="Calibri" w:hAnsi="Calibri"/>
                <w:b w:val="0"/>
                <w:color w:val="0B0B0B"/>
                <w:sz w:val="18"/>
              </w:rPr>
              <w:t>Added “Constants and Reference Values Used” (Section 7) — the field later adopted project-wide as a mandatory cross-TAPP rule.</w:t>
            </w:r>
          </w:p>
        </w:tc>
      </w:tr>
      <w:tr>
        <w:tc>
          <w:tcPr>
            <w:tcW w:type="dxa" w:w="1008"/>
            <w:vAlign w:val="center"/>
            <w:shd w:val="clear" w:color="auto" w:fill="E8F1FC"/>
          </w:tcPr>
          <w:p>
            <w:pPr>
              <w:spacing w:after="0"/>
            </w:pPr>
            <w:r/>
            <w:r>
              <w:rPr>
                <w:rFonts w:ascii="Calibri" w:hAnsi="Calibri"/>
                <w:b w:val="0"/>
                <w:color w:val="0B0B0B"/>
                <w:sz w:val="18"/>
              </w:rPr>
              <w:t>v6</w:t>
            </w:r>
          </w:p>
        </w:tc>
        <w:tc>
          <w:tcPr>
            <w:tcW w:type="dxa" w:w="1152"/>
            <w:vAlign w:val="center"/>
            <w:shd w:val="clear" w:color="auto" w:fill="E8F1FC"/>
          </w:tcPr>
          <w:p>
            <w:pPr>
              <w:spacing w:after="0"/>
            </w:pPr>
            <w:r/>
            <w:r>
              <w:rPr>
                <w:rFonts w:ascii="Calibri" w:hAnsi="Calibri"/>
                <w:b w:val="0"/>
                <w:color w:val="0B0B0B"/>
                <w:sz w:val="18"/>
              </w:rPr>
              <w:t>122</w:t>
            </w:r>
          </w:p>
        </w:tc>
        <w:tc>
          <w:tcPr>
            <w:tcW w:type="dxa" w:w="7920"/>
            <w:vAlign w:val="center"/>
            <w:shd w:val="clear" w:color="auto" w:fill="E8F1FC"/>
          </w:tcPr>
          <w:p>
            <w:pPr>
              <w:spacing w:after="0"/>
            </w:pPr>
            <w:r/>
            <w:r>
              <w:rPr>
                <w:rFonts w:ascii="Calibri" w:hAnsi="Calibri"/>
                <w:b w:val="0"/>
                <w:color w:val="0B0B0B"/>
                <w:sz w:val="18"/>
              </w:rPr>
              <w:t>Retagged 6 collision/reaction-cell fields (Group 3/4) from Q-ICP-MS-only to Q-ICP-MS + MC-ICP-MS, after verifying that modern MC-ICP-MS instruments (Nu Sapphire, Thermo Neoma MS/MS) carry the same cell technology. Signal Collection Mode confirmed to remain Q-ICP-MS-only (Section 6.5).</w:t>
            </w:r>
          </w:p>
        </w:tc>
      </w:tr>
    </w:tbl>
    <w:p>
      <w:pPr>
        <w:spacing w:after="320" w:before="80"/>
      </w:pPr>
      <w:r>
        <w:rPr>
          <w:rFonts w:ascii="Calibri" w:hAnsi="Calibri"/>
          <w:b w:val="0"/>
          <w:i/>
          <w:color w:val="52514E"/>
          <w:sz w:val="18"/>
        </w:rPr>
        <w:t>Table 2. Field count by version.</w:t>
      </w:r>
    </w:p>
    <w:p>
      <w:pPr>
        <w:pStyle w:val="Heading2"/>
      </w:pPr>
      <w:r>
        <w:t>4.3 Field distribution by group (v6)</w:t>
      </w:r>
    </w:p>
    <w:tbl>
      <w:tblPr>
        <w:tblStyle w:val="TableGrid"/>
        <w:tblW w:type="auto" w:w="0"/>
        <w:tblLayout w:type="fixed"/>
        <w:tblLook w:firstColumn="1" w:firstRow="1" w:lastColumn="0" w:lastRow="0" w:noHBand="0" w:noVBand="1" w:val="04A0"/>
      </w:tblPr>
      <w:tblGrid>
        <w:gridCol w:w="5184"/>
        <w:gridCol w:w="5184"/>
      </w:tblGrid>
      <w:tr>
        <w:tc>
          <w:tcPr>
            <w:tcW w:type="dxa" w:w="7200"/>
            <w:vAlign w:val="center"/>
            <w:shd w:val="clear" w:color="auto" w:fill="2F5597"/>
          </w:tcPr>
          <w:p>
            <w:pPr>
              <w:spacing w:after="0"/>
            </w:pPr>
            <w:r/>
            <w:r>
              <w:rPr>
                <w:rFonts w:ascii="Calibri" w:hAnsi="Calibri"/>
                <w:b/>
                <w:color w:val="FFFFFF"/>
                <w:sz w:val="18"/>
              </w:rPr>
              <w:t>Group</w:t>
            </w:r>
          </w:p>
        </w:tc>
        <w:tc>
          <w:tcPr>
            <w:tcW w:type="dxa" w:w="2880"/>
            <w:vAlign w:val="center"/>
            <w:shd w:val="clear" w:color="auto" w:fill="2F5597"/>
          </w:tcPr>
          <w:p>
            <w:pPr>
              <w:spacing w:after="0"/>
            </w:pPr>
            <w:r/>
            <w:r>
              <w:rPr>
                <w:rFonts w:ascii="Calibri" w:hAnsi="Calibri"/>
                <w:b/>
                <w:color w:val="FFFFFF"/>
                <w:sz w:val="18"/>
              </w:rPr>
              <w:t>Fields</w:t>
            </w:r>
          </w:p>
        </w:tc>
      </w:tr>
      <w:tr>
        <w:tc>
          <w:tcPr>
            <w:tcW w:type="dxa" w:w="7200"/>
            <w:vAlign w:val="center"/>
          </w:tcPr>
          <w:p>
            <w:pPr>
              <w:spacing w:after="0"/>
            </w:pPr>
            <w:r/>
            <w:r>
              <w:rPr>
                <w:rFonts w:ascii="Calibri" w:hAnsi="Calibri"/>
                <w:b w:val="0"/>
                <w:color w:val="0B0B0B"/>
                <w:sz w:val="18"/>
              </w:rPr>
              <w:t>1. Procedure Identification</w:t>
            </w:r>
          </w:p>
        </w:tc>
        <w:tc>
          <w:tcPr>
            <w:tcW w:type="dxa" w:w="2880"/>
            <w:vAlign w:val="center"/>
          </w:tcPr>
          <w:p>
            <w:pPr>
              <w:spacing w:after="0"/>
            </w:pPr>
            <w:r/>
            <w:r>
              <w:rPr>
                <w:rFonts w:ascii="Calibri" w:hAnsi="Calibri"/>
                <w:b w:val="0"/>
                <w:color w:val="0B0B0B"/>
                <w:sz w:val="18"/>
              </w:rPr>
              <w:t>17</w:t>
            </w:r>
          </w:p>
        </w:tc>
      </w:tr>
      <w:tr>
        <w:tc>
          <w:tcPr>
            <w:tcW w:type="dxa" w:w="7200"/>
            <w:vAlign w:val="center"/>
          </w:tcPr>
          <w:p>
            <w:pPr>
              <w:spacing w:after="0"/>
            </w:pPr>
            <w:r/>
            <w:r>
              <w:rPr>
                <w:rFonts w:ascii="Calibri" w:hAnsi="Calibri"/>
                <w:b w:val="0"/>
                <w:color w:val="0B0B0B"/>
                <w:sz w:val="18"/>
              </w:rPr>
              <w:t>2. Samples</w:t>
            </w:r>
          </w:p>
        </w:tc>
        <w:tc>
          <w:tcPr>
            <w:tcW w:type="dxa" w:w="2880"/>
            <w:vAlign w:val="center"/>
          </w:tcPr>
          <w:p>
            <w:pPr>
              <w:spacing w:after="0"/>
            </w:pPr>
            <w:r/>
            <w:r>
              <w:rPr>
                <w:rFonts w:ascii="Calibri" w:hAnsi="Calibri"/>
                <w:b w:val="0"/>
                <w:color w:val="0B0B0B"/>
                <w:sz w:val="18"/>
              </w:rPr>
              <w:t>6</w:t>
            </w:r>
          </w:p>
        </w:tc>
      </w:tr>
      <w:tr>
        <w:tc>
          <w:tcPr>
            <w:tcW w:type="dxa" w:w="7200"/>
            <w:vAlign w:val="center"/>
          </w:tcPr>
          <w:p>
            <w:pPr>
              <w:spacing w:after="0"/>
            </w:pPr>
            <w:r/>
            <w:r>
              <w:rPr>
                <w:rFonts w:ascii="Calibri" w:hAnsi="Calibri"/>
                <w:b w:val="0"/>
                <w:color w:val="0B0B0B"/>
                <w:sz w:val="18"/>
              </w:rPr>
              <w:t>3. Instrument &amp; Software</w:t>
            </w:r>
          </w:p>
        </w:tc>
        <w:tc>
          <w:tcPr>
            <w:tcW w:type="dxa" w:w="2880"/>
            <w:vAlign w:val="center"/>
          </w:tcPr>
          <w:p>
            <w:pPr>
              <w:spacing w:after="0"/>
            </w:pPr>
            <w:r/>
            <w:r>
              <w:rPr>
                <w:rFonts w:ascii="Calibri" w:hAnsi="Calibri"/>
                <w:b w:val="0"/>
                <w:color w:val="0B0B0B"/>
                <w:sz w:val="18"/>
              </w:rPr>
              <w:t>20</w:t>
            </w:r>
          </w:p>
        </w:tc>
      </w:tr>
      <w:tr>
        <w:tc>
          <w:tcPr>
            <w:tcW w:type="dxa" w:w="7200"/>
            <w:vAlign w:val="center"/>
          </w:tcPr>
          <w:p>
            <w:pPr>
              <w:spacing w:after="0"/>
            </w:pPr>
            <w:r/>
            <w:r>
              <w:rPr>
                <w:rFonts w:ascii="Calibri" w:hAnsi="Calibri"/>
                <w:b w:val="0"/>
                <w:color w:val="0B0B0B"/>
                <w:sz w:val="18"/>
              </w:rPr>
              <w:t>4. Measurement Information</w:t>
            </w:r>
          </w:p>
        </w:tc>
        <w:tc>
          <w:tcPr>
            <w:tcW w:type="dxa" w:w="2880"/>
            <w:vAlign w:val="center"/>
          </w:tcPr>
          <w:p>
            <w:pPr>
              <w:spacing w:after="0"/>
            </w:pPr>
            <w:r/>
            <w:r>
              <w:rPr>
                <w:rFonts w:ascii="Calibri" w:hAnsi="Calibri"/>
                <w:b w:val="0"/>
                <w:color w:val="0B0B0B"/>
                <w:sz w:val="18"/>
              </w:rPr>
              <w:t>48</w:t>
            </w:r>
          </w:p>
        </w:tc>
      </w:tr>
      <w:tr>
        <w:tc>
          <w:tcPr>
            <w:tcW w:type="dxa" w:w="7200"/>
            <w:vAlign w:val="center"/>
          </w:tcPr>
          <w:p>
            <w:pPr>
              <w:spacing w:after="0"/>
            </w:pPr>
            <w:r/>
            <w:r>
              <w:rPr>
                <w:rFonts w:ascii="Calibri" w:hAnsi="Calibri"/>
                <w:b w:val="0"/>
                <w:color w:val="0B0B0B"/>
                <w:sz w:val="18"/>
              </w:rPr>
              <w:t>5. Data Processing</w:t>
            </w:r>
          </w:p>
        </w:tc>
        <w:tc>
          <w:tcPr>
            <w:tcW w:type="dxa" w:w="2880"/>
            <w:vAlign w:val="center"/>
          </w:tcPr>
          <w:p>
            <w:pPr>
              <w:spacing w:after="0"/>
            </w:pPr>
            <w:r/>
            <w:r>
              <w:rPr>
                <w:rFonts w:ascii="Calibri" w:hAnsi="Calibri"/>
                <w:b w:val="0"/>
                <w:color w:val="0B0B0B"/>
                <w:sz w:val="18"/>
              </w:rPr>
              <w:t>22</w:t>
            </w:r>
          </w:p>
        </w:tc>
      </w:tr>
      <w:tr>
        <w:tc>
          <w:tcPr>
            <w:tcW w:type="dxa" w:w="7200"/>
            <w:vAlign w:val="center"/>
          </w:tcPr>
          <w:p>
            <w:pPr>
              <w:spacing w:after="0"/>
            </w:pPr>
            <w:r/>
            <w:r>
              <w:rPr>
                <w:rFonts w:ascii="Calibri" w:hAnsi="Calibri"/>
                <w:b w:val="0"/>
                <w:color w:val="0B0B0B"/>
                <w:sz w:val="18"/>
              </w:rPr>
              <w:t>6. Quality Control &amp; Uncertainty</w:t>
            </w:r>
          </w:p>
        </w:tc>
        <w:tc>
          <w:tcPr>
            <w:tcW w:type="dxa" w:w="2880"/>
            <w:vAlign w:val="center"/>
          </w:tcPr>
          <w:p>
            <w:pPr>
              <w:spacing w:after="0"/>
            </w:pPr>
            <w:r/>
            <w:r>
              <w:rPr>
                <w:rFonts w:ascii="Calibri" w:hAnsi="Calibri"/>
                <w:b w:val="0"/>
                <w:color w:val="0B0B0B"/>
                <w:sz w:val="18"/>
              </w:rPr>
              <w:t>9</w:t>
            </w:r>
          </w:p>
        </w:tc>
      </w:tr>
      <w:tr>
        <w:tc>
          <w:tcPr>
            <w:tcW w:type="dxa" w:w="7200"/>
            <w:vAlign w:val="center"/>
            <w:shd w:val="clear" w:color="auto" w:fill="F2F2F2"/>
          </w:tcPr>
          <w:p>
            <w:pPr>
              <w:spacing w:after="0"/>
            </w:pPr>
            <w:r/>
            <w:r>
              <w:rPr>
                <w:rFonts w:ascii="Calibri" w:hAnsi="Calibri"/>
                <w:b w:val="0"/>
                <w:color w:val="0B0B0B"/>
                <w:sz w:val="18"/>
              </w:rPr>
              <w:t>Total</w:t>
            </w:r>
          </w:p>
        </w:tc>
        <w:tc>
          <w:tcPr>
            <w:tcW w:type="dxa" w:w="2880"/>
            <w:vAlign w:val="center"/>
            <w:shd w:val="clear" w:color="auto" w:fill="F2F2F2"/>
          </w:tcPr>
          <w:p>
            <w:pPr>
              <w:spacing w:after="0"/>
            </w:pPr>
            <w:r/>
            <w:r>
              <w:rPr>
                <w:rFonts w:ascii="Calibri" w:hAnsi="Calibri"/>
                <w:b w:val="0"/>
                <w:color w:val="0B0B0B"/>
                <w:sz w:val="18"/>
              </w:rPr>
              <w:t>122</w:t>
            </w:r>
          </w:p>
        </w:tc>
      </w:tr>
    </w:tbl>
    <w:p>
      <w:pPr>
        <w:spacing w:after="320" w:before="80"/>
      </w:pPr>
      <w:r>
        <w:rPr>
          <w:rFonts w:ascii="Calibri" w:hAnsi="Calibri"/>
          <w:b w:val="0"/>
          <w:i/>
          <w:color w:val="52514E"/>
          <w:sz w:val="18"/>
        </w:rPr>
        <w:t>Table 3. Final field distribution by TAPP group.</w:t>
      </w:r>
    </w:p>
    <w:p>
      <w:pPr>
        <w:pStyle w:val="Heading2"/>
      </w:pPr>
      <w:r>
        <w:t>4.4 Composition by provenance</w:t>
      </w:r>
    </w:p>
    <w:p>
      <w:pPr>
        <w:spacing w:after="160"/>
      </w:pPr>
      <w:r>
        <w:rPr>
          <w:rFonts w:ascii="Calibri" w:hAnsi="Calibri"/>
          <w:b w:val="0"/>
          <w:i w:val="0"/>
          <w:color w:val="0B0B0B"/>
          <w:sz w:val="22"/>
        </w:rPr>
        <w:t>Two different questions can be asked about this TAPP’s composition, and they are easy to conflate: how much of the final 122-field TAPP traces to each source (a question about this document), versus how much of Table 3’s original content was already present in existing TAPPs (a question about the AI-led workflow’s prior coverage, addressed in Section 5). This subsection addresses the first; Section 5 addresses the second.</w:t>
      </w:r>
    </w:p>
    <w:tbl>
      <w:tblPr>
        <w:tblStyle w:val="TableGrid"/>
        <w:tblW w:type="auto" w:w="0"/>
        <w:tblLayout w:type="fixed"/>
        <w:tblLook w:firstColumn="1" w:firstRow="1" w:lastColumn="0" w:lastRow="0" w:noHBand="0" w:noVBand="1" w:val="04A0"/>
      </w:tblPr>
      <w:tblGrid>
        <w:gridCol w:w="3456"/>
        <w:gridCol w:w="3456"/>
        <w:gridCol w:w="3456"/>
      </w:tblGrid>
      <w:tr>
        <w:tc>
          <w:tcPr>
            <w:tcW w:type="dxa" w:w="5472"/>
            <w:vAlign w:val="center"/>
            <w:shd w:val="clear" w:color="auto" w:fill="2F5597"/>
          </w:tcPr>
          <w:p>
            <w:pPr>
              <w:spacing w:after="0"/>
            </w:pPr>
            <w:r/>
            <w:r>
              <w:rPr>
                <w:rFonts w:ascii="Calibri" w:hAnsi="Calibri"/>
                <w:b/>
                <w:color w:val="FFFFFF"/>
                <w:sz w:val="18"/>
              </w:rPr>
              <w:t>Source</w:t>
            </w:r>
          </w:p>
        </w:tc>
        <w:tc>
          <w:tcPr>
            <w:tcW w:type="dxa" w:w="1872"/>
            <w:vAlign w:val="center"/>
            <w:shd w:val="clear" w:color="auto" w:fill="2F5597"/>
          </w:tcPr>
          <w:p>
            <w:pPr>
              <w:spacing w:after="0"/>
            </w:pPr>
            <w:r/>
            <w:r>
              <w:rPr>
                <w:rFonts w:ascii="Calibri" w:hAnsi="Calibri"/>
                <w:b/>
                <w:color w:val="FFFFFF"/>
                <w:sz w:val="18"/>
              </w:rPr>
              <w:t>Fields</w:t>
            </w:r>
          </w:p>
        </w:tc>
        <w:tc>
          <w:tcPr>
            <w:tcW w:type="dxa" w:w="2304"/>
            <w:vAlign w:val="center"/>
            <w:shd w:val="clear" w:color="auto" w:fill="2F5597"/>
          </w:tcPr>
          <w:p>
            <w:pPr>
              <w:spacing w:after="0"/>
            </w:pPr>
            <w:r/>
            <w:r>
              <w:rPr>
                <w:rFonts w:ascii="Calibri" w:hAnsi="Calibri"/>
                <w:b/>
                <w:color w:val="FFFFFF"/>
                <w:sz w:val="18"/>
              </w:rPr>
              <w:t>% of total</w:t>
            </w:r>
          </w:p>
        </w:tc>
      </w:tr>
      <w:tr>
        <w:tc>
          <w:tcPr>
            <w:tcW w:type="dxa" w:w="5472"/>
            <w:vAlign w:val="center"/>
          </w:tcPr>
          <w:p>
            <w:pPr>
              <w:spacing w:after="0"/>
            </w:pPr>
            <w:r/>
            <w:r>
              <w:rPr>
                <w:rFonts w:ascii="Calibri" w:hAnsi="Calibri"/>
                <w:b w:val="0"/>
                <w:color w:val="0B0B0B"/>
                <w:sz w:val="18"/>
              </w:rPr>
              <w:t>Paper-direct (Table 3, unmodified)</w:t>
            </w:r>
          </w:p>
        </w:tc>
        <w:tc>
          <w:tcPr>
            <w:tcW w:type="dxa" w:w="1872"/>
            <w:vAlign w:val="center"/>
          </w:tcPr>
          <w:p>
            <w:pPr>
              <w:spacing w:after="0"/>
            </w:pPr>
            <w:r/>
            <w:r>
              <w:rPr>
                <w:rFonts w:ascii="Calibri" w:hAnsi="Calibri"/>
                <w:b w:val="0"/>
                <w:color w:val="0B0B0B"/>
                <w:sz w:val="18"/>
              </w:rPr>
              <w:t>14</w:t>
            </w:r>
          </w:p>
        </w:tc>
        <w:tc>
          <w:tcPr>
            <w:tcW w:type="dxa" w:w="2304"/>
            <w:vAlign w:val="center"/>
          </w:tcPr>
          <w:p>
            <w:pPr>
              <w:spacing w:after="0"/>
            </w:pPr>
            <w:r/>
            <w:r>
              <w:rPr>
                <w:rFonts w:ascii="Calibri" w:hAnsi="Calibri"/>
                <w:b w:val="0"/>
                <w:color w:val="0B0B0B"/>
                <w:sz w:val="18"/>
              </w:rPr>
              <w:t>11.5%</w:t>
            </w:r>
          </w:p>
        </w:tc>
      </w:tr>
      <w:tr>
        <w:tc>
          <w:tcPr>
            <w:tcW w:type="dxa" w:w="5472"/>
            <w:vAlign w:val="center"/>
          </w:tcPr>
          <w:p>
            <w:pPr>
              <w:spacing w:after="0"/>
            </w:pPr>
            <w:r/>
            <w:r>
              <w:rPr>
                <w:rFonts w:ascii="Calibri" w:hAnsi="Calibri"/>
                <w:b w:val="0"/>
                <w:color w:val="0B0B0B"/>
                <w:sz w:val="18"/>
              </w:rPr>
              <w:t>Paper-split/restructured (Table 3, renamed or split)</w:t>
            </w:r>
          </w:p>
        </w:tc>
        <w:tc>
          <w:tcPr>
            <w:tcW w:type="dxa" w:w="1872"/>
            <w:vAlign w:val="center"/>
          </w:tcPr>
          <w:p>
            <w:pPr>
              <w:spacing w:after="0"/>
            </w:pPr>
            <w:r/>
            <w:r>
              <w:rPr>
                <w:rFonts w:ascii="Calibri" w:hAnsi="Calibri"/>
                <w:b w:val="0"/>
                <w:color w:val="0B0B0B"/>
                <w:sz w:val="18"/>
              </w:rPr>
              <w:t>21</w:t>
            </w:r>
          </w:p>
        </w:tc>
        <w:tc>
          <w:tcPr>
            <w:tcW w:type="dxa" w:w="2304"/>
            <w:vAlign w:val="center"/>
          </w:tcPr>
          <w:p>
            <w:pPr>
              <w:spacing w:after="0"/>
            </w:pPr>
            <w:r/>
            <w:r>
              <w:rPr>
                <w:rFonts w:ascii="Calibri" w:hAnsi="Calibri"/>
                <w:b w:val="0"/>
                <w:color w:val="0B0B0B"/>
                <w:sz w:val="18"/>
              </w:rPr>
              <w:t>17.2%</w:t>
            </w:r>
          </w:p>
        </w:tc>
      </w:tr>
      <w:tr>
        <w:tc>
          <w:tcPr>
            <w:tcW w:type="dxa" w:w="5472"/>
            <w:vAlign w:val="center"/>
          </w:tcPr>
          <w:p>
            <w:pPr>
              <w:spacing w:after="0"/>
            </w:pPr>
            <w:r/>
            <w:r>
              <w:rPr>
                <w:rFonts w:ascii="Calibri" w:hAnsi="Calibri"/>
                <w:b w:val="0"/>
                <w:color w:val="0B0B0B"/>
                <w:sz w:val="18"/>
              </w:rPr>
              <w:t>In-house template (mandatory in every TAPP)</w:t>
            </w:r>
          </w:p>
        </w:tc>
        <w:tc>
          <w:tcPr>
            <w:tcW w:type="dxa" w:w="1872"/>
            <w:vAlign w:val="center"/>
          </w:tcPr>
          <w:p>
            <w:pPr>
              <w:spacing w:after="0"/>
            </w:pPr>
            <w:r/>
            <w:r>
              <w:rPr>
                <w:rFonts w:ascii="Calibri" w:hAnsi="Calibri"/>
                <w:b w:val="0"/>
                <w:color w:val="0B0B0B"/>
                <w:sz w:val="18"/>
              </w:rPr>
              <w:t>29</w:t>
            </w:r>
          </w:p>
        </w:tc>
        <w:tc>
          <w:tcPr>
            <w:tcW w:type="dxa" w:w="2304"/>
            <w:vAlign w:val="center"/>
          </w:tcPr>
          <w:p>
            <w:pPr>
              <w:spacing w:after="0"/>
            </w:pPr>
            <w:r/>
            <w:r>
              <w:rPr>
                <w:rFonts w:ascii="Calibri" w:hAnsi="Calibri"/>
                <w:b w:val="0"/>
                <w:color w:val="0B0B0B"/>
                <w:sz w:val="18"/>
              </w:rPr>
              <w:t>23.8%</w:t>
            </w:r>
          </w:p>
        </w:tc>
      </w:tr>
      <w:tr>
        <w:tc>
          <w:tcPr>
            <w:tcW w:type="dxa" w:w="5472"/>
            <w:vAlign w:val="center"/>
          </w:tcPr>
          <w:p>
            <w:pPr>
              <w:spacing w:after="0"/>
            </w:pPr>
            <w:r/>
            <w:r>
              <w:rPr>
                <w:rFonts w:ascii="Calibri" w:hAnsi="Calibri"/>
                <w:b w:val="0"/>
                <w:color w:val="0B0B0B"/>
                <w:sz w:val="18"/>
              </w:rPr>
              <w:t>Imported from LA-Q/SF-ICP-MS TAPP</w:t>
            </w:r>
          </w:p>
        </w:tc>
        <w:tc>
          <w:tcPr>
            <w:tcW w:type="dxa" w:w="1872"/>
            <w:vAlign w:val="center"/>
          </w:tcPr>
          <w:p>
            <w:pPr>
              <w:spacing w:after="0"/>
            </w:pPr>
            <w:r/>
            <w:r>
              <w:rPr>
                <w:rFonts w:ascii="Calibri" w:hAnsi="Calibri"/>
                <w:b w:val="0"/>
                <w:color w:val="0B0B0B"/>
                <w:sz w:val="18"/>
              </w:rPr>
              <w:t>46</w:t>
            </w:r>
          </w:p>
        </w:tc>
        <w:tc>
          <w:tcPr>
            <w:tcW w:type="dxa" w:w="2304"/>
            <w:vAlign w:val="center"/>
          </w:tcPr>
          <w:p>
            <w:pPr>
              <w:spacing w:after="0"/>
            </w:pPr>
            <w:r/>
            <w:r>
              <w:rPr>
                <w:rFonts w:ascii="Calibri" w:hAnsi="Calibri"/>
                <w:b w:val="0"/>
                <w:color w:val="0B0B0B"/>
                <w:sz w:val="18"/>
              </w:rPr>
              <w:t>37.7%</w:t>
            </w:r>
          </w:p>
        </w:tc>
      </w:tr>
      <w:tr>
        <w:tc>
          <w:tcPr>
            <w:tcW w:type="dxa" w:w="5472"/>
            <w:vAlign w:val="center"/>
          </w:tcPr>
          <w:p>
            <w:pPr>
              <w:spacing w:after="0"/>
            </w:pPr>
            <w:r/>
            <w:r>
              <w:rPr>
                <w:rFonts w:ascii="Calibri" w:hAnsi="Calibri"/>
                <w:b w:val="0"/>
                <w:color w:val="0B0B0B"/>
                <w:sz w:val="18"/>
              </w:rPr>
              <w:t>Imported from Solution MC-ICP-MS TAPP</w:t>
            </w:r>
          </w:p>
        </w:tc>
        <w:tc>
          <w:tcPr>
            <w:tcW w:type="dxa" w:w="1872"/>
            <w:vAlign w:val="center"/>
          </w:tcPr>
          <w:p>
            <w:pPr>
              <w:spacing w:after="0"/>
            </w:pPr>
            <w:r/>
            <w:r>
              <w:rPr>
                <w:rFonts w:ascii="Calibri" w:hAnsi="Calibri"/>
                <w:b w:val="0"/>
                <w:color w:val="0B0B0B"/>
                <w:sz w:val="18"/>
              </w:rPr>
              <w:t>12</w:t>
            </w:r>
          </w:p>
        </w:tc>
        <w:tc>
          <w:tcPr>
            <w:tcW w:type="dxa" w:w="2304"/>
            <w:vAlign w:val="center"/>
          </w:tcPr>
          <w:p>
            <w:pPr>
              <w:spacing w:after="0"/>
            </w:pPr>
            <w:r/>
            <w:r>
              <w:rPr>
                <w:rFonts w:ascii="Calibri" w:hAnsi="Calibri"/>
                <w:b w:val="0"/>
                <w:color w:val="0B0B0B"/>
                <w:sz w:val="18"/>
              </w:rPr>
              <w:t>9.8%</w:t>
            </w:r>
          </w:p>
        </w:tc>
      </w:tr>
      <w:tr>
        <w:tc>
          <w:tcPr>
            <w:tcW w:type="dxa" w:w="5472"/>
            <w:vAlign w:val="center"/>
            <w:shd w:val="clear" w:color="auto" w:fill="F2F2F2"/>
          </w:tcPr>
          <w:p>
            <w:pPr>
              <w:spacing w:after="0"/>
            </w:pPr>
            <w:r/>
            <w:r>
              <w:rPr>
                <w:rFonts w:ascii="Calibri" w:hAnsi="Calibri"/>
                <w:b w:val="0"/>
                <w:color w:val="0B0B0B"/>
                <w:sz w:val="18"/>
              </w:rPr>
              <w:t>Total</w:t>
            </w:r>
          </w:p>
        </w:tc>
        <w:tc>
          <w:tcPr>
            <w:tcW w:type="dxa" w:w="1872"/>
            <w:vAlign w:val="center"/>
            <w:shd w:val="clear" w:color="auto" w:fill="F2F2F2"/>
          </w:tcPr>
          <w:p>
            <w:pPr>
              <w:spacing w:after="0"/>
            </w:pPr>
            <w:r/>
            <w:r>
              <w:rPr>
                <w:rFonts w:ascii="Calibri" w:hAnsi="Calibri"/>
                <w:b w:val="0"/>
                <w:color w:val="0B0B0B"/>
                <w:sz w:val="18"/>
              </w:rPr>
              <w:t>122</w:t>
            </w:r>
          </w:p>
        </w:tc>
        <w:tc>
          <w:tcPr>
            <w:tcW w:type="dxa" w:w="2304"/>
            <w:vAlign w:val="center"/>
            <w:shd w:val="clear" w:color="auto" w:fill="F2F2F2"/>
          </w:tcPr>
          <w:p>
            <w:pPr>
              <w:spacing w:after="0"/>
            </w:pPr>
            <w:r/>
            <w:r>
              <w:rPr>
                <w:rFonts w:ascii="Calibri" w:hAnsi="Calibri"/>
                <w:b w:val="0"/>
                <w:color w:val="0B0B0B"/>
                <w:sz w:val="18"/>
              </w:rPr>
              <w:t>100%</w:t>
            </w:r>
          </w:p>
        </w:tc>
      </w:tr>
    </w:tbl>
    <w:p>
      <w:pPr>
        <w:spacing w:after="320" w:before="80"/>
      </w:pPr>
      <w:r>
        <w:rPr>
          <w:rFonts w:ascii="Calibri" w:hAnsi="Calibri"/>
          <w:b w:val="0"/>
          <w:i/>
          <w:color w:val="52514E"/>
          <w:sz w:val="18"/>
        </w:rPr>
        <w:t>Table 4. Final TAPP composition by field provenance.</w:t>
      </w:r>
    </w:p>
    <w:p>
      <w:r>
        <w:br w:type="page"/>
      </w:r>
    </w:p>
    <w:p>
      <w:pPr>
        <w:pStyle w:val="Heading1"/>
      </w:pPr>
      <w:r>
        <w:t>5. Comparison with Existing AI-Led ICP-MS TAPPs</w:t>
      </w:r>
    </w:p>
    <w:p>
      <w:pPr>
        <w:spacing w:after="160"/>
      </w:pPr>
      <w:r>
        <w:rPr>
          <w:rFonts w:ascii="Calibri" w:hAnsi="Calibri"/>
          <w:b w:val="0"/>
          <w:i w:val="0"/>
          <w:color w:val="0B0B0B"/>
          <w:sz w:val="22"/>
        </w:rPr>
        <w:t>This section addresses the question motivating the whole exercise: of Table 3’s original metadata items — excluding Group 1 identity fields, which are governed by in-house rules common to every TAPP regardless of technique — how many were already captured by this project’s existing AI-led TAPPs before Horstwood et al. (2016) was ever consulted?</w:t>
      </w:r>
    </w:p>
    <w:p>
      <w:pPr>
        <w:pStyle w:val="Heading2"/>
      </w:pPr>
      <w:r>
        <w:t>5.1 Table 3 item-by-item capture status</w:t>
      </w:r>
    </w:p>
    <w:p>
      <w:pPr>
        <w:spacing w:after="160"/>
      </w:pPr>
      <w:r>
        <w:rPr>
          <w:rFonts w:ascii="Calibri" w:hAnsi="Calibri"/>
          <w:b w:val="0"/>
          <w:i w:val="0"/>
          <w:color w:val="0B0B0B"/>
          <w:sz w:val="22"/>
        </w:rPr>
        <w:t>Table 3 contains 35 items in total. One (“Laboratory name”) is a Group 1 identity field and is excluded per the scope of this comparison. Of the remaining 34, one (“Other information”) is an unstructured free-text catch-all not amenable to a captured/missed classification and is reported separately. The remaining 33 items form the basis of the statistics below.</w:t>
      </w:r>
    </w:p>
    <w:p>
      <w:pPr>
        <w:jc w:val="center"/>
      </w:pPr>
      <w:r>
        <w:drawing>
          <wp:inline xmlns:a="http://schemas.openxmlformats.org/drawingml/2006/main" xmlns:pic="http://schemas.openxmlformats.org/drawingml/2006/picture">
            <wp:extent cx="5120640" cy="1995236"/>
            <wp:docPr id="1" name="Picture 1"/>
            <wp:cNvGraphicFramePr>
              <a:graphicFrameLocks noChangeAspect="1"/>
            </wp:cNvGraphicFramePr>
            <a:graphic>
              <a:graphicData uri="http://schemas.openxmlformats.org/drawingml/2006/picture">
                <pic:pic>
                  <pic:nvPicPr>
                    <pic:cNvPr id="0" name="chart1_table3_coverage.png"/>
                    <pic:cNvPicPr/>
                  </pic:nvPicPr>
                  <pic:blipFill>
                    <a:blip r:embed="rId11"/>
                    <a:stretch>
                      <a:fillRect/>
                    </a:stretch>
                  </pic:blipFill>
                  <pic:spPr>
                    <a:xfrm>
                      <a:off x="0" y="0"/>
                      <a:ext cx="5120640" cy="1995236"/>
                    </a:xfrm>
                    <a:prstGeom prst="rect"/>
                  </pic:spPr>
                </pic:pic>
              </a:graphicData>
            </a:graphic>
          </wp:inline>
        </w:drawing>
      </w:r>
    </w:p>
    <w:p>
      <w:pPr>
        <w:spacing w:after="320" w:before="80"/>
      </w:pPr>
      <w:r>
        <w:rPr>
          <w:rFonts w:ascii="Calibri" w:hAnsi="Calibri"/>
          <w:b w:val="0"/>
          <w:i/>
          <w:color w:val="52514E"/>
          <w:sz w:val="18"/>
        </w:rPr>
        <w:t>Figure 1. Table 3 coverage by existing AI-led TAPPs (n = 33).</w:t>
      </w:r>
    </w:p>
    <w:tbl>
      <w:tblPr>
        <w:tblStyle w:val="TableGrid"/>
        <w:tblW w:type="auto" w:w="0"/>
        <w:tblLayout w:type="fixed"/>
        <w:tblLook w:firstColumn="1" w:firstRow="1" w:lastColumn="0" w:lastRow="0" w:noHBand="0" w:noVBand="1" w:val="04A0"/>
      </w:tblPr>
      <w:tblGrid>
        <w:gridCol w:w="1728"/>
        <w:gridCol w:w="1728"/>
        <w:gridCol w:w="1728"/>
        <w:gridCol w:w="1728"/>
        <w:gridCol w:w="1728"/>
        <w:gridCol w:w="1728"/>
      </w:tblGrid>
      <w:tr>
        <w:tc>
          <w:tcPr>
            <w:tcW w:type="dxa" w:w="432"/>
            <w:vAlign w:val="center"/>
            <w:shd w:val="clear" w:color="auto" w:fill="2F5597"/>
          </w:tcPr>
          <w:p>
            <w:pPr>
              <w:spacing w:after="0"/>
            </w:pPr>
            <w:r/>
            <w:r>
              <w:rPr>
                <w:rFonts w:ascii="Calibri" w:hAnsi="Calibri"/>
                <w:b/>
                <w:color w:val="FFFFFF"/>
                <w:sz w:val="18"/>
              </w:rPr>
              <w:t>#</w:t>
            </w:r>
          </w:p>
        </w:tc>
        <w:tc>
          <w:tcPr>
            <w:tcW w:type="dxa" w:w="2520"/>
            <w:vAlign w:val="center"/>
            <w:shd w:val="clear" w:color="auto" w:fill="2F5597"/>
          </w:tcPr>
          <w:p>
            <w:pPr>
              <w:spacing w:after="0"/>
            </w:pPr>
            <w:r/>
            <w:r>
              <w:rPr>
                <w:rFonts w:ascii="Calibri" w:hAnsi="Calibri"/>
                <w:b/>
                <w:color w:val="FFFFFF"/>
                <w:sz w:val="18"/>
              </w:rPr>
              <w:t>Table 3 item</w:t>
            </w:r>
          </w:p>
        </w:tc>
        <w:tc>
          <w:tcPr>
            <w:tcW w:type="dxa" w:w="504"/>
            <w:vAlign w:val="center"/>
            <w:shd w:val="clear" w:color="auto" w:fill="2F5597"/>
          </w:tcPr>
          <w:p>
            <w:pPr>
              <w:spacing w:after="0"/>
            </w:pPr>
            <w:r/>
            <w:r>
              <w:rPr>
                <w:rFonts w:ascii="Calibri" w:hAnsi="Calibri"/>
                <w:b/>
                <w:color w:val="FFFFFF"/>
                <w:sz w:val="18"/>
              </w:rPr>
              <w:t>Grp</w:t>
            </w:r>
          </w:p>
        </w:tc>
        <w:tc>
          <w:tcPr>
            <w:tcW w:type="dxa" w:w="864"/>
            <w:vAlign w:val="center"/>
            <w:shd w:val="clear" w:color="auto" w:fill="2F5597"/>
          </w:tcPr>
          <w:p>
            <w:pPr>
              <w:spacing w:after="0"/>
            </w:pPr>
            <w:r/>
            <w:r>
              <w:rPr>
                <w:rFonts w:ascii="Calibri" w:hAnsi="Calibri"/>
                <w:b/>
                <w:color w:val="FFFFFF"/>
                <w:sz w:val="18"/>
              </w:rPr>
              <w:t>Status</w:t>
            </w:r>
          </w:p>
        </w:tc>
        <w:tc>
          <w:tcPr>
            <w:tcW w:type="dxa" w:w="2376"/>
            <w:vAlign w:val="center"/>
            <w:shd w:val="clear" w:color="auto" w:fill="2F5597"/>
          </w:tcPr>
          <w:p>
            <w:pPr>
              <w:spacing w:after="0"/>
            </w:pPr>
            <w:r/>
            <w:r>
              <w:rPr>
                <w:rFonts w:ascii="Calibri" w:hAnsi="Calibri"/>
                <w:b/>
                <w:color w:val="FFFFFF"/>
                <w:sz w:val="18"/>
              </w:rPr>
              <w:t>Captured by</w:t>
            </w:r>
          </w:p>
        </w:tc>
        <w:tc>
          <w:tcPr>
            <w:tcW w:type="dxa" w:w="3384"/>
            <w:vAlign w:val="center"/>
            <w:shd w:val="clear" w:color="auto" w:fill="2F5597"/>
          </w:tcPr>
          <w:p>
            <w:pPr>
              <w:spacing w:after="0"/>
            </w:pPr>
            <w:r/>
            <w:r>
              <w:rPr>
                <w:rFonts w:ascii="Calibri" w:hAnsi="Calibri"/>
                <w:b/>
                <w:color w:val="FFFFFF"/>
                <w:sz w:val="18"/>
              </w:rPr>
              <w:t>Note</w:t>
            </w:r>
          </w:p>
        </w:tc>
      </w:tr>
      <w:tr>
        <w:tc>
          <w:tcPr>
            <w:tcW w:type="dxa" w:w="432"/>
            <w:vAlign w:val="center"/>
            <w:shd w:val="clear" w:color="auto" w:fill="E2EFDA"/>
          </w:tcPr>
          <w:p>
            <w:pPr>
              <w:spacing w:after="0"/>
            </w:pPr>
            <w:r/>
            <w:r>
              <w:rPr>
                <w:rFonts w:ascii="Calibri" w:hAnsi="Calibri"/>
                <w:b w:val="0"/>
                <w:color w:val="0B0B0B"/>
                <w:sz w:val="18"/>
              </w:rPr>
              <w:t>1</w:t>
            </w:r>
          </w:p>
        </w:tc>
        <w:tc>
          <w:tcPr>
            <w:tcW w:type="dxa" w:w="2520"/>
            <w:vAlign w:val="center"/>
            <w:shd w:val="clear" w:color="auto" w:fill="E2EFDA"/>
          </w:tcPr>
          <w:p>
            <w:pPr>
              <w:spacing w:after="0"/>
            </w:pPr>
            <w:r/>
            <w:r>
              <w:rPr>
                <w:rFonts w:ascii="Calibri" w:hAnsi="Calibri"/>
                <w:b w:val="0"/>
                <w:color w:val="0B0B0B"/>
                <w:sz w:val="18"/>
              </w:rPr>
              <w:t>Sample type/mineral</w:t>
            </w:r>
          </w:p>
        </w:tc>
        <w:tc>
          <w:tcPr>
            <w:tcW w:type="dxa" w:w="504"/>
            <w:vAlign w:val="center"/>
            <w:shd w:val="clear" w:color="auto" w:fill="E2EFDA"/>
          </w:tcPr>
          <w:p>
            <w:pPr>
              <w:spacing w:after="0"/>
            </w:pPr>
            <w:r/>
            <w:r>
              <w:rPr>
                <w:rFonts w:ascii="Calibri" w:hAnsi="Calibri"/>
                <w:b w:val="0"/>
                <w:color w:val="0B0B0B"/>
                <w:sz w:val="18"/>
              </w:rPr>
              <w:t>2</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 Solution MC-ICP-MS</w:t>
            </w:r>
          </w:p>
        </w:tc>
        <w:tc>
          <w:tcPr>
            <w:tcW w:type="dxa" w:w="3384"/>
            <w:vAlign w:val="center"/>
            <w:shd w:val="clear" w:color="auto" w:fill="E2EFDA"/>
          </w:tcPr>
          <w:p>
            <w:pPr>
              <w:spacing w:after="0"/>
            </w:pPr>
            <w:r/>
            <w:r>
              <w:rPr>
                <w:rFonts w:ascii="Calibri" w:hAnsi="Calibri"/>
                <w:b w:val="0"/>
                <w:color w:val="0B0B0B"/>
                <w:sz w:val="18"/>
              </w:rPr>
              <w:t>Target Material (both TAPPs)</w:t>
            </w:r>
          </w:p>
        </w:tc>
      </w:tr>
      <w:tr>
        <w:tc>
          <w:tcPr>
            <w:tcW w:type="dxa" w:w="432"/>
            <w:vAlign w:val="center"/>
            <w:shd w:val="clear" w:color="auto" w:fill="E2EFDA"/>
          </w:tcPr>
          <w:p>
            <w:pPr>
              <w:spacing w:after="0"/>
            </w:pPr>
            <w:r/>
            <w:r>
              <w:rPr>
                <w:rFonts w:ascii="Calibri" w:hAnsi="Calibri"/>
                <w:b w:val="0"/>
                <w:color w:val="0B0B0B"/>
                <w:sz w:val="18"/>
              </w:rPr>
              <w:t>2</w:t>
            </w:r>
          </w:p>
        </w:tc>
        <w:tc>
          <w:tcPr>
            <w:tcW w:type="dxa" w:w="2520"/>
            <w:vAlign w:val="center"/>
            <w:shd w:val="clear" w:color="auto" w:fill="E2EFDA"/>
          </w:tcPr>
          <w:p>
            <w:pPr>
              <w:spacing w:after="0"/>
            </w:pPr>
            <w:r/>
            <w:r>
              <w:rPr>
                <w:rFonts w:ascii="Calibri" w:hAnsi="Calibri"/>
                <w:b w:val="0"/>
                <w:color w:val="0B0B0B"/>
                <w:sz w:val="18"/>
              </w:rPr>
              <w:t>Sample preparation</w:t>
            </w:r>
          </w:p>
        </w:tc>
        <w:tc>
          <w:tcPr>
            <w:tcW w:type="dxa" w:w="504"/>
            <w:vAlign w:val="center"/>
            <w:shd w:val="clear" w:color="auto" w:fill="E2EFDA"/>
          </w:tcPr>
          <w:p>
            <w:pPr>
              <w:spacing w:after="0"/>
            </w:pPr>
            <w:r/>
            <w:r>
              <w:rPr>
                <w:rFonts w:ascii="Calibri" w:hAnsi="Calibri"/>
                <w:b w:val="0"/>
                <w:color w:val="0B0B0B"/>
                <w:sz w:val="18"/>
              </w:rPr>
              <w:t>2</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 Solution MC-ICP-MS</w:t>
            </w:r>
          </w:p>
        </w:tc>
        <w:tc>
          <w:tcPr>
            <w:tcW w:type="dxa" w:w="3384"/>
            <w:vAlign w:val="center"/>
            <w:shd w:val="clear" w:color="auto" w:fill="E2EFDA"/>
          </w:tcPr>
          <w:p>
            <w:pPr>
              <w:spacing w:after="0"/>
            </w:pPr>
            <w:r/>
            <w:r>
              <w:rPr>
                <w:rFonts w:ascii="Calibri" w:hAnsi="Calibri"/>
                <w:b w:val="0"/>
                <w:color w:val="0B0B0B"/>
                <w:sz w:val="18"/>
              </w:rPr>
              <w:t>Sample Preparation Method (both TAPPs)</w:t>
            </w:r>
          </w:p>
        </w:tc>
      </w:tr>
      <w:tr>
        <w:tc>
          <w:tcPr>
            <w:tcW w:type="dxa" w:w="432"/>
            <w:vAlign w:val="center"/>
            <w:shd w:val="clear" w:color="auto" w:fill="FCE4E4"/>
          </w:tcPr>
          <w:p>
            <w:pPr>
              <w:spacing w:after="0"/>
            </w:pPr>
            <w:r/>
            <w:r>
              <w:rPr>
                <w:rFonts w:ascii="Calibri" w:hAnsi="Calibri"/>
                <w:b w:val="0"/>
                <w:color w:val="0B0B0B"/>
                <w:sz w:val="18"/>
              </w:rPr>
              <w:t>3</w:t>
            </w:r>
          </w:p>
        </w:tc>
        <w:tc>
          <w:tcPr>
            <w:tcW w:type="dxa" w:w="2520"/>
            <w:vAlign w:val="center"/>
            <w:shd w:val="clear" w:color="auto" w:fill="FCE4E4"/>
          </w:tcPr>
          <w:p>
            <w:pPr>
              <w:spacing w:after="0"/>
            </w:pPr>
            <w:r/>
            <w:r>
              <w:rPr>
                <w:rFonts w:ascii="Calibri" w:hAnsi="Calibri"/>
                <w:b w:val="0"/>
                <w:color w:val="0B0B0B"/>
                <w:sz w:val="18"/>
              </w:rPr>
              <w:t>Imaging</w:t>
            </w:r>
          </w:p>
        </w:tc>
        <w:tc>
          <w:tcPr>
            <w:tcW w:type="dxa" w:w="504"/>
            <w:vAlign w:val="center"/>
            <w:shd w:val="clear" w:color="auto" w:fill="FCE4E4"/>
          </w:tcPr>
          <w:p>
            <w:pPr>
              <w:spacing w:after="0"/>
            </w:pPr>
            <w:r/>
            <w:r>
              <w:rPr>
                <w:rFonts w:ascii="Calibri" w:hAnsi="Calibri"/>
                <w:b w:val="0"/>
                <w:color w:val="0B0B0B"/>
                <w:sz w:val="18"/>
              </w:rPr>
              <w:t>2</w:t>
            </w:r>
          </w:p>
        </w:tc>
        <w:tc>
          <w:tcPr>
            <w:tcW w:type="dxa" w:w="864"/>
            <w:vAlign w:val="center"/>
            <w:shd w:val="clear" w:color="auto" w:fill="FCE4E4"/>
          </w:tcPr>
          <w:p>
            <w:pPr>
              <w:spacing w:after="0"/>
            </w:pPr>
            <w:r/>
            <w:r>
              <w:rPr>
                <w:rFonts w:ascii="Calibri" w:hAnsi="Calibri"/>
                <w:b w:val="0"/>
                <w:color w:val="0B0B0B"/>
                <w:sz w:val="18"/>
              </w:rPr>
              <w:t>Missed</w:t>
            </w:r>
          </w:p>
        </w:tc>
        <w:tc>
          <w:tcPr>
            <w:tcW w:type="dxa" w:w="2376"/>
            <w:vAlign w:val="center"/>
            <w:shd w:val="clear" w:color="auto" w:fill="FCE4E4"/>
          </w:tcPr>
          <w:p>
            <w:pPr>
              <w:spacing w:after="0"/>
            </w:pPr>
            <w:r/>
            <w:r>
              <w:rPr>
                <w:rFonts w:ascii="Calibri" w:hAnsi="Calibri"/>
                <w:b w:val="0"/>
                <w:color w:val="0B0B0B"/>
                <w:sz w:val="18"/>
              </w:rPr>
              <w:t>—</w:t>
            </w:r>
          </w:p>
        </w:tc>
        <w:tc>
          <w:tcPr>
            <w:tcW w:type="dxa" w:w="3384"/>
            <w:vAlign w:val="center"/>
            <w:shd w:val="clear" w:color="auto" w:fill="FCE4E4"/>
          </w:tcPr>
          <w:p>
            <w:pPr>
              <w:spacing w:after="0"/>
            </w:pPr>
            <w:r/>
            <w:r>
              <w:rPr>
                <w:rFonts w:ascii="Calibri" w:hAnsi="Calibri"/>
                <w:b w:val="0"/>
                <w:color w:val="0B0B0B"/>
                <w:sz w:val="18"/>
              </w:rPr>
              <w:t>No CL/BSE pre-characterization field in either TAPP</w:t>
            </w:r>
          </w:p>
        </w:tc>
      </w:tr>
      <w:tr>
        <w:tc>
          <w:tcPr>
            <w:tcW w:type="dxa" w:w="432"/>
            <w:vAlign w:val="center"/>
            <w:shd w:val="clear" w:color="auto" w:fill="E2EFDA"/>
          </w:tcPr>
          <w:p>
            <w:pPr>
              <w:spacing w:after="0"/>
            </w:pPr>
            <w:r/>
            <w:r>
              <w:rPr>
                <w:rFonts w:ascii="Calibri" w:hAnsi="Calibri"/>
                <w:b w:val="0"/>
                <w:color w:val="0B0B0B"/>
                <w:sz w:val="18"/>
              </w:rPr>
              <w:t>4</w:t>
            </w:r>
          </w:p>
        </w:tc>
        <w:tc>
          <w:tcPr>
            <w:tcW w:type="dxa" w:w="2520"/>
            <w:vAlign w:val="center"/>
            <w:shd w:val="clear" w:color="auto" w:fill="E2EFDA"/>
          </w:tcPr>
          <w:p>
            <w:pPr>
              <w:spacing w:after="0"/>
            </w:pPr>
            <w:r/>
            <w:r>
              <w:rPr>
                <w:rFonts w:ascii="Calibri" w:hAnsi="Calibri"/>
                <w:b w:val="0"/>
                <w:color w:val="0B0B0B"/>
                <w:sz w:val="18"/>
              </w:rPr>
              <w:t>Make, Model and Type (laser)</w:t>
            </w:r>
          </w:p>
        </w:tc>
        <w:tc>
          <w:tcPr>
            <w:tcW w:type="dxa" w:w="504"/>
            <w:vAlign w:val="center"/>
            <w:shd w:val="clear" w:color="auto" w:fill="E2EFDA"/>
          </w:tcPr>
          <w:p>
            <w:pPr>
              <w:spacing w:after="0"/>
            </w:pPr>
            <w:r/>
            <w:r>
              <w:rPr>
                <w:rFonts w:ascii="Calibri" w:hAnsi="Calibri"/>
                <w:b w:val="0"/>
                <w:color w:val="0B0B0B"/>
                <w:sz w:val="18"/>
              </w:rPr>
              <w:t>3</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w:t>
            </w:r>
          </w:p>
        </w:tc>
        <w:tc>
          <w:tcPr>
            <w:tcW w:type="dxa" w:w="3384"/>
            <w:vAlign w:val="center"/>
            <w:shd w:val="clear" w:color="auto" w:fill="E2EFDA"/>
          </w:tcPr>
          <w:p>
            <w:pPr>
              <w:spacing w:after="0"/>
            </w:pPr>
            <w:r/>
            <w:r>
              <w:rPr>
                <w:rFonts w:ascii="Calibri" w:hAnsi="Calibri"/>
                <w:b w:val="0"/>
                <w:color w:val="0B0B0B"/>
                <w:sz w:val="18"/>
              </w:rPr>
              <w:t>Laser Manufacturer &amp; Model + Laser Wavelength and Type (different split, no info lost)</w:t>
            </w:r>
          </w:p>
        </w:tc>
      </w:tr>
      <w:tr>
        <w:tc>
          <w:tcPr>
            <w:tcW w:type="dxa" w:w="432"/>
            <w:vAlign w:val="center"/>
            <w:shd w:val="clear" w:color="auto" w:fill="FFF2CC"/>
          </w:tcPr>
          <w:p>
            <w:pPr>
              <w:spacing w:after="0"/>
            </w:pPr>
            <w:r/>
            <w:r>
              <w:rPr>
                <w:rFonts w:ascii="Calibri" w:hAnsi="Calibri"/>
                <w:b w:val="0"/>
                <w:color w:val="0B0B0B"/>
                <w:sz w:val="18"/>
              </w:rPr>
              <w:t>5</w:t>
            </w:r>
          </w:p>
        </w:tc>
        <w:tc>
          <w:tcPr>
            <w:tcW w:type="dxa" w:w="2520"/>
            <w:vAlign w:val="center"/>
            <w:shd w:val="clear" w:color="auto" w:fill="FFF2CC"/>
          </w:tcPr>
          <w:p>
            <w:pPr>
              <w:spacing w:after="0"/>
            </w:pPr>
            <w:r/>
            <w:r>
              <w:rPr>
                <w:rFonts w:ascii="Calibri" w:hAnsi="Calibri"/>
                <w:b w:val="0"/>
                <w:color w:val="0B0B0B"/>
                <w:sz w:val="18"/>
              </w:rPr>
              <w:t>Ablation cell and volume</w:t>
            </w:r>
          </w:p>
        </w:tc>
        <w:tc>
          <w:tcPr>
            <w:tcW w:type="dxa" w:w="504"/>
            <w:vAlign w:val="center"/>
            <w:shd w:val="clear" w:color="auto" w:fill="FFF2CC"/>
          </w:tcPr>
          <w:p>
            <w:pPr>
              <w:spacing w:after="0"/>
            </w:pPr>
            <w:r/>
            <w:r>
              <w:rPr>
                <w:rFonts w:ascii="Calibri" w:hAnsi="Calibri"/>
                <w:b w:val="0"/>
                <w:color w:val="0B0B0B"/>
                <w:sz w:val="18"/>
              </w:rPr>
              <w:t>3</w:t>
            </w:r>
          </w:p>
        </w:tc>
        <w:tc>
          <w:tcPr>
            <w:tcW w:type="dxa" w:w="864"/>
            <w:vAlign w:val="center"/>
            <w:shd w:val="clear" w:color="auto" w:fill="FFF2CC"/>
          </w:tcPr>
          <w:p>
            <w:pPr>
              <w:spacing w:after="0"/>
            </w:pPr>
            <w:r/>
            <w:r>
              <w:rPr>
                <w:rFonts w:ascii="Calibri" w:hAnsi="Calibri"/>
                <w:b w:val="0"/>
                <w:color w:val="0B0B0B"/>
                <w:sz w:val="18"/>
              </w:rPr>
              <w:t>Partial</w:t>
            </w:r>
          </w:p>
        </w:tc>
        <w:tc>
          <w:tcPr>
            <w:tcW w:type="dxa" w:w="2376"/>
            <w:vAlign w:val="center"/>
            <w:shd w:val="clear" w:color="auto" w:fill="FFF2CC"/>
          </w:tcPr>
          <w:p>
            <w:pPr>
              <w:spacing w:after="0"/>
            </w:pPr>
            <w:r/>
            <w:r>
              <w:rPr>
                <w:rFonts w:ascii="Calibri" w:hAnsi="Calibri"/>
                <w:b w:val="0"/>
                <w:color w:val="0B0B0B"/>
                <w:sz w:val="18"/>
              </w:rPr>
              <w:t>LA-Q/SF-ICP-MS</w:t>
            </w:r>
          </w:p>
        </w:tc>
        <w:tc>
          <w:tcPr>
            <w:tcW w:type="dxa" w:w="3384"/>
            <w:vAlign w:val="center"/>
            <w:shd w:val="clear" w:color="auto" w:fill="FFF2CC"/>
          </w:tcPr>
          <w:p>
            <w:pPr>
              <w:spacing w:after="0"/>
            </w:pPr>
            <w:r/>
            <w:r>
              <w:rPr>
                <w:rFonts w:ascii="Calibri" w:hAnsi="Calibri"/>
                <w:b w:val="0"/>
                <w:color w:val="0B0B0B"/>
                <w:sz w:val="18"/>
              </w:rPr>
              <w:t>Captures cell type but not volume explicitly</w:t>
            </w:r>
          </w:p>
        </w:tc>
      </w:tr>
      <w:tr>
        <w:tc>
          <w:tcPr>
            <w:tcW w:type="dxa" w:w="432"/>
            <w:vAlign w:val="center"/>
            <w:shd w:val="clear" w:color="auto" w:fill="E2EFDA"/>
          </w:tcPr>
          <w:p>
            <w:pPr>
              <w:spacing w:after="0"/>
            </w:pPr>
            <w:r/>
            <w:r>
              <w:rPr>
                <w:rFonts w:ascii="Calibri" w:hAnsi="Calibri"/>
                <w:b w:val="0"/>
                <w:color w:val="0B0B0B"/>
                <w:sz w:val="18"/>
              </w:rPr>
              <w:t>6</w:t>
            </w:r>
          </w:p>
        </w:tc>
        <w:tc>
          <w:tcPr>
            <w:tcW w:type="dxa" w:w="2520"/>
            <w:vAlign w:val="center"/>
            <w:shd w:val="clear" w:color="auto" w:fill="E2EFDA"/>
          </w:tcPr>
          <w:p>
            <w:pPr>
              <w:spacing w:after="0"/>
            </w:pPr>
            <w:r/>
            <w:r>
              <w:rPr>
                <w:rFonts w:ascii="Calibri" w:hAnsi="Calibri"/>
                <w:b w:val="0"/>
                <w:color w:val="0B0B0B"/>
                <w:sz w:val="18"/>
              </w:rPr>
              <w:t>Laser wavelength (nm)</w:t>
            </w:r>
          </w:p>
        </w:tc>
        <w:tc>
          <w:tcPr>
            <w:tcW w:type="dxa" w:w="504"/>
            <w:vAlign w:val="center"/>
            <w:shd w:val="clear" w:color="auto" w:fill="E2EFDA"/>
          </w:tcPr>
          <w:p>
            <w:pPr>
              <w:spacing w:after="0"/>
            </w:pPr>
            <w:r/>
            <w:r>
              <w:rPr>
                <w:rFonts w:ascii="Calibri" w:hAnsi="Calibri"/>
                <w:b w:val="0"/>
                <w:color w:val="0B0B0B"/>
                <w:sz w:val="18"/>
              </w:rPr>
              <w:t>3</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w:t>
            </w:r>
          </w:p>
        </w:tc>
        <w:tc>
          <w:tcPr>
            <w:tcW w:type="dxa" w:w="3384"/>
            <w:vAlign w:val="center"/>
            <w:shd w:val="clear" w:color="auto" w:fill="E2EFDA"/>
          </w:tcPr>
          <w:p>
            <w:pPr>
              <w:spacing w:after="0"/>
            </w:pPr>
            <w:r/>
            <w:r>
              <w:rPr>
                <w:rFonts w:ascii="Calibri" w:hAnsi="Calibri"/>
                <w:b w:val="0"/>
                <w:color w:val="0B0B0B"/>
                <w:sz w:val="18"/>
              </w:rPr>
              <w:t>Laser Wavelength and Type</w:t>
            </w:r>
          </w:p>
        </w:tc>
      </w:tr>
      <w:tr>
        <w:tc>
          <w:tcPr>
            <w:tcW w:type="dxa" w:w="432"/>
            <w:vAlign w:val="center"/>
            <w:shd w:val="clear" w:color="auto" w:fill="E2EFDA"/>
          </w:tcPr>
          <w:p>
            <w:pPr>
              <w:spacing w:after="0"/>
            </w:pPr>
            <w:r/>
            <w:r>
              <w:rPr>
                <w:rFonts w:ascii="Calibri" w:hAnsi="Calibri"/>
                <w:b w:val="0"/>
                <w:color w:val="0B0B0B"/>
                <w:sz w:val="18"/>
              </w:rPr>
              <w:t>7</w:t>
            </w:r>
          </w:p>
        </w:tc>
        <w:tc>
          <w:tcPr>
            <w:tcW w:type="dxa" w:w="2520"/>
            <w:vAlign w:val="center"/>
            <w:shd w:val="clear" w:color="auto" w:fill="E2EFDA"/>
          </w:tcPr>
          <w:p>
            <w:pPr>
              <w:spacing w:after="0"/>
            </w:pPr>
            <w:r/>
            <w:r>
              <w:rPr>
                <w:rFonts w:ascii="Calibri" w:hAnsi="Calibri"/>
                <w:b w:val="0"/>
                <w:color w:val="0B0B0B"/>
                <w:sz w:val="18"/>
              </w:rPr>
              <w:t>Pulse width (ns)</w:t>
            </w:r>
          </w:p>
        </w:tc>
        <w:tc>
          <w:tcPr>
            <w:tcW w:type="dxa" w:w="504"/>
            <w:vAlign w:val="center"/>
            <w:shd w:val="clear" w:color="auto" w:fill="E2EFDA"/>
          </w:tcPr>
          <w:p>
            <w:pPr>
              <w:spacing w:after="0"/>
            </w:pPr>
            <w:r/>
            <w:r>
              <w:rPr>
                <w:rFonts w:ascii="Calibri" w:hAnsi="Calibri"/>
                <w:b w:val="0"/>
                <w:color w:val="0B0B0B"/>
                <w:sz w:val="18"/>
              </w:rPr>
              <w:t>4</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w:t>
            </w:r>
          </w:p>
        </w:tc>
        <w:tc>
          <w:tcPr>
            <w:tcW w:type="dxa" w:w="3384"/>
            <w:vAlign w:val="center"/>
            <w:shd w:val="clear" w:color="auto" w:fill="E2EFDA"/>
          </w:tcPr>
          <w:p>
            <w:pPr>
              <w:spacing w:after="0"/>
            </w:pPr>
            <w:r/>
            <w:r>
              <w:rPr>
                <w:rFonts w:ascii="Calibri" w:hAnsi="Calibri"/>
                <w:b w:val="0"/>
                <w:color w:val="0B0B0B"/>
                <w:sz w:val="18"/>
              </w:rPr>
              <w:t>Laser Pulse Duration</w:t>
            </w:r>
          </w:p>
        </w:tc>
      </w:tr>
      <w:tr>
        <w:tc>
          <w:tcPr>
            <w:tcW w:type="dxa" w:w="432"/>
            <w:vAlign w:val="center"/>
            <w:shd w:val="clear" w:color="auto" w:fill="E2EFDA"/>
          </w:tcPr>
          <w:p>
            <w:pPr>
              <w:spacing w:after="0"/>
            </w:pPr>
            <w:r/>
            <w:r>
              <w:rPr>
                <w:rFonts w:ascii="Calibri" w:hAnsi="Calibri"/>
                <w:b w:val="0"/>
                <w:color w:val="0B0B0B"/>
                <w:sz w:val="18"/>
              </w:rPr>
              <w:t>8</w:t>
            </w:r>
          </w:p>
        </w:tc>
        <w:tc>
          <w:tcPr>
            <w:tcW w:type="dxa" w:w="2520"/>
            <w:vAlign w:val="center"/>
            <w:shd w:val="clear" w:color="auto" w:fill="E2EFDA"/>
          </w:tcPr>
          <w:p>
            <w:pPr>
              <w:spacing w:after="0"/>
            </w:pPr>
            <w:r/>
            <w:r>
              <w:rPr>
                <w:rFonts w:ascii="Calibri" w:hAnsi="Calibri"/>
                <w:b w:val="0"/>
                <w:color w:val="0B0B0B"/>
                <w:sz w:val="18"/>
              </w:rPr>
              <w:t>Fluence (J cm⁻²)</w:t>
            </w:r>
          </w:p>
        </w:tc>
        <w:tc>
          <w:tcPr>
            <w:tcW w:type="dxa" w:w="504"/>
            <w:vAlign w:val="center"/>
            <w:shd w:val="clear" w:color="auto" w:fill="E2EFDA"/>
          </w:tcPr>
          <w:p>
            <w:pPr>
              <w:spacing w:after="0"/>
            </w:pPr>
            <w:r/>
            <w:r>
              <w:rPr>
                <w:rFonts w:ascii="Calibri" w:hAnsi="Calibri"/>
                <w:b w:val="0"/>
                <w:color w:val="0B0B0B"/>
                <w:sz w:val="18"/>
              </w:rPr>
              <w:t>4</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w:t>
            </w:r>
          </w:p>
        </w:tc>
        <w:tc>
          <w:tcPr>
            <w:tcW w:type="dxa" w:w="3384"/>
            <w:vAlign w:val="center"/>
            <w:shd w:val="clear" w:color="auto" w:fill="E2EFDA"/>
          </w:tcPr>
          <w:p>
            <w:pPr>
              <w:spacing w:after="0"/>
            </w:pPr>
            <w:r/>
            <w:r>
              <w:rPr>
                <w:rFonts w:ascii="Calibri" w:hAnsi="Calibri"/>
                <w:b w:val="0"/>
                <w:color w:val="0B0B0B"/>
                <w:sz w:val="18"/>
              </w:rPr>
              <w:t>Laser Fluence (Energy Density)</w:t>
            </w:r>
          </w:p>
        </w:tc>
      </w:tr>
      <w:tr>
        <w:tc>
          <w:tcPr>
            <w:tcW w:type="dxa" w:w="432"/>
            <w:vAlign w:val="center"/>
            <w:shd w:val="clear" w:color="auto" w:fill="E2EFDA"/>
          </w:tcPr>
          <w:p>
            <w:pPr>
              <w:spacing w:after="0"/>
            </w:pPr>
            <w:r/>
            <w:r>
              <w:rPr>
                <w:rFonts w:ascii="Calibri" w:hAnsi="Calibri"/>
                <w:b w:val="0"/>
                <w:color w:val="0B0B0B"/>
                <w:sz w:val="18"/>
              </w:rPr>
              <w:t>9</w:t>
            </w:r>
          </w:p>
        </w:tc>
        <w:tc>
          <w:tcPr>
            <w:tcW w:type="dxa" w:w="2520"/>
            <w:vAlign w:val="center"/>
            <w:shd w:val="clear" w:color="auto" w:fill="E2EFDA"/>
          </w:tcPr>
          <w:p>
            <w:pPr>
              <w:spacing w:after="0"/>
            </w:pPr>
            <w:r/>
            <w:r>
              <w:rPr>
                <w:rFonts w:ascii="Calibri" w:hAnsi="Calibri"/>
                <w:b w:val="0"/>
                <w:color w:val="0B0B0B"/>
                <w:sz w:val="18"/>
              </w:rPr>
              <w:t>Repetition rate (Hz)</w:t>
            </w:r>
          </w:p>
        </w:tc>
        <w:tc>
          <w:tcPr>
            <w:tcW w:type="dxa" w:w="504"/>
            <w:vAlign w:val="center"/>
            <w:shd w:val="clear" w:color="auto" w:fill="E2EFDA"/>
          </w:tcPr>
          <w:p>
            <w:pPr>
              <w:spacing w:after="0"/>
            </w:pPr>
            <w:r/>
            <w:r>
              <w:rPr>
                <w:rFonts w:ascii="Calibri" w:hAnsi="Calibri"/>
                <w:b w:val="0"/>
                <w:color w:val="0B0B0B"/>
                <w:sz w:val="18"/>
              </w:rPr>
              <w:t>4</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w:t>
            </w:r>
          </w:p>
        </w:tc>
        <w:tc>
          <w:tcPr>
            <w:tcW w:type="dxa" w:w="3384"/>
            <w:vAlign w:val="center"/>
            <w:shd w:val="clear" w:color="auto" w:fill="E2EFDA"/>
          </w:tcPr>
          <w:p>
            <w:pPr>
              <w:spacing w:after="0"/>
            </w:pPr>
            <w:r/>
            <w:r>
              <w:rPr>
                <w:rFonts w:ascii="Calibri" w:hAnsi="Calibri"/>
                <w:b w:val="0"/>
                <w:color w:val="0B0B0B"/>
                <w:sz w:val="18"/>
              </w:rPr>
              <w:t>Laser Repetition Rate</w:t>
            </w:r>
          </w:p>
        </w:tc>
      </w:tr>
      <w:tr>
        <w:tc>
          <w:tcPr>
            <w:tcW w:type="dxa" w:w="432"/>
            <w:vAlign w:val="center"/>
            <w:shd w:val="clear" w:color="auto" w:fill="E2EFDA"/>
          </w:tcPr>
          <w:p>
            <w:pPr>
              <w:spacing w:after="0"/>
            </w:pPr>
            <w:r/>
            <w:r>
              <w:rPr>
                <w:rFonts w:ascii="Calibri" w:hAnsi="Calibri"/>
                <w:b w:val="0"/>
                <w:color w:val="0B0B0B"/>
                <w:sz w:val="18"/>
              </w:rPr>
              <w:t>10</w:t>
            </w:r>
          </w:p>
        </w:tc>
        <w:tc>
          <w:tcPr>
            <w:tcW w:type="dxa" w:w="2520"/>
            <w:vAlign w:val="center"/>
            <w:shd w:val="clear" w:color="auto" w:fill="E2EFDA"/>
          </w:tcPr>
          <w:p>
            <w:pPr>
              <w:spacing w:after="0"/>
            </w:pPr>
            <w:r/>
            <w:r>
              <w:rPr>
                <w:rFonts w:ascii="Calibri" w:hAnsi="Calibri"/>
                <w:b w:val="0"/>
                <w:color w:val="0B0B0B"/>
                <w:sz w:val="18"/>
              </w:rPr>
              <w:t>Ablation duration (s)</w:t>
            </w:r>
          </w:p>
        </w:tc>
        <w:tc>
          <w:tcPr>
            <w:tcW w:type="dxa" w:w="504"/>
            <w:vAlign w:val="center"/>
            <w:shd w:val="clear" w:color="auto" w:fill="E2EFDA"/>
          </w:tcPr>
          <w:p>
            <w:pPr>
              <w:spacing w:after="0"/>
            </w:pPr>
            <w:r/>
            <w:r>
              <w:rPr>
                <w:rFonts w:ascii="Calibri" w:hAnsi="Calibri"/>
                <w:b w:val="0"/>
                <w:color w:val="0B0B0B"/>
                <w:sz w:val="18"/>
              </w:rPr>
              <w:t>4</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w:t>
            </w:r>
          </w:p>
        </w:tc>
        <w:tc>
          <w:tcPr>
            <w:tcW w:type="dxa" w:w="3384"/>
            <w:vAlign w:val="center"/>
            <w:shd w:val="clear" w:color="auto" w:fill="E2EFDA"/>
          </w:tcPr>
          <w:p>
            <w:pPr>
              <w:spacing w:after="0"/>
            </w:pPr>
            <w:r/>
            <w:r>
              <w:rPr>
                <w:rFonts w:ascii="Calibri" w:hAnsi="Calibri"/>
                <w:b w:val="0"/>
                <w:color w:val="0B0B0B"/>
                <w:sz w:val="18"/>
              </w:rPr>
              <w:t>Ablation Duration per Spot</w:t>
            </w:r>
          </w:p>
        </w:tc>
      </w:tr>
      <w:tr>
        <w:tc>
          <w:tcPr>
            <w:tcW w:type="dxa" w:w="432"/>
            <w:vAlign w:val="center"/>
            <w:shd w:val="clear" w:color="auto" w:fill="FCE4E4"/>
          </w:tcPr>
          <w:p>
            <w:pPr>
              <w:spacing w:after="0"/>
            </w:pPr>
            <w:r/>
            <w:r>
              <w:rPr>
                <w:rFonts w:ascii="Calibri" w:hAnsi="Calibri"/>
                <w:b w:val="0"/>
                <w:color w:val="0B0B0B"/>
                <w:sz w:val="18"/>
              </w:rPr>
              <w:t>11</w:t>
            </w:r>
          </w:p>
        </w:tc>
        <w:tc>
          <w:tcPr>
            <w:tcW w:type="dxa" w:w="2520"/>
            <w:vAlign w:val="center"/>
            <w:shd w:val="clear" w:color="auto" w:fill="FCE4E4"/>
          </w:tcPr>
          <w:p>
            <w:pPr>
              <w:spacing w:after="0"/>
            </w:pPr>
            <w:r/>
            <w:r>
              <w:rPr>
                <w:rFonts w:ascii="Calibri" w:hAnsi="Calibri"/>
                <w:b w:val="0"/>
                <w:color w:val="0B0B0B"/>
                <w:sz w:val="18"/>
              </w:rPr>
              <w:t>Ablation pit depth/ablation rate</w:t>
            </w:r>
          </w:p>
        </w:tc>
        <w:tc>
          <w:tcPr>
            <w:tcW w:type="dxa" w:w="504"/>
            <w:vAlign w:val="center"/>
            <w:shd w:val="clear" w:color="auto" w:fill="FCE4E4"/>
          </w:tcPr>
          <w:p>
            <w:pPr>
              <w:spacing w:after="0"/>
            </w:pPr>
            <w:r/>
            <w:r>
              <w:rPr>
                <w:rFonts w:ascii="Calibri" w:hAnsi="Calibri"/>
                <w:b w:val="0"/>
                <w:color w:val="0B0B0B"/>
                <w:sz w:val="18"/>
              </w:rPr>
              <w:t>4</w:t>
            </w:r>
          </w:p>
        </w:tc>
        <w:tc>
          <w:tcPr>
            <w:tcW w:type="dxa" w:w="864"/>
            <w:vAlign w:val="center"/>
            <w:shd w:val="clear" w:color="auto" w:fill="FCE4E4"/>
          </w:tcPr>
          <w:p>
            <w:pPr>
              <w:spacing w:after="0"/>
            </w:pPr>
            <w:r/>
            <w:r>
              <w:rPr>
                <w:rFonts w:ascii="Calibri" w:hAnsi="Calibri"/>
                <w:b w:val="0"/>
                <w:color w:val="0B0B0B"/>
                <w:sz w:val="18"/>
              </w:rPr>
              <w:t>Missed</w:t>
            </w:r>
          </w:p>
        </w:tc>
        <w:tc>
          <w:tcPr>
            <w:tcW w:type="dxa" w:w="2376"/>
            <w:vAlign w:val="center"/>
            <w:shd w:val="clear" w:color="auto" w:fill="FCE4E4"/>
          </w:tcPr>
          <w:p>
            <w:pPr>
              <w:spacing w:after="0"/>
            </w:pPr>
            <w:r/>
            <w:r>
              <w:rPr>
                <w:rFonts w:ascii="Calibri" w:hAnsi="Calibri"/>
                <w:b w:val="0"/>
                <w:color w:val="0B0B0B"/>
                <w:sz w:val="18"/>
              </w:rPr>
              <w:t>—</w:t>
            </w:r>
          </w:p>
        </w:tc>
        <w:tc>
          <w:tcPr>
            <w:tcW w:type="dxa" w:w="3384"/>
            <w:vAlign w:val="center"/>
            <w:shd w:val="clear" w:color="auto" w:fill="FCE4E4"/>
          </w:tcPr>
          <w:p>
            <w:pPr>
              <w:spacing w:after="0"/>
            </w:pPr>
            <w:r/>
            <w:r>
              <w:rPr>
                <w:rFonts w:ascii="Calibri" w:hAnsi="Calibri"/>
                <w:b w:val="0"/>
                <w:color w:val="0B0B0B"/>
                <w:sz w:val="18"/>
              </w:rPr>
              <w:t>No pit-depth or ablation-rate field in either TAPP</w:t>
            </w:r>
          </w:p>
        </w:tc>
      </w:tr>
      <w:tr>
        <w:tc>
          <w:tcPr>
            <w:tcW w:type="dxa" w:w="432"/>
            <w:vAlign w:val="center"/>
            <w:shd w:val="clear" w:color="auto" w:fill="FFF2CC"/>
          </w:tcPr>
          <w:p>
            <w:pPr>
              <w:spacing w:after="0"/>
            </w:pPr>
            <w:r/>
            <w:r>
              <w:rPr>
                <w:rFonts w:ascii="Calibri" w:hAnsi="Calibri"/>
                <w:b w:val="0"/>
                <w:color w:val="0B0B0B"/>
                <w:sz w:val="18"/>
              </w:rPr>
              <w:t>12</w:t>
            </w:r>
          </w:p>
        </w:tc>
        <w:tc>
          <w:tcPr>
            <w:tcW w:type="dxa" w:w="2520"/>
            <w:vAlign w:val="center"/>
            <w:shd w:val="clear" w:color="auto" w:fill="FFF2CC"/>
          </w:tcPr>
          <w:p>
            <w:pPr>
              <w:spacing w:after="0"/>
            </w:pPr>
            <w:r/>
            <w:r>
              <w:rPr>
                <w:rFonts w:ascii="Calibri" w:hAnsi="Calibri"/>
                <w:b w:val="0"/>
                <w:color w:val="0B0B0B"/>
                <w:sz w:val="18"/>
              </w:rPr>
              <w:t>Spot diameter, nominal/actual</w:t>
            </w:r>
          </w:p>
        </w:tc>
        <w:tc>
          <w:tcPr>
            <w:tcW w:type="dxa" w:w="504"/>
            <w:vAlign w:val="center"/>
            <w:shd w:val="clear" w:color="auto" w:fill="FFF2CC"/>
          </w:tcPr>
          <w:p>
            <w:pPr>
              <w:spacing w:after="0"/>
            </w:pPr>
            <w:r/>
            <w:r>
              <w:rPr>
                <w:rFonts w:ascii="Calibri" w:hAnsi="Calibri"/>
                <w:b w:val="0"/>
                <w:color w:val="0B0B0B"/>
                <w:sz w:val="18"/>
              </w:rPr>
              <w:t>4</w:t>
            </w:r>
          </w:p>
        </w:tc>
        <w:tc>
          <w:tcPr>
            <w:tcW w:type="dxa" w:w="864"/>
            <w:vAlign w:val="center"/>
            <w:shd w:val="clear" w:color="auto" w:fill="FFF2CC"/>
          </w:tcPr>
          <w:p>
            <w:pPr>
              <w:spacing w:after="0"/>
            </w:pPr>
            <w:r/>
            <w:r>
              <w:rPr>
                <w:rFonts w:ascii="Calibri" w:hAnsi="Calibri"/>
                <w:b w:val="0"/>
                <w:color w:val="0B0B0B"/>
                <w:sz w:val="18"/>
              </w:rPr>
              <w:t>Partial</w:t>
            </w:r>
          </w:p>
        </w:tc>
        <w:tc>
          <w:tcPr>
            <w:tcW w:type="dxa" w:w="2376"/>
            <w:vAlign w:val="center"/>
            <w:shd w:val="clear" w:color="auto" w:fill="FFF2CC"/>
          </w:tcPr>
          <w:p>
            <w:pPr>
              <w:spacing w:after="0"/>
            </w:pPr>
            <w:r/>
            <w:r>
              <w:rPr>
                <w:rFonts w:ascii="Calibri" w:hAnsi="Calibri"/>
                <w:b w:val="0"/>
                <w:color w:val="0B0B0B"/>
                <w:sz w:val="18"/>
              </w:rPr>
              <w:t>LA-Q/SF-ICP-MS</w:t>
            </w:r>
          </w:p>
        </w:tc>
        <w:tc>
          <w:tcPr>
            <w:tcW w:type="dxa" w:w="3384"/>
            <w:vAlign w:val="center"/>
            <w:shd w:val="clear" w:color="auto" w:fill="FFF2CC"/>
          </w:tcPr>
          <w:p>
            <w:pPr>
              <w:spacing w:after="0"/>
            </w:pPr>
            <w:r/>
            <w:r>
              <w:rPr>
                <w:rFonts w:ascii="Calibri" w:hAnsi="Calibri"/>
                <w:b w:val="0"/>
                <w:color w:val="0B0B0B"/>
                <w:sz w:val="18"/>
              </w:rPr>
              <w:t>Captures nominal/target only, not a measured companion value</w:t>
            </w:r>
          </w:p>
        </w:tc>
      </w:tr>
      <w:tr>
        <w:tc>
          <w:tcPr>
            <w:tcW w:type="dxa" w:w="432"/>
            <w:vAlign w:val="center"/>
            <w:shd w:val="clear" w:color="auto" w:fill="E2EFDA"/>
          </w:tcPr>
          <w:p>
            <w:pPr>
              <w:spacing w:after="0"/>
            </w:pPr>
            <w:r/>
            <w:r>
              <w:rPr>
                <w:rFonts w:ascii="Calibri" w:hAnsi="Calibri"/>
                <w:b w:val="0"/>
                <w:color w:val="0B0B0B"/>
                <w:sz w:val="18"/>
              </w:rPr>
              <w:t>13</w:t>
            </w:r>
          </w:p>
        </w:tc>
        <w:tc>
          <w:tcPr>
            <w:tcW w:type="dxa" w:w="2520"/>
            <w:vAlign w:val="center"/>
            <w:shd w:val="clear" w:color="auto" w:fill="E2EFDA"/>
          </w:tcPr>
          <w:p>
            <w:pPr>
              <w:spacing w:after="0"/>
            </w:pPr>
            <w:r/>
            <w:r>
              <w:rPr>
                <w:rFonts w:ascii="Calibri" w:hAnsi="Calibri"/>
                <w:b w:val="0"/>
                <w:color w:val="0B0B0B"/>
                <w:sz w:val="18"/>
              </w:rPr>
              <w:t>Sampling mode/pattern</w:t>
            </w:r>
          </w:p>
        </w:tc>
        <w:tc>
          <w:tcPr>
            <w:tcW w:type="dxa" w:w="504"/>
            <w:vAlign w:val="center"/>
            <w:shd w:val="clear" w:color="auto" w:fill="E2EFDA"/>
          </w:tcPr>
          <w:p>
            <w:pPr>
              <w:spacing w:after="0"/>
            </w:pPr>
            <w:r/>
            <w:r>
              <w:rPr>
                <w:rFonts w:ascii="Calibri" w:hAnsi="Calibri"/>
                <w:b w:val="0"/>
                <w:color w:val="0B0B0B"/>
                <w:sz w:val="18"/>
              </w:rPr>
              <w:t>4</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w:t>
            </w:r>
          </w:p>
        </w:tc>
        <w:tc>
          <w:tcPr>
            <w:tcW w:type="dxa" w:w="3384"/>
            <w:vAlign w:val="center"/>
            <w:shd w:val="clear" w:color="auto" w:fill="E2EFDA"/>
          </w:tcPr>
          <w:p>
            <w:pPr>
              <w:spacing w:after="0"/>
            </w:pPr>
            <w:r/>
            <w:r>
              <w:rPr>
                <w:rFonts w:ascii="Calibri" w:hAnsi="Calibri"/>
                <w:b w:val="0"/>
                <w:color w:val="0B0B0B"/>
                <w:sz w:val="18"/>
              </w:rPr>
              <w:t>Laser Spot Path / Ablation Mode + Analytical Mode</w:t>
            </w:r>
          </w:p>
        </w:tc>
      </w:tr>
      <w:tr>
        <w:tc>
          <w:tcPr>
            <w:tcW w:type="dxa" w:w="432"/>
            <w:vAlign w:val="center"/>
            <w:shd w:val="clear" w:color="auto" w:fill="E2EFDA"/>
          </w:tcPr>
          <w:p>
            <w:pPr>
              <w:spacing w:after="0"/>
            </w:pPr>
            <w:r/>
            <w:r>
              <w:rPr>
                <w:rFonts w:ascii="Calibri" w:hAnsi="Calibri"/>
                <w:b w:val="0"/>
                <w:color w:val="0B0B0B"/>
                <w:sz w:val="18"/>
              </w:rPr>
              <w:t>14</w:t>
            </w:r>
          </w:p>
        </w:tc>
        <w:tc>
          <w:tcPr>
            <w:tcW w:type="dxa" w:w="2520"/>
            <w:vAlign w:val="center"/>
            <w:shd w:val="clear" w:color="auto" w:fill="E2EFDA"/>
          </w:tcPr>
          <w:p>
            <w:pPr>
              <w:spacing w:after="0"/>
            </w:pPr>
            <w:r/>
            <w:r>
              <w:rPr>
                <w:rFonts w:ascii="Calibri" w:hAnsi="Calibri"/>
                <w:b w:val="0"/>
                <w:color w:val="0B0B0B"/>
                <w:sz w:val="18"/>
              </w:rPr>
              <w:t>Carrier gas</w:t>
            </w:r>
          </w:p>
        </w:tc>
        <w:tc>
          <w:tcPr>
            <w:tcW w:type="dxa" w:w="504"/>
            <w:vAlign w:val="center"/>
            <w:shd w:val="clear" w:color="auto" w:fill="E2EFDA"/>
          </w:tcPr>
          <w:p>
            <w:pPr>
              <w:spacing w:after="0"/>
            </w:pPr>
            <w:r/>
            <w:r>
              <w:rPr>
                <w:rFonts w:ascii="Calibri" w:hAnsi="Calibri"/>
                <w:b w:val="0"/>
                <w:color w:val="0B0B0B"/>
                <w:sz w:val="18"/>
              </w:rPr>
              <w:t>4</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w:t>
            </w:r>
          </w:p>
        </w:tc>
        <w:tc>
          <w:tcPr>
            <w:tcW w:type="dxa" w:w="3384"/>
            <w:vAlign w:val="center"/>
            <w:shd w:val="clear" w:color="auto" w:fill="E2EFDA"/>
          </w:tcPr>
          <w:p>
            <w:pPr>
              <w:spacing w:after="0"/>
            </w:pPr>
            <w:r/>
            <w:r>
              <w:rPr>
                <w:rFonts w:ascii="Calibri" w:hAnsi="Calibri"/>
                <w:b w:val="0"/>
                <w:color w:val="0B0B0B"/>
                <w:sz w:val="18"/>
              </w:rPr>
              <w:t>Carrier Gas and Flow Rate (combined field, no info lost)</w:t>
            </w:r>
          </w:p>
        </w:tc>
      </w:tr>
      <w:tr>
        <w:tc>
          <w:tcPr>
            <w:tcW w:type="dxa" w:w="432"/>
            <w:vAlign w:val="center"/>
            <w:shd w:val="clear" w:color="auto" w:fill="E2EFDA"/>
          </w:tcPr>
          <w:p>
            <w:pPr>
              <w:spacing w:after="0"/>
            </w:pPr>
            <w:r/>
            <w:r>
              <w:rPr>
                <w:rFonts w:ascii="Calibri" w:hAnsi="Calibri"/>
                <w:b w:val="0"/>
                <w:color w:val="0B0B0B"/>
                <w:sz w:val="18"/>
              </w:rPr>
              <w:t>15</w:t>
            </w:r>
          </w:p>
        </w:tc>
        <w:tc>
          <w:tcPr>
            <w:tcW w:type="dxa" w:w="2520"/>
            <w:vAlign w:val="center"/>
            <w:shd w:val="clear" w:color="auto" w:fill="E2EFDA"/>
          </w:tcPr>
          <w:p>
            <w:pPr>
              <w:spacing w:after="0"/>
            </w:pPr>
            <w:r/>
            <w:r>
              <w:rPr>
                <w:rFonts w:ascii="Calibri" w:hAnsi="Calibri"/>
                <w:b w:val="0"/>
                <w:color w:val="0B0B0B"/>
                <w:sz w:val="18"/>
              </w:rPr>
              <w:t>Cell carrier gas flow</w:t>
            </w:r>
          </w:p>
        </w:tc>
        <w:tc>
          <w:tcPr>
            <w:tcW w:type="dxa" w:w="504"/>
            <w:vAlign w:val="center"/>
            <w:shd w:val="clear" w:color="auto" w:fill="E2EFDA"/>
          </w:tcPr>
          <w:p>
            <w:pPr>
              <w:spacing w:after="0"/>
            </w:pPr>
            <w:r/>
            <w:r>
              <w:rPr>
                <w:rFonts w:ascii="Calibri" w:hAnsi="Calibri"/>
                <w:b w:val="0"/>
                <w:color w:val="0B0B0B"/>
                <w:sz w:val="18"/>
              </w:rPr>
              <w:t>4</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w:t>
            </w:r>
          </w:p>
        </w:tc>
        <w:tc>
          <w:tcPr>
            <w:tcW w:type="dxa" w:w="3384"/>
            <w:vAlign w:val="center"/>
            <w:shd w:val="clear" w:color="auto" w:fill="E2EFDA"/>
          </w:tcPr>
          <w:p>
            <w:pPr>
              <w:spacing w:after="0"/>
            </w:pPr>
            <w:r/>
            <w:r>
              <w:rPr>
                <w:rFonts w:ascii="Calibri" w:hAnsi="Calibri"/>
                <w:b w:val="0"/>
                <w:color w:val="0B0B0B"/>
                <w:sz w:val="18"/>
              </w:rPr>
              <w:t>Carrier Gas and Flow Rate (combined field, no info lost)</w:t>
            </w:r>
          </w:p>
        </w:tc>
      </w:tr>
      <w:tr>
        <w:tc>
          <w:tcPr>
            <w:tcW w:type="dxa" w:w="432"/>
            <w:vAlign w:val="center"/>
            <w:shd w:val="clear" w:color="auto" w:fill="E2EFDA"/>
          </w:tcPr>
          <w:p>
            <w:pPr>
              <w:spacing w:after="0"/>
            </w:pPr>
            <w:r/>
            <w:r>
              <w:rPr>
                <w:rFonts w:ascii="Calibri" w:hAnsi="Calibri"/>
                <w:b w:val="0"/>
                <w:color w:val="0B0B0B"/>
                <w:sz w:val="18"/>
              </w:rPr>
              <w:t>16</w:t>
            </w:r>
          </w:p>
        </w:tc>
        <w:tc>
          <w:tcPr>
            <w:tcW w:type="dxa" w:w="2520"/>
            <w:vAlign w:val="center"/>
            <w:shd w:val="clear" w:color="auto" w:fill="E2EFDA"/>
          </w:tcPr>
          <w:p>
            <w:pPr>
              <w:spacing w:after="0"/>
            </w:pPr>
            <w:r/>
            <w:r>
              <w:rPr>
                <w:rFonts w:ascii="Calibri" w:hAnsi="Calibri"/>
                <w:b w:val="0"/>
                <w:color w:val="0B0B0B"/>
                <w:sz w:val="18"/>
              </w:rPr>
              <w:t>Make, Model and Type (ICP-MS)</w:t>
            </w:r>
          </w:p>
        </w:tc>
        <w:tc>
          <w:tcPr>
            <w:tcW w:type="dxa" w:w="504"/>
            <w:vAlign w:val="center"/>
            <w:shd w:val="clear" w:color="auto" w:fill="E2EFDA"/>
          </w:tcPr>
          <w:p>
            <w:pPr>
              <w:spacing w:after="0"/>
            </w:pPr>
            <w:r/>
            <w:r>
              <w:rPr>
                <w:rFonts w:ascii="Calibri" w:hAnsi="Calibri"/>
                <w:b w:val="0"/>
                <w:color w:val="0B0B0B"/>
                <w:sz w:val="18"/>
              </w:rPr>
              <w:t>3</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 Solution MC-ICP-MS</w:t>
            </w:r>
          </w:p>
        </w:tc>
        <w:tc>
          <w:tcPr>
            <w:tcW w:type="dxa" w:w="3384"/>
            <w:vAlign w:val="center"/>
            <w:shd w:val="clear" w:color="auto" w:fill="E2EFDA"/>
          </w:tcPr>
          <w:p>
            <w:pPr>
              <w:spacing w:after="0"/>
            </w:pPr>
            <w:r/>
            <w:r>
              <w:rPr>
                <w:rFonts w:ascii="Calibri" w:hAnsi="Calibri"/>
                <w:b w:val="0"/>
                <w:color w:val="0B0B0B"/>
                <w:sz w:val="18"/>
              </w:rPr>
              <w:t>ICP-MS Manufacturer &amp; Model + ICP-MS Type (both TAPPs)</w:t>
            </w:r>
          </w:p>
        </w:tc>
      </w:tr>
      <w:tr>
        <w:tc>
          <w:tcPr>
            <w:tcW w:type="dxa" w:w="432"/>
            <w:vAlign w:val="center"/>
            <w:shd w:val="clear" w:color="auto" w:fill="FCE4E4"/>
          </w:tcPr>
          <w:p>
            <w:pPr>
              <w:spacing w:after="0"/>
            </w:pPr>
            <w:r/>
            <w:r>
              <w:rPr>
                <w:rFonts w:ascii="Calibri" w:hAnsi="Calibri"/>
                <w:b w:val="0"/>
                <w:color w:val="0B0B0B"/>
                <w:sz w:val="18"/>
              </w:rPr>
              <w:t>17</w:t>
            </w:r>
          </w:p>
        </w:tc>
        <w:tc>
          <w:tcPr>
            <w:tcW w:type="dxa" w:w="2520"/>
            <w:vAlign w:val="center"/>
            <w:shd w:val="clear" w:color="auto" w:fill="FCE4E4"/>
          </w:tcPr>
          <w:p>
            <w:pPr>
              <w:spacing w:after="0"/>
            </w:pPr>
            <w:r/>
            <w:r>
              <w:rPr>
                <w:rFonts w:ascii="Calibri" w:hAnsi="Calibri"/>
                <w:b w:val="0"/>
                <w:color w:val="0B0B0B"/>
                <w:sz w:val="18"/>
              </w:rPr>
              <w:t>Sample introduction</w:t>
            </w:r>
          </w:p>
        </w:tc>
        <w:tc>
          <w:tcPr>
            <w:tcW w:type="dxa" w:w="504"/>
            <w:vAlign w:val="center"/>
            <w:shd w:val="clear" w:color="auto" w:fill="FCE4E4"/>
          </w:tcPr>
          <w:p>
            <w:pPr>
              <w:spacing w:after="0"/>
            </w:pPr>
            <w:r/>
            <w:r>
              <w:rPr>
                <w:rFonts w:ascii="Calibri" w:hAnsi="Calibri"/>
                <w:b w:val="0"/>
                <w:color w:val="0B0B0B"/>
                <w:sz w:val="18"/>
              </w:rPr>
              <w:t>3</w:t>
            </w:r>
          </w:p>
        </w:tc>
        <w:tc>
          <w:tcPr>
            <w:tcW w:type="dxa" w:w="864"/>
            <w:vAlign w:val="center"/>
            <w:shd w:val="clear" w:color="auto" w:fill="FCE4E4"/>
          </w:tcPr>
          <w:p>
            <w:pPr>
              <w:spacing w:after="0"/>
            </w:pPr>
            <w:r/>
            <w:r>
              <w:rPr>
                <w:rFonts w:ascii="Calibri" w:hAnsi="Calibri"/>
                <w:b w:val="0"/>
                <w:color w:val="0B0B0B"/>
                <w:sz w:val="18"/>
              </w:rPr>
              <w:t>Missed</w:t>
            </w:r>
          </w:p>
        </w:tc>
        <w:tc>
          <w:tcPr>
            <w:tcW w:type="dxa" w:w="2376"/>
            <w:vAlign w:val="center"/>
            <w:shd w:val="clear" w:color="auto" w:fill="FCE4E4"/>
          </w:tcPr>
          <w:p>
            <w:pPr>
              <w:spacing w:after="0"/>
            </w:pPr>
            <w:r/>
            <w:r>
              <w:rPr>
                <w:rFonts w:ascii="Calibri" w:hAnsi="Calibri"/>
                <w:b w:val="0"/>
                <w:color w:val="0B0B0B"/>
                <w:sz w:val="18"/>
              </w:rPr>
              <w:t>—</w:t>
            </w:r>
          </w:p>
        </w:tc>
        <w:tc>
          <w:tcPr>
            <w:tcW w:type="dxa" w:w="3384"/>
            <w:vAlign w:val="center"/>
            <w:shd w:val="clear" w:color="auto" w:fill="FCE4E4"/>
          </w:tcPr>
          <w:p>
            <w:pPr>
              <w:spacing w:after="0"/>
            </w:pPr>
            <w:r/>
            <w:r>
              <w:rPr>
                <w:rFonts w:ascii="Calibri" w:hAnsi="Calibri"/>
                <w:b w:val="0"/>
                <w:color w:val="0B0B0B"/>
                <w:sz w:val="18"/>
              </w:rPr>
              <w:t>Tracer/spike co-aspiration concept not present as a hardware field in either TAPP</w:t>
            </w:r>
          </w:p>
        </w:tc>
      </w:tr>
      <w:tr>
        <w:tc>
          <w:tcPr>
            <w:tcW w:type="dxa" w:w="432"/>
            <w:vAlign w:val="center"/>
            <w:shd w:val="clear" w:color="auto" w:fill="E2EFDA"/>
          </w:tcPr>
          <w:p>
            <w:pPr>
              <w:spacing w:after="0"/>
            </w:pPr>
            <w:r/>
            <w:r>
              <w:rPr>
                <w:rFonts w:ascii="Calibri" w:hAnsi="Calibri"/>
                <w:b w:val="0"/>
                <w:color w:val="0B0B0B"/>
                <w:sz w:val="18"/>
              </w:rPr>
              <w:t>18</w:t>
            </w:r>
          </w:p>
        </w:tc>
        <w:tc>
          <w:tcPr>
            <w:tcW w:type="dxa" w:w="2520"/>
            <w:vAlign w:val="center"/>
            <w:shd w:val="clear" w:color="auto" w:fill="E2EFDA"/>
          </w:tcPr>
          <w:p>
            <w:pPr>
              <w:spacing w:after="0"/>
            </w:pPr>
            <w:r/>
            <w:r>
              <w:rPr>
                <w:rFonts w:ascii="Calibri" w:hAnsi="Calibri"/>
                <w:b w:val="0"/>
                <w:color w:val="0B0B0B"/>
                <w:sz w:val="18"/>
              </w:rPr>
              <w:t>RF power</w:t>
            </w:r>
          </w:p>
        </w:tc>
        <w:tc>
          <w:tcPr>
            <w:tcW w:type="dxa" w:w="504"/>
            <w:vAlign w:val="center"/>
            <w:shd w:val="clear" w:color="auto" w:fill="E2EFDA"/>
          </w:tcPr>
          <w:p>
            <w:pPr>
              <w:spacing w:after="0"/>
            </w:pPr>
            <w:r/>
            <w:r>
              <w:rPr>
                <w:rFonts w:ascii="Calibri" w:hAnsi="Calibri"/>
                <w:b w:val="0"/>
                <w:color w:val="0B0B0B"/>
                <w:sz w:val="18"/>
              </w:rPr>
              <w:t>4</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 Solution MC-ICP-MS</w:t>
            </w:r>
          </w:p>
        </w:tc>
        <w:tc>
          <w:tcPr>
            <w:tcW w:type="dxa" w:w="3384"/>
            <w:vAlign w:val="center"/>
            <w:shd w:val="clear" w:color="auto" w:fill="E2EFDA"/>
          </w:tcPr>
          <w:p>
            <w:pPr>
              <w:spacing w:after="0"/>
            </w:pPr>
            <w:r/>
            <w:r>
              <w:rPr>
                <w:rFonts w:ascii="Calibri" w:hAnsi="Calibri"/>
                <w:b w:val="0"/>
                <w:color w:val="0B0B0B"/>
                <w:sz w:val="18"/>
              </w:rPr>
              <w:t>RF Power (both TAPPs)</w:t>
            </w:r>
          </w:p>
        </w:tc>
      </w:tr>
      <w:tr>
        <w:tc>
          <w:tcPr>
            <w:tcW w:type="dxa" w:w="432"/>
            <w:vAlign w:val="center"/>
            <w:shd w:val="clear" w:color="auto" w:fill="E2EFDA"/>
          </w:tcPr>
          <w:p>
            <w:pPr>
              <w:spacing w:after="0"/>
            </w:pPr>
            <w:r/>
            <w:r>
              <w:rPr>
                <w:rFonts w:ascii="Calibri" w:hAnsi="Calibri"/>
                <w:b w:val="0"/>
                <w:color w:val="0B0B0B"/>
                <w:sz w:val="18"/>
              </w:rPr>
              <w:t>19</w:t>
            </w:r>
          </w:p>
        </w:tc>
        <w:tc>
          <w:tcPr>
            <w:tcW w:type="dxa" w:w="2520"/>
            <w:vAlign w:val="center"/>
            <w:shd w:val="clear" w:color="auto" w:fill="E2EFDA"/>
          </w:tcPr>
          <w:p>
            <w:pPr>
              <w:spacing w:after="0"/>
            </w:pPr>
            <w:r/>
            <w:r>
              <w:rPr>
                <w:rFonts w:ascii="Calibri" w:hAnsi="Calibri"/>
                <w:b w:val="0"/>
                <w:color w:val="0B0B0B"/>
                <w:sz w:val="18"/>
              </w:rPr>
              <w:t>Make-up gas flow</w:t>
            </w:r>
          </w:p>
        </w:tc>
        <w:tc>
          <w:tcPr>
            <w:tcW w:type="dxa" w:w="504"/>
            <w:vAlign w:val="center"/>
            <w:shd w:val="clear" w:color="auto" w:fill="E2EFDA"/>
          </w:tcPr>
          <w:p>
            <w:pPr>
              <w:spacing w:after="0"/>
            </w:pPr>
            <w:r/>
            <w:r>
              <w:rPr>
                <w:rFonts w:ascii="Calibri" w:hAnsi="Calibri"/>
                <w:b w:val="0"/>
                <w:color w:val="0B0B0B"/>
                <w:sz w:val="18"/>
              </w:rPr>
              <w:t>4</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 Solution MC-ICP-MS</w:t>
            </w:r>
          </w:p>
        </w:tc>
        <w:tc>
          <w:tcPr>
            <w:tcW w:type="dxa" w:w="3384"/>
            <w:vAlign w:val="center"/>
            <w:shd w:val="clear" w:color="auto" w:fill="E2EFDA"/>
          </w:tcPr>
          <w:p>
            <w:pPr>
              <w:spacing w:after="0"/>
            </w:pPr>
            <w:r/>
            <w:r>
              <w:rPr>
                <w:rFonts w:ascii="Calibri" w:hAnsi="Calibri"/>
                <w:b w:val="0"/>
                <w:color w:val="0B0B0B"/>
                <w:sz w:val="18"/>
              </w:rPr>
              <w:t>Plasma/Make-up Gas Addition (both TAPPs)</w:t>
            </w:r>
          </w:p>
        </w:tc>
      </w:tr>
      <w:tr>
        <w:tc>
          <w:tcPr>
            <w:tcW w:type="dxa" w:w="432"/>
            <w:vAlign w:val="center"/>
            <w:shd w:val="clear" w:color="auto" w:fill="E2EFDA"/>
          </w:tcPr>
          <w:p>
            <w:pPr>
              <w:spacing w:after="0"/>
            </w:pPr>
            <w:r/>
            <w:r>
              <w:rPr>
                <w:rFonts w:ascii="Calibri" w:hAnsi="Calibri"/>
                <w:b w:val="0"/>
                <w:color w:val="0B0B0B"/>
                <w:sz w:val="18"/>
              </w:rPr>
              <w:t>20</w:t>
            </w:r>
          </w:p>
        </w:tc>
        <w:tc>
          <w:tcPr>
            <w:tcW w:type="dxa" w:w="2520"/>
            <w:vAlign w:val="center"/>
            <w:shd w:val="clear" w:color="auto" w:fill="E2EFDA"/>
          </w:tcPr>
          <w:p>
            <w:pPr>
              <w:spacing w:after="0"/>
            </w:pPr>
            <w:r/>
            <w:r>
              <w:rPr>
                <w:rFonts w:ascii="Calibri" w:hAnsi="Calibri"/>
                <w:b w:val="0"/>
                <w:color w:val="0B0B0B"/>
                <w:sz w:val="18"/>
              </w:rPr>
              <w:t>Detection system</w:t>
            </w:r>
          </w:p>
        </w:tc>
        <w:tc>
          <w:tcPr>
            <w:tcW w:type="dxa" w:w="504"/>
            <w:vAlign w:val="center"/>
            <w:shd w:val="clear" w:color="auto" w:fill="E2EFDA"/>
          </w:tcPr>
          <w:p>
            <w:pPr>
              <w:spacing w:after="0"/>
            </w:pPr>
            <w:r/>
            <w:r>
              <w:rPr>
                <w:rFonts w:ascii="Calibri" w:hAnsi="Calibri"/>
                <w:b w:val="0"/>
                <w:color w:val="0B0B0B"/>
                <w:sz w:val="18"/>
              </w:rPr>
              <w:t>3</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w:t>
            </w:r>
          </w:p>
        </w:tc>
        <w:tc>
          <w:tcPr>
            <w:tcW w:type="dxa" w:w="3384"/>
            <w:vAlign w:val="center"/>
            <w:shd w:val="clear" w:color="auto" w:fill="E2EFDA"/>
          </w:tcPr>
          <w:p>
            <w:pPr>
              <w:spacing w:after="0"/>
            </w:pPr>
            <w:r/>
            <w:r>
              <w:rPr>
                <w:rFonts w:ascii="Calibri" w:hAnsi="Calibri"/>
                <w:b w:val="0"/>
                <w:color w:val="0B0B0B"/>
                <w:sz w:val="18"/>
              </w:rPr>
              <w:t>Detector Configuration</w:t>
            </w:r>
          </w:p>
        </w:tc>
      </w:tr>
      <w:tr>
        <w:tc>
          <w:tcPr>
            <w:tcW w:type="dxa" w:w="432"/>
            <w:vAlign w:val="center"/>
            <w:shd w:val="clear" w:color="auto" w:fill="E2EFDA"/>
          </w:tcPr>
          <w:p>
            <w:pPr>
              <w:spacing w:after="0"/>
            </w:pPr>
            <w:r/>
            <w:r>
              <w:rPr>
                <w:rFonts w:ascii="Calibri" w:hAnsi="Calibri"/>
                <w:b w:val="0"/>
                <w:color w:val="0B0B0B"/>
                <w:sz w:val="18"/>
              </w:rPr>
              <w:t>21</w:t>
            </w:r>
          </w:p>
        </w:tc>
        <w:tc>
          <w:tcPr>
            <w:tcW w:type="dxa" w:w="2520"/>
            <w:vAlign w:val="center"/>
            <w:shd w:val="clear" w:color="auto" w:fill="E2EFDA"/>
          </w:tcPr>
          <w:p>
            <w:pPr>
              <w:spacing w:after="0"/>
            </w:pPr>
            <w:r/>
            <w:r>
              <w:rPr>
                <w:rFonts w:ascii="Calibri" w:hAnsi="Calibri"/>
                <w:b w:val="0"/>
                <w:color w:val="0B0B0B"/>
                <w:sz w:val="18"/>
              </w:rPr>
              <w:t>Masses measured</w:t>
            </w:r>
          </w:p>
        </w:tc>
        <w:tc>
          <w:tcPr>
            <w:tcW w:type="dxa" w:w="504"/>
            <w:vAlign w:val="center"/>
            <w:shd w:val="clear" w:color="auto" w:fill="E2EFDA"/>
          </w:tcPr>
          <w:p>
            <w:pPr>
              <w:spacing w:after="0"/>
            </w:pPr>
            <w:r/>
            <w:r>
              <w:rPr>
                <w:rFonts w:ascii="Calibri" w:hAnsi="Calibri"/>
                <w:b w:val="0"/>
                <w:color w:val="0B0B0B"/>
                <w:sz w:val="18"/>
              </w:rPr>
              <w:t>4</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 Solution MC-ICP-MS</w:t>
            </w:r>
          </w:p>
        </w:tc>
        <w:tc>
          <w:tcPr>
            <w:tcW w:type="dxa" w:w="3384"/>
            <w:vAlign w:val="center"/>
            <w:shd w:val="clear" w:color="auto" w:fill="E2EFDA"/>
          </w:tcPr>
          <w:p>
            <w:pPr>
              <w:spacing w:after="0"/>
            </w:pPr>
            <w:r/>
            <w:r>
              <w:rPr>
                <w:rFonts w:ascii="Calibri" w:hAnsi="Calibri"/>
                <w:b w:val="0"/>
                <w:color w:val="0B0B0B"/>
                <w:sz w:val="18"/>
              </w:rPr>
              <w:t>Analyte + Monitored Isotopes / Collector Configuration</w:t>
            </w:r>
          </w:p>
        </w:tc>
      </w:tr>
      <w:tr>
        <w:tc>
          <w:tcPr>
            <w:tcW w:type="dxa" w:w="432"/>
            <w:vAlign w:val="center"/>
            <w:shd w:val="clear" w:color="auto" w:fill="E2EFDA"/>
          </w:tcPr>
          <w:p>
            <w:pPr>
              <w:spacing w:after="0"/>
            </w:pPr>
            <w:r/>
            <w:r>
              <w:rPr>
                <w:rFonts w:ascii="Calibri" w:hAnsi="Calibri"/>
                <w:b w:val="0"/>
                <w:color w:val="0B0B0B"/>
                <w:sz w:val="18"/>
              </w:rPr>
              <w:t>22</w:t>
            </w:r>
          </w:p>
        </w:tc>
        <w:tc>
          <w:tcPr>
            <w:tcW w:type="dxa" w:w="2520"/>
            <w:vAlign w:val="center"/>
            <w:shd w:val="clear" w:color="auto" w:fill="E2EFDA"/>
          </w:tcPr>
          <w:p>
            <w:pPr>
              <w:spacing w:after="0"/>
            </w:pPr>
            <w:r/>
            <w:r>
              <w:rPr>
                <w:rFonts w:ascii="Calibri" w:hAnsi="Calibri"/>
                <w:b w:val="0"/>
                <w:color w:val="0B0B0B"/>
                <w:sz w:val="18"/>
              </w:rPr>
              <w:t>Integration/dwell/settling time</w:t>
            </w:r>
          </w:p>
        </w:tc>
        <w:tc>
          <w:tcPr>
            <w:tcW w:type="dxa" w:w="504"/>
            <w:vAlign w:val="center"/>
            <w:shd w:val="clear" w:color="auto" w:fill="E2EFDA"/>
          </w:tcPr>
          <w:p>
            <w:pPr>
              <w:spacing w:after="0"/>
            </w:pPr>
            <w:r/>
            <w:r>
              <w:rPr>
                <w:rFonts w:ascii="Calibri" w:hAnsi="Calibri"/>
                <w:b w:val="0"/>
                <w:color w:val="0B0B0B"/>
                <w:sz w:val="18"/>
              </w:rPr>
              <w:t>4</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w:t>
            </w:r>
          </w:p>
        </w:tc>
        <w:tc>
          <w:tcPr>
            <w:tcW w:type="dxa" w:w="3384"/>
            <w:vAlign w:val="center"/>
            <w:shd w:val="clear" w:color="auto" w:fill="E2EFDA"/>
          </w:tcPr>
          <w:p>
            <w:pPr>
              <w:spacing w:after="0"/>
            </w:pPr>
            <w:r/>
            <w:r>
              <w:rPr>
                <w:rFonts w:ascii="Calibri" w:hAnsi="Calibri"/>
                <w:b w:val="0"/>
                <w:color w:val="0B0B0B"/>
                <w:sz w:val="18"/>
              </w:rPr>
              <w:t>Dwell Time per Mass (sequential-acquisition concept; not applicable to MC’s static collection)</w:t>
            </w:r>
          </w:p>
        </w:tc>
      </w:tr>
      <w:tr>
        <w:tc>
          <w:tcPr>
            <w:tcW w:type="dxa" w:w="432"/>
            <w:vAlign w:val="center"/>
            <w:shd w:val="clear" w:color="auto" w:fill="FCE4E4"/>
          </w:tcPr>
          <w:p>
            <w:pPr>
              <w:spacing w:after="0"/>
            </w:pPr>
            <w:r/>
            <w:r>
              <w:rPr>
                <w:rFonts w:ascii="Calibri" w:hAnsi="Calibri"/>
                <w:b w:val="0"/>
                <w:color w:val="0B0B0B"/>
                <w:sz w:val="18"/>
              </w:rPr>
              <w:t>23</w:t>
            </w:r>
          </w:p>
        </w:tc>
        <w:tc>
          <w:tcPr>
            <w:tcW w:type="dxa" w:w="2520"/>
            <w:vAlign w:val="center"/>
            <w:shd w:val="clear" w:color="auto" w:fill="FCE4E4"/>
          </w:tcPr>
          <w:p>
            <w:pPr>
              <w:spacing w:after="0"/>
            </w:pPr>
            <w:r/>
            <w:r>
              <w:rPr>
                <w:rFonts w:ascii="Calibri" w:hAnsi="Calibri"/>
                <w:b w:val="0"/>
                <w:color w:val="0B0B0B"/>
                <w:sz w:val="18"/>
              </w:rPr>
              <w:t>Total integration time per output point</w:t>
            </w:r>
          </w:p>
        </w:tc>
        <w:tc>
          <w:tcPr>
            <w:tcW w:type="dxa" w:w="504"/>
            <w:vAlign w:val="center"/>
            <w:shd w:val="clear" w:color="auto" w:fill="FCE4E4"/>
          </w:tcPr>
          <w:p>
            <w:pPr>
              <w:spacing w:after="0"/>
            </w:pPr>
            <w:r/>
            <w:r>
              <w:rPr>
                <w:rFonts w:ascii="Calibri" w:hAnsi="Calibri"/>
                <w:b w:val="0"/>
                <w:color w:val="0B0B0B"/>
                <w:sz w:val="18"/>
              </w:rPr>
              <w:t>4</w:t>
            </w:r>
          </w:p>
        </w:tc>
        <w:tc>
          <w:tcPr>
            <w:tcW w:type="dxa" w:w="864"/>
            <w:vAlign w:val="center"/>
            <w:shd w:val="clear" w:color="auto" w:fill="FCE4E4"/>
          </w:tcPr>
          <w:p>
            <w:pPr>
              <w:spacing w:after="0"/>
            </w:pPr>
            <w:r/>
            <w:r>
              <w:rPr>
                <w:rFonts w:ascii="Calibri" w:hAnsi="Calibri"/>
                <w:b w:val="0"/>
                <w:color w:val="0B0B0B"/>
                <w:sz w:val="18"/>
              </w:rPr>
              <w:t>Missed</w:t>
            </w:r>
          </w:p>
        </w:tc>
        <w:tc>
          <w:tcPr>
            <w:tcW w:type="dxa" w:w="2376"/>
            <w:vAlign w:val="center"/>
            <w:shd w:val="clear" w:color="auto" w:fill="FCE4E4"/>
          </w:tcPr>
          <w:p>
            <w:pPr>
              <w:spacing w:after="0"/>
            </w:pPr>
            <w:r/>
            <w:r>
              <w:rPr>
                <w:rFonts w:ascii="Calibri" w:hAnsi="Calibri"/>
                <w:b w:val="0"/>
                <w:color w:val="0B0B0B"/>
                <w:sz w:val="18"/>
              </w:rPr>
              <w:t>—</w:t>
            </w:r>
          </w:p>
        </w:tc>
        <w:tc>
          <w:tcPr>
            <w:tcW w:type="dxa" w:w="3384"/>
            <w:vAlign w:val="center"/>
            <w:shd w:val="clear" w:color="auto" w:fill="FCE4E4"/>
          </w:tcPr>
          <w:p>
            <w:pPr>
              <w:spacing w:after="0"/>
            </w:pPr>
            <w:r/>
            <w:r>
              <w:rPr>
                <w:rFonts w:ascii="Calibri" w:hAnsi="Calibri"/>
                <w:b w:val="0"/>
                <w:color w:val="0B0B0B"/>
                <w:sz w:val="18"/>
              </w:rPr>
              <w:t>No direct field (partially derivable from Solution MC-ICP-MS block/cycle fields, not stated directly)</w:t>
            </w:r>
          </w:p>
        </w:tc>
      </w:tr>
      <w:tr>
        <w:tc>
          <w:tcPr>
            <w:tcW w:type="dxa" w:w="432"/>
            <w:vAlign w:val="center"/>
            <w:shd w:val="clear" w:color="auto" w:fill="FCE4E4"/>
          </w:tcPr>
          <w:p>
            <w:pPr>
              <w:spacing w:after="0"/>
            </w:pPr>
            <w:r/>
            <w:r>
              <w:rPr>
                <w:rFonts w:ascii="Calibri" w:hAnsi="Calibri"/>
                <w:b w:val="0"/>
                <w:color w:val="0B0B0B"/>
                <w:sz w:val="18"/>
              </w:rPr>
              <w:t>24</w:t>
            </w:r>
          </w:p>
        </w:tc>
        <w:tc>
          <w:tcPr>
            <w:tcW w:type="dxa" w:w="2520"/>
            <w:vAlign w:val="center"/>
            <w:shd w:val="clear" w:color="auto" w:fill="FCE4E4"/>
          </w:tcPr>
          <w:p>
            <w:pPr>
              <w:spacing w:after="0"/>
            </w:pPr>
            <w:r/>
            <w:r>
              <w:rPr>
                <w:rFonts w:ascii="Calibri" w:hAnsi="Calibri"/>
                <w:b w:val="0"/>
                <w:color w:val="0B0B0B"/>
                <w:sz w:val="18"/>
              </w:rPr>
              <w:t>‘Sensitivity’ as useful yield</w:t>
            </w:r>
          </w:p>
        </w:tc>
        <w:tc>
          <w:tcPr>
            <w:tcW w:type="dxa" w:w="504"/>
            <w:vAlign w:val="center"/>
            <w:shd w:val="clear" w:color="auto" w:fill="FCE4E4"/>
          </w:tcPr>
          <w:p>
            <w:pPr>
              <w:spacing w:after="0"/>
            </w:pPr>
            <w:r/>
            <w:r>
              <w:rPr>
                <w:rFonts w:ascii="Calibri" w:hAnsi="Calibri"/>
                <w:b w:val="0"/>
                <w:color w:val="0B0B0B"/>
                <w:sz w:val="18"/>
              </w:rPr>
              <w:t>4</w:t>
            </w:r>
          </w:p>
        </w:tc>
        <w:tc>
          <w:tcPr>
            <w:tcW w:type="dxa" w:w="864"/>
            <w:vAlign w:val="center"/>
            <w:shd w:val="clear" w:color="auto" w:fill="FCE4E4"/>
          </w:tcPr>
          <w:p>
            <w:pPr>
              <w:spacing w:after="0"/>
            </w:pPr>
            <w:r/>
            <w:r>
              <w:rPr>
                <w:rFonts w:ascii="Calibri" w:hAnsi="Calibri"/>
                <w:b w:val="0"/>
                <w:color w:val="0B0B0B"/>
                <w:sz w:val="18"/>
              </w:rPr>
              <w:t>Missed</w:t>
            </w:r>
          </w:p>
        </w:tc>
        <w:tc>
          <w:tcPr>
            <w:tcW w:type="dxa" w:w="2376"/>
            <w:vAlign w:val="center"/>
            <w:shd w:val="clear" w:color="auto" w:fill="FCE4E4"/>
          </w:tcPr>
          <w:p>
            <w:pPr>
              <w:spacing w:after="0"/>
            </w:pPr>
            <w:r/>
            <w:r>
              <w:rPr>
                <w:rFonts w:ascii="Calibri" w:hAnsi="Calibri"/>
                <w:b w:val="0"/>
                <w:color w:val="0B0B0B"/>
                <w:sz w:val="18"/>
              </w:rPr>
              <w:t>—</w:t>
            </w:r>
          </w:p>
        </w:tc>
        <w:tc>
          <w:tcPr>
            <w:tcW w:type="dxa" w:w="3384"/>
            <w:vAlign w:val="center"/>
            <w:shd w:val="clear" w:color="auto" w:fill="FCE4E4"/>
          </w:tcPr>
          <w:p>
            <w:pPr>
              <w:spacing w:after="0"/>
            </w:pPr>
            <w:r/>
            <w:r>
              <w:rPr>
                <w:rFonts w:ascii="Calibri" w:hAnsi="Calibri"/>
                <w:b w:val="0"/>
                <w:color w:val="0B0B0B"/>
                <w:sz w:val="18"/>
              </w:rPr>
              <w:t>No instrument-sensitivity/useful-yield metric field in either TAPP</w:t>
            </w:r>
          </w:p>
        </w:tc>
      </w:tr>
      <w:tr>
        <w:tc>
          <w:tcPr>
            <w:tcW w:type="dxa" w:w="432"/>
            <w:vAlign w:val="center"/>
            <w:shd w:val="clear" w:color="auto" w:fill="FCE4E4"/>
          </w:tcPr>
          <w:p>
            <w:pPr>
              <w:spacing w:after="0"/>
            </w:pPr>
            <w:r/>
            <w:r>
              <w:rPr>
                <w:rFonts w:ascii="Calibri" w:hAnsi="Calibri"/>
                <w:b w:val="0"/>
                <w:color w:val="0B0B0B"/>
                <w:sz w:val="18"/>
              </w:rPr>
              <w:t>25</w:t>
            </w:r>
          </w:p>
        </w:tc>
        <w:tc>
          <w:tcPr>
            <w:tcW w:type="dxa" w:w="2520"/>
            <w:vAlign w:val="center"/>
            <w:shd w:val="clear" w:color="auto" w:fill="FCE4E4"/>
          </w:tcPr>
          <w:p>
            <w:pPr>
              <w:spacing w:after="0"/>
            </w:pPr>
            <w:r/>
            <w:r>
              <w:rPr>
                <w:rFonts w:ascii="Calibri" w:hAnsi="Calibri"/>
                <w:b w:val="0"/>
                <w:color w:val="0B0B0B"/>
                <w:sz w:val="18"/>
              </w:rPr>
              <w:t>IC Dead time</w:t>
            </w:r>
          </w:p>
        </w:tc>
        <w:tc>
          <w:tcPr>
            <w:tcW w:type="dxa" w:w="504"/>
            <w:vAlign w:val="center"/>
            <w:shd w:val="clear" w:color="auto" w:fill="FCE4E4"/>
          </w:tcPr>
          <w:p>
            <w:pPr>
              <w:spacing w:after="0"/>
            </w:pPr>
            <w:r/>
            <w:r>
              <w:rPr>
                <w:rFonts w:ascii="Calibri" w:hAnsi="Calibri"/>
                <w:b w:val="0"/>
                <w:color w:val="0B0B0B"/>
                <w:sz w:val="18"/>
              </w:rPr>
              <w:t>4</w:t>
            </w:r>
          </w:p>
        </w:tc>
        <w:tc>
          <w:tcPr>
            <w:tcW w:type="dxa" w:w="864"/>
            <w:vAlign w:val="center"/>
            <w:shd w:val="clear" w:color="auto" w:fill="FCE4E4"/>
          </w:tcPr>
          <w:p>
            <w:pPr>
              <w:spacing w:after="0"/>
            </w:pPr>
            <w:r/>
            <w:r>
              <w:rPr>
                <w:rFonts w:ascii="Calibri" w:hAnsi="Calibri"/>
                <w:b w:val="0"/>
                <w:color w:val="0B0B0B"/>
                <w:sz w:val="18"/>
              </w:rPr>
              <w:t>Missed</w:t>
            </w:r>
          </w:p>
        </w:tc>
        <w:tc>
          <w:tcPr>
            <w:tcW w:type="dxa" w:w="2376"/>
            <w:vAlign w:val="center"/>
            <w:shd w:val="clear" w:color="auto" w:fill="FCE4E4"/>
          </w:tcPr>
          <w:p>
            <w:pPr>
              <w:spacing w:after="0"/>
            </w:pPr>
            <w:r/>
            <w:r>
              <w:rPr>
                <w:rFonts w:ascii="Calibri" w:hAnsi="Calibri"/>
                <w:b w:val="0"/>
                <w:color w:val="0B0B0B"/>
                <w:sz w:val="18"/>
              </w:rPr>
              <w:t>—</w:t>
            </w:r>
          </w:p>
        </w:tc>
        <w:tc>
          <w:tcPr>
            <w:tcW w:type="dxa" w:w="3384"/>
            <w:vAlign w:val="center"/>
            <w:shd w:val="clear" w:color="auto" w:fill="FCE4E4"/>
          </w:tcPr>
          <w:p>
            <w:pPr>
              <w:spacing w:after="0"/>
            </w:pPr>
            <w:r/>
            <w:r>
              <w:rPr>
                <w:rFonts w:ascii="Calibri" w:hAnsi="Calibri"/>
                <w:b w:val="0"/>
                <w:color w:val="0B0B0B"/>
                <w:sz w:val="18"/>
              </w:rPr>
              <w:t>LA-Q/SF-ICP-MS has a related correction-decision field, but not the raw dead-time value</w:t>
            </w:r>
          </w:p>
        </w:tc>
      </w:tr>
      <w:tr>
        <w:tc>
          <w:tcPr>
            <w:tcW w:type="dxa" w:w="432"/>
            <w:vAlign w:val="center"/>
            <w:shd w:val="clear" w:color="auto" w:fill="E2EFDA"/>
          </w:tcPr>
          <w:p>
            <w:pPr>
              <w:spacing w:after="0"/>
            </w:pPr>
            <w:r/>
            <w:r>
              <w:rPr>
                <w:rFonts w:ascii="Calibri" w:hAnsi="Calibri"/>
                <w:b w:val="0"/>
                <w:color w:val="0B0B0B"/>
                <w:sz w:val="18"/>
              </w:rPr>
              <w:t>26</w:t>
            </w:r>
          </w:p>
        </w:tc>
        <w:tc>
          <w:tcPr>
            <w:tcW w:type="dxa" w:w="2520"/>
            <w:vAlign w:val="center"/>
            <w:shd w:val="clear" w:color="auto" w:fill="E2EFDA"/>
          </w:tcPr>
          <w:p>
            <w:pPr>
              <w:spacing w:after="0"/>
            </w:pPr>
            <w:r/>
            <w:r>
              <w:rPr>
                <w:rFonts w:ascii="Calibri" w:hAnsi="Calibri"/>
                <w:b w:val="0"/>
                <w:color w:val="0B0B0B"/>
                <w:sz w:val="18"/>
              </w:rPr>
              <w:t>Gas blank</w:t>
            </w:r>
          </w:p>
        </w:tc>
        <w:tc>
          <w:tcPr>
            <w:tcW w:type="dxa" w:w="504"/>
            <w:vAlign w:val="center"/>
            <w:shd w:val="clear" w:color="auto" w:fill="E2EFDA"/>
          </w:tcPr>
          <w:p>
            <w:pPr>
              <w:spacing w:after="0"/>
            </w:pPr>
            <w:r/>
            <w:r>
              <w:rPr>
                <w:rFonts w:ascii="Calibri" w:hAnsi="Calibri"/>
                <w:b w:val="0"/>
                <w:color w:val="0B0B0B"/>
                <w:sz w:val="18"/>
              </w:rPr>
              <w:t>5</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 Solution MC-ICP-MS</w:t>
            </w:r>
          </w:p>
        </w:tc>
        <w:tc>
          <w:tcPr>
            <w:tcW w:type="dxa" w:w="3384"/>
            <w:vAlign w:val="center"/>
            <w:shd w:val="clear" w:color="auto" w:fill="E2EFDA"/>
          </w:tcPr>
          <w:p>
            <w:pPr>
              <w:spacing w:after="0"/>
            </w:pPr>
            <w:r/>
            <w:r>
              <w:rPr>
                <w:rFonts w:ascii="Calibri" w:hAnsi="Calibri"/>
                <w:b w:val="0"/>
                <w:color w:val="0B0B0B"/>
                <w:sz w:val="18"/>
              </w:rPr>
              <w:t>Blank/Background Correction Method (both TAPPs)</w:t>
            </w:r>
          </w:p>
        </w:tc>
      </w:tr>
      <w:tr>
        <w:tc>
          <w:tcPr>
            <w:tcW w:type="dxa" w:w="432"/>
            <w:vAlign w:val="center"/>
            <w:shd w:val="clear" w:color="auto" w:fill="E2EFDA"/>
          </w:tcPr>
          <w:p>
            <w:pPr>
              <w:spacing w:after="0"/>
            </w:pPr>
            <w:r/>
            <w:r>
              <w:rPr>
                <w:rFonts w:ascii="Calibri" w:hAnsi="Calibri"/>
                <w:b w:val="0"/>
                <w:color w:val="0B0B0B"/>
                <w:sz w:val="18"/>
              </w:rPr>
              <w:t>27</w:t>
            </w:r>
          </w:p>
        </w:tc>
        <w:tc>
          <w:tcPr>
            <w:tcW w:type="dxa" w:w="2520"/>
            <w:vAlign w:val="center"/>
            <w:shd w:val="clear" w:color="auto" w:fill="E2EFDA"/>
          </w:tcPr>
          <w:p>
            <w:pPr>
              <w:spacing w:after="0"/>
            </w:pPr>
            <w:r/>
            <w:r>
              <w:rPr>
                <w:rFonts w:ascii="Calibri" w:hAnsi="Calibri"/>
                <w:b w:val="0"/>
                <w:color w:val="0B0B0B"/>
                <w:sz w:val="18"/>
              </w:rPr>
              <w:t>Calibration strategy</w:t>
            </w:r>
          </w:p>
        </w:tc>
        <w:tc>
          <w:tcPr>
            <w:tcW w:type="dxa" w:w="504"/>
            <w:vAlign w:val="center"/>
            <w:shd w:val="clear" w:color="auto" w:fill="E2EFDA"/>
          </w:tcPr>
          <w:p>
            <w:pPr>
              <w:spacing w:after="0"/>
            </w:pPr>
            <w:r/>
            <w:r>
              <w:rPr>
                <w:rFonts w:ascii="Calibri" w:hAnsi="Calibri"/>
                <w:b w:val="0"/>
                <w:color w:val="0B0B0B"/>
                <w:sz w:val="18"/>
              </w:rPr>
              <w:t>6</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 Solution MC-ICP-MS</w:t>
            </w:r>
          </w:p>
        </w:tc>
        <w:tc>
          <w:tcPr>
            <w:tcW w:type="dxa" w:w="3384"/>
            <w:vAlign w:val="center"/>
            <w:shd w:val="clear" w:color="auto" w:fill="E2EFDA"/>
          </w:tcPr>
          <w:p>
            <w:pPr>
              <w:spacing w:after="0"/>
            </w:pPr>
            <w:r/>
            <w:r>
              <w:rPr>
                <w:rFonts w:ascii="Calibri" w:hAnsi="Calibri"/>
                <w:b w:val="0"/>
                <w:color w:val="0B0B0B"/>
                <w:sz w:val="18"/>
              </w:rPr>
              <w:t>Primary Calibration Standard Name + Secondary Reference Materials (both)</w:t>
            </w:r>
          </w:p>
        </w:tc>
      </w:tr>
      <w:tr>
        <w:tc>
          <w:tcPr>
            <w:tcW w:type="dxa" w:w="432"/>
            <w:vAlign w:val="center"/>
            <w:shd w:val="clear" w:color="auto" w:fill="E2EFDA"/>
          </w:tcPr>
          <w:p>
            <w:pPr>
              <w:spacing w:after="0"/>
            </w:pPr>
            <w:r/>
            <w:r>
              <w:rPr>
                <w:rFonts w:ascii="Calibri" w:hAnsi="Calibri"/>
                <w:b w:val="0"/>
                <w:color w:val="0B0B0B"/>
                <w:sz w:val="18"/>
              </w:rPr>
              <w:t>28</w:t>
            </w:r>
          </w:p>
        </w:tc>
        <w:tc>
          <w:tcPr>
            <w:tcW w:type="dxa" w:w="2520"/>
            <w:vAlign w:val="center"/>
            <w:shd w:val="clear" w:color="auto" w:fill="E2EFDA"/>
          </w:tcPr>
          <w:p>
            <w:pPr>
              <w:spacing w:after="0"/>
            </w:pPr>
            <w:r/>
            <w:r>
              <w:rPr>
                <w:rFonts w:ascii="Calibri" w:hAnsi="Calibri"/>
                <w:b w:val="0"/>
                <w:color w:val="0B0B0B"/>
                <w:sz w:val="18"/>
              </w:rPr>
              <w:t>Reference Material information</w:t>
            </w:r>
          </w:p>
        </w:tc>
        <w:tc>
          <w:tcPr>
            <w:tcW w:type="dxa" w:w="504"/>
            <w:vAlign w:val="center"/>
            <w:shd w:val="clear" w:color="auto" w:fill="E2EFDA"/>
          </w:tcPr>
          <w:p>
            <w:pPr>
              <w:spacing w:after="0"/>
            </w:pPr>
            <w:r/>
            <w:r>
              <w:rPr>
                <w:rFonts w:ascii="Calibri" w:hAnsi="Calibri"/>
                <w:b w:val="0"/>
                <w:color w:val="0B0B0B"/>
                <w:sz w:val="18"/>
              </w:rPr>
              <w:t>6</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 Solution MC-ICP-MS</w:t>
            </w:r>
          </w:p>
        </w:tc>
        <w:tc>
          <w:tcPr>
            <w:tcW w:type="dxa" w:w="3384"/>
            <w:vAlign w:val="center"/>
            <w:shd w:val="clear" w:color="auto" w:fill="E2EFDA"/>
          </w:tcPr>
          <w:p>
            <w:pPr>
              <w:spacing w:after="0"/>
            </w:pPr>
            <w:r/>
            <w:r>
              <w:rPr>
                <w:rFonts w:ascii="Calibri" w:hAnsi="Calibri"/>
                <w:b w:val="0"/>
                <w:color w:val="0B0B0B"/>
                <w:sz w:val="18"/>
              </w:rPr>
              <w:t>Same fields as above; citation/accepted-value content preserved</w:t>
            </w:r>
          </w:p>
        </w:tc>
      </w:tr>
      <w:tr>
        <w:tc>
          <w:tcPr>
            <w:tcW w:type="dxa" w:w="432"/>
            <w:vAlign w:val="center"/>
            <w:shd w:val="clear" w:color="auto" w:fill="E2EFDA"/>
          </w:tcPr>
          <w:p>
            <w:pPr>
              <w:spacing w:after="0"/>
            </w:pPr>
            <w:r/>
            <w:r>
              <w:rPr>
                <w:rFonts w:ascii="Calibri" w:hAnsi="Calibri"/>
                <w:b w:val="0"/>
                <w:color w:val="0B0B0B"/>
                <w:sz w:val="18"/>
              </w:rPr>
              <w:t>29</w:t>
            </w:r>
          </w:p>
        </w:tc>
        <w:tc>
          <w:tcPr>
            <w:tcW w:type="dxa" w:w="2520"/>
            <w:vAlign w:val="center"/>
            <w:shd w:val="clear" w:color="auto" w:fill="E2EFDA"/>
          </w:tcPr>
          <w:p>
            <w:pPr>
              <w:spacing w:after="0"/>
            </w:pPr>
            <w:r/>
            <w:r>
              <w:rPr>
                <w:rFonts w:ascii="Calibri" w:hAnsi="Calibri"/>
                <w:b w:val="0"/>
                <w:color w:val="0B0B0B"/>
                <w:sz w:val="18"/>
              </w:rPr>
              <w:t>Data processing package/LIEF</w:t>
            </w:r>
          </w:p>
        </w:tc>
        <w:tc>
          <w:tcPr>
            <w:tcW w:type="dxa" w:w="504"/>
            <w:vAlign w:val="center"/>
            <w:shd w:val="clear" w:color="auto" w:fill="E2EFDA"/>
          </w:tcPr>
          <w:p>
            <w:pPr>
              <w:spacing w:after="0"/>
            </w:pPr>
            <w:r/>
            <w:r>
              <w:rPr>
                <w:rFonts w:ascii="Calibri" w:hAnsi="Calibri"/>
                <w:b w:val="0"/>
                <w:color w:val="0B0B0B"/>
                <w:sz w:val="18"/>
              </w:rPr>
              <w:t>5</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w:t>
            </w:r>
          </w:p>
        </w:tc>
        <w:tc>
          <w:tcPr>
            <w:tcW w:type="dxa" w:w="3384"/>
            <w:vAlign w:val="center"/>
            <w:shd w:val="clear" w:color="auto" w:fill="E2EFDA"/>
          </w:tcPr>
          <w:p>
            <w:pPr>
              <w:spacing w:after="0"/>
            </w:pPr>
            <w:r/>
            <w:r>
              <w:rPr>
                <w:rFonts w:ascii="Calibri" w:hAnsi="Calibri"/>
                <w:b w:val="0"/>
                <w:color w:val="0B0B0B"/>
                <w:sz w:val="18"/>
              </w:rPr>
              <w:t>Elemental Fractionation Correction + Data Reduction Software</w:t>
            </w:r>
          </w:p>
        </w:tc>
      </w:tr>
      <w:tr>
        <w:tc>
          <w:tcPr>
            <w:tcW w:type="dxa" w:w="432"/>
            <w:vAlign w:val="center"/>
            <w:shd w:val="clear" w:color="auto" w:fill="E2EFDA"/>
          </w:tcPr>
          <w:p>
            <w:pPr>
              <w:spacing w:after="0"/>
            </w:pPr>
            <w:r/>
            <w:r>
              <w:rPr>
                <w:rFonts w:ascii="Calibri" w:hAnsi="Calibri"/>
                <w:b w:val="0"/>
                <w:color w:val="0B0B0B"/>
                <w:sz w:val="18"/>
              </w:rPr>
              <w:t>30</w:t>
            </w:r>
          </w:p>
        </w:tc>
        <w:tc>
          <w:tcPr>
            <w:tcW w:type="dxa" w:w="2520"/>
            <w:vAlign w:val="center"/>
            <w:shd w:val="clear" w:color="auto" w:fill="E2EFDA"/>
          </w:tcPr>
          <w:p>
            <w:pPr>
              <w:spacing w:after="0"/>
            </w:pPr>
            <w:r/>
            <w:r>
              <w:rPr>
                <w:rFonts w:ascii="Calibri" w:hAnsi="Calibri"/>
                <w:b w:val="0"/>
                <w:color w:val="0B0B0B"/>
                <w:sz w:val="18"/>
              </w:rPr>
              <w:t>Mass discrimination</w:t>
            </w:r>
          </w:p>
        </w:tc>
        <w:tc>
          <w:tcPr>
            <w:tcW w:type="dxa" w:w="504"/>
            <w:vAlign w:val="center"/>
            <w:shd w:val="clear" w:color="auto" w:fill="E2EFDA"/>
          </w:tcPr>
          <w:p>
            <w:pPr>
              <w:spacing w:after="0"/>
            </w:pPr>
            <w:r/>
            <w:r>
              <w:rPr>
                <w:rFonts w:ascii="Calibri" w:hAnsi="Calibri"/>
                <w:b w:val="0"/>
                <w:color w:val="0B0B0B"/>
                <w:sz w:val="18"/>
              </w:rPr>
              <w:t>5</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Solution MC-ICP-MS only</w:t>
            </w:r>
          </w:p>
        </w:tc>
        <w:tc>
          <w:tcPr>
            <w:tcW w:type="dxa" w:w="3384"/>
            <w:vAlign w:val="center"/>
            <w:shd w:val="clear" w:color="auto" w:fill="E2EFDA"/>
          </w:tcPr>
          <w:p>
            <w:pPr>
              <w:spacing w:after="0"/>
            </w:pPr>
            <w:r/>
            <w:r>
              <w:rPr>
                <w:rFonts w:ascii="Calibri" w:hAnsi="Calibri"/>
                <w:b w:val="0"/>
                <w:color w:val="0B0B0B"/>
                <w:sz w:val="18"/>
              </w:rPr>
              <w:t>Mass Bias Correction Strategy + Internal Normalization Element and Isotope Ratio</w:t>
            </w:r>
          </w:p>
        </w:tc>
      </w:tr>
      <w:tr>
        <w:tc>
          <w:tcPr>
            <w:tcW w:type="dxa" w:w="432"/>
            <w:vAlign w:val="center"/>
            <w:shd w:val="clear" w:color="auto" w:fill="FCE4E4"/>
          </w:tcPr>
          <w:p>
            <w:pPr>
              <w:spacing w:after="0"/>
            </w:pPr>
            <w:r/>
            <w:r>
              <w:rPr>
                <w:rFonts w:ascii="Calibri" w:hAnsi="Calibri"/>
                <w:b w:val="0"/>
                <w:color w:val="0B0B0B"/>
                <w:sz w:val="18"/>
              </w:rPr>
              <w:t>31</w:t>
            </w:r>
          </w:p>
        </w:tc>
        <w:tc>
          <w:tcPr>
            <w:tcW w:type="dxa" w:w="2520"/>
            <w:vAlign w:val="center"/>
            <w:shd w:val="clear" w:color="auto" w:fill="FCE4E4"/>
          </w:tcPr>
          <w:p>
            <w:pPr>
              <w:spacing w:after="0"/>
            </w:pPr>
            <w:r/>
            <w:r>
              <w:rPr>
                <w:rFonts w:ascii="Calibri" w:hAnsi="Calibri"/>
                <w:b w:val="0"/>
                <w:color w:val="0B0B0B"/>
                <w:sz w:val="18"/>
              </w:rPr>
              <w:t>Common-Pb correction, composition, uncertainty</w:t>
            </w:r>
          </w:p>
        </w:tc>
        <w:tc>
          <w:tcPr>
            <w:tcW w:type="dxa" w:w="504"/>
            <w:vAlign w:val="center"/>
            <w:shd w:val="clear" w:color="auto" w:fill="FCE4E4"/>
          </w:tcPr>
          <w:p>
            <w:pPr>
              <w:spacing w:after="0"/>
            </w:pPr>
            <w:r/>
            <w:r>
              <w:rPr>
                <w:rFonts w:ascii="Calibri" w:hAnsi="Calibri"/>
                <w:b w:val="0"/>
                <w:color w:val="0B0B0B"/>
                <w:sz w:val="18"/>
              </w:rPr>
              <w:t>5</w:t>
            </w:r>
          </w:p>
        </w:tc>
        <w:tc>
          <w:tcPr>
            <w:tcW w:type="dxa" w:w="864"/>
            <w:vAlign w:val="center"/>
            <w:shd w:val="clear" w:color="auto" w:fill="FCE4E4"/>
          </w:tcPr>
          <w:p>
            <w:pPr>
              <w:spacing w:after="0"/>
            </w:pPr>
            <w:r/>
            <w:r>
              <w:rPr>
                <w:rFonts w:ascii="Calibri" w:hAnsi="Calibri"/>
                <w:b w:val="0"/>
                <w:color w:val="0B0B0B"/>
                <w:sz w:val="18"/>
              </w:rPr>
              <w:t>Missed</w:t>
            </w:r>
          </w:p>
        </w:tc>
        <w:tc>
          <w:tcPr>
            <w:tcW w:type="dxa" w:w="2376"/>
            <w:vAlign w:val="center"/>
            <w:shd w:val="clear" w:color="auto" w:fill="FCE4E4"/>
          </w:tcPr>
          <w:p>
            <w:pPr>
              <w:spacing w:after="0"/>
            </w:pPr>
            <w:r/>
            <w:r>
              <w:rPr>
                <w:rFonts w:ascii="Calibri" w:hAnsi="Calibri"/>
                <w:b w:val="0"/>
                <w:color w:val="0B0B0B"/>
                <w:sz w:val="18"/>
              </w:rPr>
              <w:t>—</w:t>
            </w:r>
          </w:p>
        </w:tc>
        <w:tc>
          <w:tcPr>
            <w:tcW w:type="dxa" w:w="3384"/>
            <w:vAlign w:val="center"/>
            <w:shd w:val="clear" w:color="auto" w:fill="FCE4E4"/>
          </w:tcPr>
          <w:p>
            <w:pPr>
              <w:spacing w:after="0"/>
            </w:pPr>
            <w:r/>
            <w:r>
              <w:rPr>
                <w:rFonts w:ascii="Calibri" w:hAnsi="Calibri"/>
                <w:b w:val="0"/>
                <w:color w:val="0B0B0B"/>
                <w:sz w:val="18"/>
              </w:rPr>
              <w:t>No analog in either TAPP — expected, geochronology-specific step</w:t>
            </w:r>
          </w:p>
        </w:tc>
      </w:tr>
      <w:tr>
        <w:tc>
          <w:tcPr>
            <w:tcW w:type="dxa" w:w="432"/>
            <w:vAlign w:val="center"/>
            <w:shd w:val="clear" w:color="auto" w:fill="E2EFDA"/>
          </w:tcPr>
          <w:p>
            <w:pPr>
              <w:spacing w:after="0"/>
            </w:pPr>
            <w:r/>
            <w:r>
              <w:rPr>
                <w:rFonts w:ascii="Calibri" w:hAnsi="Calibri"/>
                <w:b w:val="0"/>
                <w:color w:val="0B0B0B"/>
                <w:sz w:val="18"/>
              </w:rPr>
              <w:t>32</w:t>
            </w:r>
          </w:p>
        </w:tc>
        <w:tc>
          <w:tcPr>
            <w:tcW w:type="dxa" w:w="2520"/>
            <w:vAlign w:val="center"/>
            <w:shd w:val="clear" w:color="auto" w:fill="E2EFDA"/>
          </w:tcPr>
          <w:p>
            <w:pPr>
              <w:spacing w:after="0"/>
            </w:pPr>
            <w:r/>
            <w:r>
              <w:rPr>
                <w:rFonts w:ascii="Calibri" w:hAnsi="Calibri"/>
                <w:b w:val="0"/>
                <w:color w:val="0B0B0B"/>
                <w:sz w:val="18"/>
              </w:rPr>
              <w:t>Uncertainty level and propagation</w:t>
            </w:r>
          </w:p>
        </w:tc>
        <w:tc>
          <w:tcPr>
            <w:tcW w:type="dxa" w:w="504"/>
            <w:vAlign w:val="center"/>
            <w:shd w:val="clear" w:color="auto" w:fill="E2EFDA"/>
          </w:tcPr>
          <w:p>
            <w:pPr>
              <w:spacing w:after="0"/>
            </w:pPr>
            <w:r/>
            <w:r>
              <w:rPr>
                <w:rFonts w:ascii="Calibri" w:hAnsi="Calibri"/>
                <w:b w:val="0"/>
                <w:color w:val="0B0B0B"/>
                <w:sz w:val="18"/>
              </w:rPr>
              <w:t>5</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 Solution MC-ICP-MS</w:t>
            </w:r>
          </w:p>
        </w:tc>
        <w:tc>
          <w:tcPr>
            <w:tcW w:type="dxa" w:w="3384"/>
            <w:vAlign w:val="center"/>
            <w:shd w:val="clear" w:color="auto" w:fill="E2EFDA"/>
          </w:tcPr>
          <w:p>
            <w:pPr>
              <w:spacing w:after="0"/>
            </w:pPr>
            <w:r/>
            <w:r>
              <w:rPr>
                <w:rFonts w:ascii="Calibri" w:hAnsi="Calibri"/>
                <w:b w:val="0"/>
                <w:color w:val="0B0B0B"/>
                <w:sz w:val="18"/>
              </w:rPr>
              <w:t>Uncertainty Propagation Method (both, same tier independently)</w:t>
            </w:r>
          </w:p>
        </w:tc>
      </w:tr>
      <w:tr>
        <w:tc>
          <w:tcPr>
            <w:tcW w:type="dxa" w:w="432"/>
            <w:vAlign w:val="center"/>
            <w:shd w:val="clear" w:color="auto" w:fill="E2EFDA"/>
          </w:tcPr>
          <w:p>
            <w:pPr>
              <w:spacing w:after="0"/>
            </w:pPr>
            <w:r/>
            <w:r>
              <w:rPr>
                <w:rFonts w:ascii="Calibri" w:hAnsi="Calibri"/>
                <w:b w:val="0"/>
                <w:color w:val="0B0B0B"/>
                <w:sz w:val="18"/>
              </w:rPr>
              <w:t>33</w:t>
            </w:r>
          </w:p>
        </w:tc>
        <w:tc>
          <w:tcPr>
            <w:tcW w:type="dxa" w:w="2520"/>
            <w:vAlign w:val="center"/>
            <w:shd w:val="clear" w:color="auto" w:fill="E2EFDA"/>
          </w:tcPr>
          <w:p>
            <w:pPr>
              <w:spacing w:after="0"/>
            </w:pPr>
            <w:r/>
            <w:r>
              <w:rPr>
                <w:rFonts w:ascii="Calibri" w:hAnsi="Calibri"/>
                <w:b w:val="0"/>
                <w:color w:val="0B0B0B"/>
                <w:sz w:val="18"/>
              </w:rPr>
              <w:t>Quality control/Validation</w:t>
            </w:r>
          </w:p>
        </w:tc>
        <w:tc>
          <w:tcPr>
            <w:tcW w:type="dxa" w:w="504"/>
            <w:vAlign w:val="center"/>
            <w:shd w:val="clear" w:color="auto" w:fill="E2EFDA"/>
          </w:tcPr>
          <w:p>
            <w:pPr>
              <w:spacing w:after="0"/>
            </w:pPr>
            <w:r/>
            <w:r>
              <w:rPr>
                <w:rFonts w:ascii="Calibri" w:hAnsi="Calibri"/>
                <w:b w:val="0"/>
                <w:color w:val="0B0B0B"/>
                <w:sz w:val="18"/>
              </w:rPr>
              <w:t>6</w:t>
            </w:r>
          </w:p>
        </w:tc>
        <w:tc>
          <w:tcPr>
            <w:tcW w:type="dxa" w:w="864"/>
            <w:vAlign w:val="center"/>
            <w:shd w:val="clear" w:color="auto" w:fill="E2EFDA"/>
          </w:tcPr>
          <w:p>
            <w:pPr>
              <w:spacing w:after="0"/>
            </w:pPr>
            <w:r/>
            <w:r>
              <w:rPr>
                <w:rFonts w:ascii="Calibri" w:hAnsi="Calibri"/>
                <w:b w:val="0"/>
                <w:color w:val="0B0B0B"/>
                <w:sz w:val="18"/>
              </w:rPr>
              <w:t>Full</w:t>
            </w:r>
          </w:p>
        </w:tc>
        <w:tc>
          <w:tcPr>
            <w:tcW w:type="dxa" w:w="2376"/>
            <w:vAlign w:val="center"/>
            <w:shd w:val="clear" w:color="auto" w:fill="E2EFDA"/>
          </w:tcPr>
          <w:p>
            <w:pPr>
              <w:spacing w:after="0"/>
            </w:pPr>
            <w:r/>
            <w:r>
              <w:rPr>
                <w:rFonts w:ascii="Calibri" w:hAnsi="Calibri"/>
                <w:b w:val="0"/>
                <w:color w:val="0B0B0B"/>
                <w:sz w:val="18"/>
              </w:rPr>
              <w:t>LA-Q/SF-ICP-MS; Solution MC-ICP-MS</w:t>
            </w:r>
          </w:p>
        </w:tc>
        <w:tc>
          <w:tcPr>
            <w:tcW w:type="dxa" w:w="3384"/>
            <w:vAlign w:val="center"/>
            <w:shd w:val="clear" w:color="auto" w:fill="E2EFDA"/>
          </w:tcPr>
          <w:p>
            <w:pPr>
              <w:spacing w:after="0"/>
            </w:pPr>
            <w:r/>
            <w:r>
              <w:rPr>
                <w:rFonts w:ascii="Calibri" w:hAnsi="Calibri"/>
                <w:b w:val="0"/>
                <w:color w:val="0B0B0B"/>
                <w:sz w:val="18"/>
              </w:rPr>
              <w:t>Split into 3-way precision/accuracy structure independently in both TAPPs</w:t>
            </w:r>
          </w:p>
        </w:tc>
      </w:tr>
      <w:tr>
        <w:tc>
          <w:tcPr>
            <w:tcW w:type="dxa" w:w="432"/>
            <w:vAlign w:val="center"/>
            <w:shd w:val="clear" w:color="auto" w:fill="F2F2F2"/>
          </w:tcPr>
          <w:p>
            <w:pPr>
              <w:spacing w:after="0"/>
            </w:pPr>
            <w:r/>
            <w:r>
              <w:rPr>
                <w:rFonts w:ascii="Calibri" w:hAnsi="Calibri"/>
                <w:b w:val="0"/>
                <w:color w:val="0B0B0B"/>
                <w:sz w:val="18"/>
              </w:rPr>
              <w:t>34</w:t>
            </w:r>
          </w:p>
        </w:tc>
        <w:tc>
          <w:tcPr>
            <w:tcW w:type="dxa" w:w="2520"/>
            <w:vAlign w:val="center"/>
            <w:shd w:val="clear" w:color="auto" w:fill="F2F2F2"/>
          </w:tcPr>
          <w:p>
            <w:pPr>
              <w:spacing w:after="0"/>
            </w:pPr>
            <w:r/>
            <w:r>
              <w:rPr>
                <w:rFonts w:ascii="Calibri" w:hAnsi="Calibri"/>
                <w:b w:val="0"/>
                <w:color w:val="0B0B0B"/>
                <w:sz w:val="18"/>
              </w:rPr>
              <w:t>Other information</w:t>
            </w:r>
          </w:p>
        </w:tc>
        <w:tc>
          <w:tcPr>
            <w:tcW w:type="dxa" w:w="504"/>
            <w:vAlign w:val="center"/>
            <w:shd w:val="clear" w:color="auto" w:fill="F2F2F2"/>
          </w:tcPr>
          <w:p>
            <w:pPr>
              <w:spacing w:after="0"/>
            </w:pPr>
            <w:r/>
            <w:r>
              <w:rPr>
                <w:rFonts w:ascii="Calibri" w:hAnsi="Calibri"/>
                <w:b w:val="0"/>
                <w:color w:val="0B0B0B"/>
                <w:sz w:val="18"/>
              </w:rPr>
              <w:t>4</w:t>
            </w:r>
          </w:p>
        </w:tc>
        <w:tc>
          <w:tcPr>
            <w:tcW w:type="dxa" w:w="864"/>
            <w:vAlign w:val="center"/>
            <w:shd w:val="clear" w:color="auto" w:fill="F2F2F2"/>
          </w:tcPr>
          <w:p>
            <w:pPr>
              <w:spacing w:after="0"/>
            </w:pPr>
            <w:r/>
            <w:r>
              <w:rPr>
                <w:rFonts w:ascii="Calibri" w:hAnsi="Calibri"/>
                <w:b w:val="0"/>
                <w:color w:val="0B0B0B"/>
                <w:sz w:val="18"/>
              </w:rPr>
              <w:t>N/A</w:t>
            </w:r>
          </w:p>
        </w:tc>
        <w:tc>
          <w:tcPr>
            <w:tcW w:type="dxa" w:w="2376"/>
            <w:vAlign w:val="center"/>
            <w:shd w:val="clear" w:color="auto" w:fill="F2F2F2"/>
          </w:tcPr>
          <w:p>
            <w:pPr>
              <w:spacing w:after="0"/>
            </w:pPr>
            <w:r/>
            <w:r>
              <w:rPr>
                <w:rFonts w:ascii="Calibri" w:hAnsi="Calibri"/>
                <w:b w:val="0"/>
                <w:color w:val="0B0B0B"/>
                <w:sz w:val="18"/>
              </w:rPr>
              <w:t>—</w:t>
            </w:r>
          </w:p>
        </w:tc>
        <w:tc>
          <w:tcPr>
            <w:tcW w:type="dxa" w:w="3384"/>
            <w:vAlign w:val="center"/>
            <w:shd w:val="clear" w:color="auto" w:fill="F2F2F2"/>
          </w:tcPr>
          <w:p>
            <w:pPr>
              <w:spacing w:after="0"/>
            </w:pPr>
            <w:r/>
            <w:r>
              <w:rPr>
                <w:rFonts w:ascii="Calibri" w:hAnsi="Calibri"/>
                <w:b w:val="0"/>
                <w:color w:val="0B0B0B"/>
                <w:sz w:val="18"/>
              </w:rPr>
              <w:t>Free-text catch-all; excluded from capture-rate statistics</w:t>
            </w:r>
          </w:p>
        </w:tc>
      </w:tr>
    </w:tbl>
    <w:p>
      <w:pPr>
        <w:spacing w:after="320" w:before="80"/>
      </w:pPr>
      <w:r>
        <w:rPr>
          <w:rFonts w:ascii="Calibri" w:hAnsi="Calibri"/>
          <w:b w:val="0"/>
          <w:i/>
          <w:color w:val="52514E"/>
          <w:sz w:val="18"/>
        </w:rPr>
        <w:t>Table 5. Full item-by-item capture status for all 34 non-Group-1 Table 3 items. Green = fully captured, orange = partially captured, red = missed, gray = not comparable (excluded from statistics).</w:t>
      </w:r>
    </w:p>
    <w:p>
      <w:pPr>
        <w:pStyle w:val="Heading3"/>
      </w:pPr>
      <w:r>
        <w:t>Summary statistics</w:t>
      </w:r>
    </w:p>
    <w:tbl>
      <w:tblPr>
        <w:tblStyle w:val="TableGrid"/>
        <w:tblW w:type="auto" w:w="0"/>
        <w:tblLayout w:type="fixed"/>
        <w:tblLook w:firstColumn="1" w:firstRow="1" w:lastColumn="0" w:lastRow="0" w:noHBand="0" w:noVBand="1" w:val="04A0"/>
      </w:tblPr>
      <w:tblGrid>
        <w:gridCol w:w="3456"/>
        <w:gridCol w:w="3456"/>
        <w:gridCol w:w="3456"/>
      </w:tblGrid>
      <w:tr>
        <w:tc>
          <w:tcPr>
            <w:tcW w:type="dxa" w:w="5760"/>
            <w:vAlign w:val="center"/>
            <w:shd w:val="clear" w:color="auto" w:fill="2F5597"/>
          </w:tcPr>
          <w:p>
            <w:pPr>
              <w:spacing w:after="0"/>
            </w:pPr>
            <w:r/>
            <w:r>
              <w:rPr>
                <w:rFonts w:ascii="Calibri" w:hAnsi="Calibri"/>
                <w:b/>
                <w:color w:val="FFFFFF"/>
                <w:sz w:val="18"/>
              </w:rPr>
              <w:t>Outcome</w:t>
            </w:r>
          </w:p>
        </w:tc>
        <w:tc>
          <w:tcPr>
            <w:tcW w:type="dxa" w:w="1440"/>
            <w:vAlign w:val="center"/>
            <w:shd w:val="clear" w:color="auto" w:fill="2F5597"/>
          </w:tcPr>
          <w:p>
            <w:pPr>
              <w:spacing w:after="0"/>
            </w:pPr>
            <w:r/>
            <w:r>
              <w:rPr>
                <w:rFonts w:ascii="Calibri" w:hAnsi="Calibri"/>
                <w:b/>
                <w:color w:val="FFFFFF"/>
                <w:sz w:val="18"/>
              </w:rPr>
              <w:t>Count</w:t>
            </w:r>
          </w:p>
        </w:tc>
        <w:tc>
          <w:tcPr>
            <w:tcW w:type="dxa" w:w="1440"/>
            <w:vAlign w:val="center"/>
            <w:shd w:val="clear" w:color="auto" w:fill="2F5597"/>
          </w:tcPr>
          <w:p>
            <w:pPr>
              <w:spacing w:after="0"/>
            </w:pPr>
            <w:r/>
            <w:r>
              <w:rPr>
                <w:rFonts w:ascii="Calibri" w:hAnsi="Calibri"/>
                <w:b/>
                <w:color w:val="FFFFFF"/>
                <w:sz w:val="18"/>
              </w:rPr>
              <w:t>% of 33</w:t>
            </w:r>
          </w:p>
        </w:tc>
      </w:tr>
      <w:tr>
        <w:tc>
          <w:tcPr>
            <w:tcW w:type="dxa" w:w="5760"/>
            <w:vAlign w:val="center"/>
          </w:tcPr>
          <w:p>
            <w:pPr>
              <w:spacing w:after="0"/>
            </w:pPr>
            <w:r/>
            <w:r>
              <w:rPr>
                <w:rFonts w:ascii="Calibri" w:hAnsi="Calibri"/>
                <w:b w:val="0"/>
                <w:color w:val="0B0B0B"/>
                <w:sz w:val="18"/>
              </w:rPr>
              <w:t>Fully captured</w:t>
            </w:r>
          </w:p>
        </w:tc>
        <w:tc>
          <w:tcPr>
            <w:tcW w:type="dxa" w:w="1440"/>
            <w:vAlign w:val="center"/>
          </w:tcPr>
          <w:p>
            <w:pPr>
              <w:spacing w:after="0"/>
            </w:pPr>
            <w:r/>
            <w:r>
              <w:rPr>
                <w:rFonts w:ascii="Calibri" w:hAnsi="Calibri"/>
                <w:b w:val="0"/>
                <w:color w:val="0B0B0B"/>
                <w:sz w:val="18"/>
              </w:rPr>
              <w:t>24</w:t>
            </w:r>
          </w:p>
        </w:tc>
        <w:tc>
          <w:tcPr>
            <w:tcW w:type="dxa" w:w="1440"/>
            <w:vAlign w:val="center"/>
          </w:tcPr>
          <w:p>
            <w:pPr>
              <w:spacing w:after="0"/>
            </w:pPr>
            <w:r/>
            <w:r>
              <w:rPr>
                <w:rFonts w:ascii="Calibri" w:hAnsi="Calibri"/>
                <w:b w:val="0"/>
                <w:color w:val="0B0B0B"/>
                <w:sz w:val="18"/>
              </w:rPr>
              <w:t>72.7%</w:t>
            </w:r>
          </w:p>
        </w:tc>
      </w:tr>
      <w:tr>
        <w:tc>
          <w:tcPr>
            <w:tcW w:type="dxa" w:w="5760"/>
            <w:vAlign w:val="center"/>
          </w:tcPr>
          <w:p>
            <w:pPr>
              <w:spacing w:after="0"/>
            </w:pPr>
            <w:r/>
            <w:r>
              <w:rPr>
                <w:rFonts w:ascii="Calibri" w:hAnsi="Calibri"/>
                <w:b w:val="0"/>
                <w:color w:val="0B0B0B"/>
                <w:sz w:val="18"/>
              </w:rPr>
              <w:t>Partially captured</w:t>
            </w:r>
          </w:p>
        </w:tc>
        <w:tc>
          <w:tcPr>
            <w:tcW w:type="dxa" w:w="1440"/>
            <w:vAlign w:val="center"/>
          </w:tcPr>
          <w:p>
            <w:pPr>
              <w:spacing w:after="0"/>
            </w:pPr>
            <w:r/>
            <w:r>
              <w:rPr>
                <w:rFonts w:ascii="Calibri" w:hAnsi="Calibri"/>
                <w:b w:val="0"/>
                <w:color w:val="0B0B0B"/>
                <w:sz w:val="18"/>
              </w:rPr>
              <w:t>2</w:t>
            </w:r>
          </w:p>
        </w:tc>
        <w:tc>
          <w:tcPr>
            <w:tcW w:type="dxa" w:w="1440"/>
            <w:vAlign w:val="center"/>
          </w:tcPr>
          <w:p>
            <w:pPr>
              <w:spacing w:after="0"/>
            </w:pPr>
            <w:r/>
            <w:r>
              <w:rPr>
                <w:rFonts w:ascii="Calibri" w:hAnsi="Calibri"/>
                <w:b w:val="0"/>
                <w:color w:val="0B0B0B"/>
                <w:sz w:val="18"/>
              </w:rPr>
              <w:t>6.1%</w:t>
            </w:r>
          </w:p>
        </w:tc>
      </w:tr>
      <w:tr>
        <w:tc>
          <w:tcPr>
            <w:tcW w:type="dxa" w:w="5760"/>
            <w:vAlign w:val="center"/>
            <w:shd w:val="clear" w:color="auto" w:fill="F2F2F2"/>
          </w:tcPr>
          <w:p>
            <w:pPr>
              <w:spacing w:after="0"/>
            </w:pPr>
            <w:r/>
            <w:r>
              <w:rPr>
                <w:rFonts w:ascii="Calibri" w:hAnsi="Calibri"/>
                <w:b w:val="0"/>
                <w:color w:val="0B0B0B"/>
                <w:sz w:val="18"/>
              </w:rPr>
              <w:t>Fully or partially captured</w:t>
            </w:r>
          </w:p>
        </w:tc>
        <w:tc>
          <w:tcPr>
            <w:tcW w:type="dxa" w:w="1440"/>
            <w:vAlign w:val="center"/>
            <w:shd w:val="clear" w:color="auto" w:fill="F2F2F2"/>
          </w:tcPr>
          <w:p>
            <w:pPr>
              <w:spacing w:after="0"/>
            </w:pPr>
            <w:r/>
            <w:r>
              <w:rPr>
                <w:rFonts w:ascii="Calibri" w:hAnsi="Calibri"/>
                <w:b w:val="0"/>
                <w:color w:val="0B0B0B"/>
                <w:sz w:val="18"/>
              </w:rPr>
              <w:t>26</w:t>
            </w:r>
          </w:p>
        </w:tc>
        <w:tc>
          <w:tcPr>
            <w:tcW w:type="dxa" w:w="1440"/>
            <w:vAlign w:val="center"/>
            <w:shd w:val="clear" w:color="auto" w:fill="F2F2F2"/>
          </w:tcPr>
          <w:p>
            <w:pPr>
              <w:spacing w:after="0"/>
            </w:pPr>
            <w:r/>
            <w:r>
              <w:rPr>
                <w:rFonts w:ascii="Calibri" w:hAnsi="Calibri"/>
                <w:b w:val="0"/>
                <w:color w:val="0B0B0B"/>
                <w:sz w:val="18"/>
              </w:rPr>
              <w:t>78.8%</w:t>
            </w:r>
          </w:p>
        </w:tc>
      </w:tr>
      <w:tr>
        <w:tc>
          <w:tcPr>
            <w:tcW w:type="dxa" w:w="5760"/>
            <w:vAlign w:val="center"/>
          </w:tcPr>
          <w:p>
            <w:pPr>
              <w:spacing w:after="0"/>
            </w:pPr>
            <w:r/>
            <w:r>
              <w:rPr>
                <w:rFonts w:ascii="Calibri" w:hAnsi="Calibri"/>
                <w:b w:val="0"/>
                <w:color w:val="0B0B0B"/>
                <w:sz w:val="18"/>
              </w:rPr>
              <w:t>Missed</w:t>
            </w:r>
          </w:p>
        </w:tc>
        <w:tc>
          <w:tcPr>
            <w:tcW w:type="dxa" w:w="1440"/>
            <w:vAlign w:val="center"/>
          </w:tcPr>
          <w:p>
            <w:pPr>
              <w:spacing w:after="0"/>
            </w:pPr>
            <w:r/>
            <w:r>
              <w:rPr>
                <w:rFonts w:ascii="Calibri" w:hAnsi="Calibri"/>
                <w:b w:val="0"/>
                <w:color w:val="0B0B0B"/>
                <w:sz w:val="18"/>
              </w:rPr>
              <w:t>7</w:t>
            </w:r>
          </w:p>
        </w:tc>
        <w:tc>
          <w:tcPr>
            <w:tcW w:type="dxa" w:w="1440"/>
            <w:vAlign w:val="center"/>
          </w:tcPr>
          <w:p>
            <w:pPr>
              <w:spacing w:after="0"/>
            </w:pPr>
            <w:r/>
            <w:r>
              <w:rPr>
                <w:rFonts w:ascii="Calibri" w:hAnsi="Calibri"/>
                <w:b w:val="0"/>
                <w:color w:val="0B0B0B"/>
                <w:sz w:val="18"/>
              </w:rPr>
              <w:t>21.2%</w:t>
            </w:r>
          </w:p>
        </w:tc>
      </w:tr>
      <w:tr>
        <w:tc>
          <w:tcPr>
            <w:tcW w:type="dxa" w:w="5760"/>
            <w:vAlign w:val="center"/>
          </w:tcPr>
          <w:p>
            <w:pPr>
              <w:spacing w:after="0"/>
            </w:pPr>
            <w:r/>
            <w:r>
              <w:rPr>
                <w:rFonts w:ascii="Calibri" w:hAnsi="Calibri"/>
                <w:b w:val="0"/>
                <w:color w:val="0B0B0B"/>
                <w:sz w:val="18"/>
              </w:rPr>
              <w:t xml:space="preserve">   — of which expected scope boundary (common-Pb correction)</w:t>
            </w:r>
          </w:p>
        </w:tc>
        <w:tc>
          <w:tcPr>
            <w:tcW w:type="dxa" w:w="1440"/>
            <w:vAlign w:val="center"/>
          </w:tcPr>
          <w:p>
            <w:pPr>
              <w:spacing w:after="0"/>
            </w:pPr>
            <w:r/>
            <w:r>
              <w:rPr>
                <w:rFonts w:ascii="Calibri" w:hAnsi="Calibri"/>
                <w:b w:val="0"/>
                <w:color w:val="0B0B0B"/>
                <w:sz w:val="18"/>
              </w:rPr>
              <w:t>1</w:t>
            </w:r>
          </w:p>
        </w:tc>
        <w:tc>
          <w:tcPr>
            <w:tcW w:type="dxa" w:w="1440"/>
            <w:vAlign w:val="center"/>
          </w:tcPr>
          <w:p>
            <w:pPr>
              <w:spacing w:after="0"/>
            </w:pPr>
            <w:r/>
            <w:r>
              <w:rPr>
                <w:rFonts w:ascii="Calibri" w:hAnsi="Calibri"/>
                <w:b w:val="0"/>
                <w:color w:val="0B0B0B"/>
                <w:sz w:val="18"/>
              </w:rPr>
              <w:t>3.0%</w:t>
            </w:r>
          </w:p>
        </w:tc>
      </w:tr>
      <w:tr>
        <w:tc>
          <w:tcPr>
            <w:tcW w:type="dxa" w:w="5760"/>
            <w:vAlign w:val="center"/>
          </w:tcPr>
          <w:p>
            <w:pPr>
              <w:spacing w:after="0"/>
            </w:pPr>
            <w:r/>
            <w:r>
              <w:rPr>
                <w:rFonts w:ascii="Calibri" w:hAnsi="Calibri"/>
                <w:b w:val="0"/>
                <w:color w:val="0B0B0B"/>
                <w:sz w:val="18"/>
              </w:rPr>
              <w:t xml:space="preserve">   — of which addressable gap</w:t>
            </w:r>
          </w:p>
        </w:tc>
        <w:tc>
          <w:tcPr>
            <w:tcW w:type="dxa" w:w="1440"/>
            <w:vAlign w:val="center"/>
          </w:tcPr>
          <w:p>
            <w:pPr>
              <w:spacing w:after="0"/>
            </w:pPr>
            <w:r/>
            <w:r>
              <w:rPr>
                <w:rFonts w:ascii="Calibri" w:hAnsi="Calibri"/>
                <w:b w:val="0"/>
                <w:color w:val="0B0B0B"/>
                <w:sz w:val="18"/>
              </w:rPr>
              <w:t>6</w:t>
            </w:r>
          </w:p>
        </w:tc>
        <w:tc>
          <w:tcPr>
            <w:tcW w:type="dxa" w:w="1440"/>
            <w:vAlign w:val="center"/>
          </w:tcPr>
          <w:p>
            <w:pPr>
              <w:spacing w:after="0"/>
            </w:pPr>
            <w:r/>
            <w:r>
              <w:rPr>
                <w:rFonts w:ascii="Calibri" w:hAnsi="Calibri"/>
                <w:b w:val="0"/>
                <w:color w:val="0B0B0B"/>
                <w:sz w:val="18"/>
              </w:rPr>
              <w:t>18.2%</w:t>
            </w:r>
          </w:p>
        </w:tc>
      </w:tr>
    </w:tbl>
    <w:p>
      <w:pPr>
        <w:spacing w:after="320" w:before="80"/>
      </w:pPr>
      <w:r>
        <w:rPr>
          <w:rFonts w:ascii="Calibri" w:hAnsi="Calibri"/>
          <w:b w:val="0"/>
          <w:i/>
          <w:color w:val="52514E"/>
          <w:sz w:val="18"/>
        </w:rPr>
        <w:t>Table 6. Summary statistics, n = 33 comparable items.</w:t>
      </w:r>
    </w:p>
    <w:tbl>
      <w:tblPr>
        <w:tblStyle w:val="TableGrid"/>
        <w:tblW w:type="auto" w:w="0"/>
        <w:tblLayout w:type="fixed"/>
        <w:tblLook w:firstColumn="1" w:firstRow="1" w:lastColumn="0" w:lastRow="0" w:noHBand="0" w:noVBand="1" w:val="04A0"/>
      </w:tblPr>
      <w:tblGrid>
        <w:gridCol w:w="5184"/>
        <w:gridCol w:w="5184"/>
      </w:tblGrid>
      <w:tr>
        <w:tc>
          <w:tcPr>
            <w:tcW w:type="dxa" w:w="6480"/>
            <w:vAlign w:val="center"/>
            <w:shd w:val="clear" w:color="auto" w:fill="2F5597"/>
          </w:tcPr>
          <w:p>
            <w:pPr>
              <w:spacing w:after="0"/>
            </w:pPr>
            <w:r/>
            <w:r>
              <w:rPr>
                <w:rFonts w:ascii="Calibri" w:hAnsi="Calibri"/>
                <w:b/>
                <w:color w:val="FFFFFF"/>
                <w:sz w:val="18"/>
              </w:rPr>
              <w:t>Captured by</w:t>
            </w:r>
          </w:p>
        </w:tc>
        <w:tc>
          <w:tcPr>
            <w:tcW w:type="dxa" w:w="2160"/>
            <w:vAlign w:val="center"/>
            <w:shd w:val="clear" w:color="auto" w:fill="2F5597"/>
          </w:tcPr>
          <w:p>
            <w:pPr>
              <w:spacing w:after="0"/>
            </w:pPr>
            <w:r/>
            <w:r>
              <w:rPr>
                <w:rFonts w:ascii="Calibri" w:hAnsi="Calibri"/>
                <w:b/>
                <w:color w:val="FFFFFF"/>
                <w:sz w:val="18"/>
              </w:rPr>
              <w:t>Count</w:t>
            </w:r>
          </w:p>
        </w:tc>
      </w:tr>
      <w:tr>
        <w:tc>
          <w:tcPr>
            <w:tcW w:type="dxa" w:w="6480"/>
            <w:vAlign w:val="center"/>
          </w:tcPr>
          <w:p>
            <w:pPr>
              <w:spacing w:after="0"/>
            </w:pPr>
            <w:r/>
            <w:r>
              <w:rPr>
                <w:rFonts w:ascii="Calibri" w:hAnsi="Calibri"/>
                <w:b w:val="0"/>
                <w:color w:val="0B0B0B"/>
                <w:sz w:val="18"/>
              </w:rPr>
              <w:t>LA-Q/SF-ICP-MS TAPP only</w:t>
            </w:r>
          </w:p>
        </w:tc>
        <w:tc>
          <w:tcPr>
            <w:tcW w:type="dxa" w:w="2160"/>
            <w:vAlign w:val="center"/>
          </w:tcPr>
          <w:p>
            <w:pPr>
              <w:spacing w:after="0"/>
            </w:pPr>
            <w:r/>
            <w:r>
              <w:rPr>
                <w:rFonts w:ascii="Calibri" w:hAnsi="Calibri"/>
                <w:b w:val="0"/>
                <w:color w:val="0B0B0B"/>
                <w:sz w:val="18"/>
              </w:rPr>
              <w:t>14</w:t>
            </w:r>
          </w:p>
        </w:tc>
      </w:tr>
      <w:tr>
        <w:tc>
          <w:tcPr>
            <w:tcW w:type="dxa" w:w="6480"/>
            <w:vAlign w:val="center"/>
          </w:tcPr>
          <w:p>
            <w:pPr>
              <w:spacing w:after="0"/>
            </w:pPr>
            <w:r/>
            <w:r>
              <w:rPr>
                <w:rFonts w:ascii="Calibri" w:hAnsi="Calibri"/>
                <w:b w:val="0"/>
                <w:color w:val="0B0B0B"/>
                <w:sz w:val="18"/>
              </w:rPr>
              <w:t>Solution MC-ICP-MS TAPP only</w:t>
            </w:r>
          </w:p>
        </w:tc>
        <w:tc>
          <w:tcPr>
            <w:tcW w:type="dxa" w:w="2160"/>
            <w:vAlign w:val="center"/>
          </w:tcPr>
          <w:p>
            <w:pPr>
              <w:spacing w:after="0"/>
            </w:pPr>
            <w:r/>
            <w:r>
              <w:rPr>
                <w:rFonts w:ascii="Calibri" w:hAnsi="Calibri"/>
                <w:b w:val="0"/>
                <w:color w:val="0B0B0B"/>
                <w:sz w:val="18"/>
              </w:rPr>
              <w:t>1</w:t>
            </w:r>
          </w:p>
        </w:tc>
      </w:tr>
      <w:tr>
        <w:tc>
          <w:tcPr>
            <w:tcW w:type="dxa" w:w="6480"/>
            <w:vAlign w:val="center"/>
          </w:tcPr>
          <w:p>
            <w:pPr>
              <w:spacing w:after="0"/>
            </w:pPr>
            <w:r/>
            <w:r>
              <w:rPr>
                <w:rFonts w:ascii="Calibri" w:hAnsi="Calibri"/>
                <w:b w:val="0"/>
                <w:color w:val="0B0B0B"/>
                <w:sz w:val="18"/>
              </w:rPr>
              <w:t>Both TAPPs independently</w:t>
            </w:r>
          </w:p>
        </w:tc>
        <w:tc>
          <w:tcPr>
            <w:tcW w:type="dxa" w:w="2160"/>
            <w:vAlign w:val="center"/>
          </w:tcPr>
          <w:p>
            <w:pPr>
              <w:spacing w:after="0"/>
            </w:pPr>
            <w:r/>
            <w:r>
              <w:rPr>
                <w:rFonts w:ascii="Calibri" w:hAnsi="Calibri"/>
                <w:b w:val="0"/>
                <w:color w:val="0B0B0B"/>
                <w:sz w:val="18"/>
              </w:rPr>
              <w:t>11</w:t>
            </w:r>
          </w:p>
        </w:tc>
      </w:tr>
      <w:tr>
        <w:tc>
          <w:tcPr>
            <w:tcW w:type="dxa" w:w="6480"/>
            <w:vAlign w:val="center"/>
          </w:tcPr>
          <w:p>
            <w:pPr>
              <w:spacing w:after="0"/>
            </w:pPr>
            <w:r/>
            <w:r>
              <w:rPr>
                <w:rFonts w:ascii="Calibri" w:hAnsi="Calibri"/>
                <w:b w:val="0"/>
                <w:color w:val="0B0B0B"/>
                <w:sz w:val="18"/>
              </w:rPr>
              <w:t>Neither (missed)</w:t>
            </w:r>
          </w:p>
        </w:tc>
        <w:tc>
          <w:tcPr>
            <w:tcW w:type="dxa" w:w="2160"/>
            <w:vAlign w:val="center"/>
          </w:tcPr>
          <w:p>
            <w:pPr>
              <w:spacing w:after="0"/>
            </w:pPr>
            <w:r/>
            <w:r>
              <w:rPr>
                <w:rFonts w:ascii="Calibri" w:hAnsi="Calibri"/>
                <w:b w:val="0"/>
                <w:color w:val="0B0B0B"/>
                <w:sz w:val="18"/>
              </w:rPr>
              <w:t>7</w:t>
            </w:r>
          </w:p>
        </w:tc>
      </w:tr>
    </w:tbl>
    <w:p>
      <w:pPr>
        <w:spacing w:after="320" w:before="80"/>
      </w:pPr>
      <w:r>
        <w:rPr>
          <w:rFonts w:ascii="Calibri" w:hAnsi="Calibri"/>
          <w:b w:val="0"/>
          <w:i/>
          <w:color w:val="52514E"/>
          <w:sz w:val="18"/>
        </w:rPr>
        <w:t>Table 7. Which existing TAPP(s) captured each item. Item 30 (mass discrimination) would have registered as a miss had the comparison been limited to LA-Q/SF-ICP-MS alone — it was recovered only by extending the comparison to Solution MC-ICP-MS, underscoring the value of comparing against more than one existing TAPP.</w:t>
      </w:r>
    </w:p>
    <w:p>
      <w:pPr>
        <w:pStyle w:val="Heading2"/>
      </w:pPr>
      <w:r>
        <w:t>5.2 What existing TAPPs contributed beyond Table 3</w:t>
      </w:r>
    </w:p>
    <w:p>
      <w:pPr>
        <w:spacing w:after="160"/>
      </w:pPr>
      <w:r>
        <w:rPr>
          <w:rFonts w:ascii="Calibri" w:hAnsi="Calibri"/>
          <w:b w:val="0"/>
          <w:i w:val="0"/>
          <w:color w:val="0B0B0B"/>
          <w:sz w:val="22"/>
        </w:rPr>
        <w:t>The reverse direction is equally informative: of the 58 fields imported into this TAPP from LA-Q/SF-ICP-MS (46) and Solution MC-ICP-MS (12), most reflect either finer operational/QC granularity within categories both approaches already share (rather than a fundamentally different metadata schema) or instrument-hardware clusters specific to a single mass-analyzer type. The most consequential clusters:</w:t>
      </w:r>
    </w:p>
    <w:p>
      <w:pPr>
        <w:pStyle w:val="ListBullet"/>
        <w:spacing w:after="80"/>
        <w:ind w:left="360"/>
      </w:pPr>
      <w:r>
        <w:rPr>
          <w:rFonts w:ascii="Calibri" w:hAnsi="Calibri"/>
          <w:color w:val="0B0B0B"/>
          <w:sz w:val="22"/>
        </w:rPr>
        <w:t>Plasma-interference QC monitoring (7 fields) — oxide production and doubly-charged species monitoring, including the mass-resolution cluster. ThO⁺/Th⁺ tuning in particular is standard modern practice and directly affects Th/U ratio accuracy, central to U-Th-Pb dating; its complete absence from Table 3 looks like a genuine gap in the paper rather than a deliberate omission.</w:t>
      </w:r>
    </w:p>
    <w:p>
      <w:pPr>
        <w:pStyle w:val="ListBullet"/>
        <w:spacing w:after="80"/>
        <w:ind w:left="360"/>
      </w:pPr>
      <w:r>
        <w:rPr>
          <w:rFonts w:ascii="Calibri" w:hAnsi="Calibri"/>
          <w:color w:val="0B0B0B"/>
          <w:sz w:val="22"/>
        </w:rPr>
        <w:t>Signal-selection and interference-correction provenance (9 fields) — Signal Integration Interval Method, Spike/Outlier Filtering, and the isobaric-interference trio. Signal selection is arguably the single most consequential data-reduction decision in LA-ICP-MS U-Pb work, and is directly relevant to the excess-scatter/MSWD discussion Horstwood et al. devote substantial text to — yet it never became a structured Table 3 item.</w:t>
      </w:r>
    </w:p>
    <w:p>
      <w:pPr>
        <w:pStyle w:val="ListBullet"/>
        <w:spacing w:after="80"/>
        <w:ind w:left="360"/>
      </w:pPr>
      <w:r>
        <w:rPr>
          <w:rFonts w:ascii="Calibri" w:hAnsi="Calibri"/>
          <w:color w:val="0B0B0B"/>
          <w:sz w:val="22"/>
        </w:rPr>
        <w:t>Instrument-specific hardware clusters (23 fields) — the collision/reaction-cell cluster (now known to apply to Q-ICP-MS and MC-ICP-MS alike, not Q-ICP-MS alone — see Section 6.5), the SF-ICP-MS resolution/E-scan cluster, and the MC-ICP-MS Faraday-cup/block-cycle/double-spike clusters (Section 6).</w:t>
      </w:r>
    </w:p>
    <w:p>
      <w:pPr>
        <w:pStyle w:val="Heading2"/>
      </w:pPr>
      <w:r>
        <w:t>5.3 Why the approaches diverge: three explanations, weighed</w:t>
      </w:r>
    </w:p>
    <w:p>
      <w:pPr>
        <w:spacing w:after="160"/>
      </w:pPr>
      <w:r>
        <w:rPr>
          <w:rFonts w:ascii="Calibri" w:hAnsi="Calibri"/>
          <w:b w:val="0"/>
          <w:i w:val="0"/>
          <w:color w:val="0B0B0B"/>
          <w:sz w:val="22"/>
        </w:rPr>
        <w:t>Three possible explanations for the residual differences were considered: (1) under-representation of geochronology in the AI workflow’s seed-paper corpus, (2) a systematic bias in the AI-assisted process toward certain kinds of metadata, or (3) an asymmetry in how much development each source had been through. The evidence favors the third explanation, with a modest contribution from the first in one specific area:</w:t>
      </w:r>
    </w:p>
    <w:p>
      <w:pPr>
        <w:pStyle w:val="ListBullet"/>
        <w:spacing w:after="80"/>
        <w:ind w:left="360"/>
      </w:pPr>
      <w:r>
        <w:rPr>
          <w:rFonts w:ascii="Calibri" w:hAnsi="Calibri"/>
          <w:color w:val="0B0B0B"/>
          <w:sz w:val="22"/>
        </w:rPr>
        <w:t>Not primarily under-representation of geochronology seed papers. Neither LA-Q/SF-ICP-MS nor Solution MC-ICP-MS was built with geochronology in mind, yet together they already covered 79% of Table 3’s substantive content — including, in the case of mass discrimination, a concept that is geochronology-critical but was captured via a TAPP built for entirely different isotope systems (Fe, U, Sn, Pb, Zn isotope ratios).</w:t>
      </w:r>
    </w:p>
    <w:p>
      <w:pPr>
        <w:pStyle w:val="ListBullet"/>
        <w:spacing w:after="80"/>
        <w:ind w:left="360"/>
      </w:pPr>
      <w:r>
        <w:rPr>
          <w:rFonts w:ascii="Calibri" w:hAnsi="Calibri"/>
          <w:color w:val="0B0B0B"/>
          <w:sz w:val="22"/>
        </w:rPr>
        <w:t>A modest, geochronology-specific gap does remain in one area: the common-Pb correction step is unique to U-Pb dating and, appropriately, absent from both general-purpose reference TAPPs. This is the one miss best attributed to domain-specific scope rather than to a workflow shortfall.</w:t>
      </w:r>
    </w:p>
    <w:p>
      <w:pPr>
        <w:pStyle w:val="ListBullet"/>
        <w:spacing w:after="80"/>
        <w:ind w:left="360"/>
      </w:pPr>
      <w:r>
        <w:rPr>
          <w:rFonts w:ascii="Calibri" w:hAnsi="Calibri"/>
          <w:color w:val="0B0B0B"/>
          <w:sz w:val="22"/>
        </w:rPr>
        <w:t>Production-process asymmetry is the strongest explanation for the remainder. LA-Q/SF-ICP-MS TAPP v4.1 is the product of at least four real development rounds (spanning May–July 2026), each of which explicitly searches for missing metadata items during its literature-assessment phase. Horstwood et al. (2016) is a single, static, one-time community consensus output, deliberately scoped as a minimum reporting bar to maximize adoption, never revised since publication. Comparing a multiply-iterated living document against a ten-year-old, deliberately minimal, one-shot standard will show a gap of this kind almost regardless of domain.</w:t>
      </w:r>
    </w:p>
    <w:p>
      <w:r>
        <w:br w:type="page"/>
      </w:r>
    </w:p>
    <w:p>
      <w:pPr>
        <w:pStyle w:val="Heading1"/>
      </w:pPr>
      <w:r>
        <w:t>6. Separating the TAPP by ICP-MS Instrument Type</w:t>
      </w:r>
    </w:p>
    <w:p>
      <w:pPr>
        <w:spacing w:after="160"/>
      </w:pPr>
      <w:r>
        <w:rPr>
          <w:rFonts w:ascii="Calibri" w:hAnsi="Calibri"/>
          <w:b w:val="0"/>
          <w:i w:val="0"/>
          <w:color w:val="0B0B0B"/>
          <w:sz w:val="22"/>
        </w:rPr>
        <w:t>A separate experiment tested how cleanly the combined TAPP could be separated into three instrument-specific views — one each for quadrupole, sector-field, and multi-collector ICP-MS — motivated by a practical requirement: users need to be able to filter which fields they are asked to report based on the instrument they actually used, without being prompted for irrelevant fields or missing fields genuinely relevant to their instrument.</w:t>
      </w:r>
    </w:p>
    <w:p>
      <w:pPr>
        <w:pStyle w:val="Heading2"/>
      </w:pPr>
      <w:r>
        <w:t>6.1 Method</w:t>
      </w:r>
    </w:p>
    <w:p>
      <w:pPr>
        <w:spacing w:after="160"/>
      </w:pPr>
      <w:r>
        <w:rPr>
          <w:rFonts w:ascii="Calibri" w:hAnsi="Calibri"/>
          <w:b w:val="0"/>
          <w:i w:val="0"/>
          <w:color w:val="0B0B0B"/>
          <w:sz w:val="22"/>
        </w:rPr>
        <w:t>Rather than manually authoring three separate documents, three flag columns (Q-ICP-MS / SF-ICP-MS / MC-ICP-MS) were added to the master TAPP, mirroring the existing mode-flag mechanism this project already uses for Spot/Transect/Mapping filtering in other TAPPs. Every field was classified for applicability to each instrument type; three filtered sub-TAPPs were then generated mechanically from those flags, rather than maintained as independent documents.</w:t>
      </w:r>
    </w:p>
    <w:p>
      <w:pPr>
        <w:pStyle w:val="Heading2"/>
      </w:pPr>
      <w:r>
        <w:t>6.2 Result: the separation is clean, and the shared core dominates</w:t>
      </w:r>
    </w:p>
    <w:p>
      <w:pPr>
        <w:jc w:val="center"/>
      </w:pPr>
      <w:r>
        <w:drawing>
          <wp:inline xmlns:a="http://schemas.openxmlformats.org/drawingml/2006/main" xmlns:pic="http://schemas.openxmlformats.org/drawingml/2006/picture">
            <wp:extent cx="5120640" cy="3404144"/>
            <wp:docPr id="2" name="Picture 2"/>
            <wp:cNvGraphicFramePr>
              <a:graphicFrameLocks noChangeAspect="1"/>
            </wp:cNvGraphicFramePr>
            <a:graphic>
              <a:graphicData uri="http://schemas.openxmlformats.org/drawingml/2006/picture">
                <pic:pic>
                  <pic:nvPicPr>
                    <pic:cNvPr id="0" name="chart2_qsfmc_split.png"/>
                    <pic:cNvPicPr/>
                  </pic:nvPicPr>
                  <pic:blipFill>
                    <a:blip r:embed="rId12"/>
                    <a:stretch>
                      <a:fillRect/>
                    </a:stretch>
                  </pic:blipFill>
                  <pic:spPr>
                    <a:xfrm>
                      <a:off x="0" y="0"/>
                      <a:ext cx="5120640" cy="3404144"/>
                    </a:xfrm>
                    <a:prstGeom prst="rect"/>
                  </pic:spPr>
                </pic:pic>
              </a:graphicData>
            </a:graphic>
          </wp:inline>
        </w:drawing>
      </w:r>
    </w:p>
    <w:p>
      <w:pPr>
        <w:spacing w:after="320" w:before="80"/>
      </w:pPr>
      <w:r>
        <w:rPr>
          <w:rFonts w:ascii="Calibri" w:hAnsi="Calibri"/>
          <w:b w:val="0"/>
          <w:i/>
          <w:color w:val="52514E"/>
          <w:sz w:val="18"/>
        </w:rPr>
        <w:t>Figure 2. Field applicability by ICP-MS instrument type (v6, n = 122).</w:t>
      </w:r>
    </w:p>
    <w:tbl>
      <w:tblPr>
        <w:tblStyle w:val="TableGrid"/>
        <w:tblW w:type="auto" w:w="0"/>
        <w:tblLayout w:type="fixed"/>
        <w:tblLook w:firstColumn="1" w:firstRow="1" w:lastColumn="0" w:lastRow="0" w:noHBand="0" w:noVBand="1" w:val="04A0"/>
      </w:tblPr>
      <w:tblGrid>
        <w:gridCol w:w="3456"/>
        <w:gridCol w:w="3456"/>
        <w:gridCol w:w="3456"/>
      </w:tblGrid>
      <w:tr>
        <w:tc>
          <w:tcPr>
            <w:tcW w:type="dxa" w:w="5760"/>
            <w:vAlign w:val="center"/>
            <w:shd w:val="clear" w:color="auto" w:fill="2F5597"/>
          </w:tcPr>
          <w:p>
            <w:pPr>
              <w:spacing w:after="0"/>
            </w:pPr>
            <w:r/>
            <w:r>
              <w:rPr>
                <w:rFonts w:ascii="Calibri" w:hAnsi="Calibri"/>
                <w:b/>
                <w:color w:val="FFFFFF"/>
                <w:sz w:val="18"/>
              </w:rPr>
              <w:t>Category</w:t>
            </w:r>
          </w:p>
        </w:tc>
        <w:tc>
          <w:tcPr>
            <w:tcW w:type="dxa" w:w="1440"/>
            <w:vAlign w:val="center"/>
            <w:shd w:val="clear" w:color="auto" w:fill="2F5597"/>
          </w:tcPr>
          <w:p>
            <w:pPr>
              <w:spacing w:after="0"/>
            </w:pPr>
            <w:r/>
            <w:r>
              <w:rPr>
                <w:rFonts w:ascii="Calibri" w:hAnsi="Calibri"/>
                <w:b/>
                <w:color w:val="FFFFFF"/>
                <w:sz w:val="18"/>
              </w:rPr>
              <w:t>Fields</w:t>
            </w:r>
          </w:p>
        </w:tc>
        <w:tc>
          <w:tcPr>
            <w:tcW w:type="dxa" w:w="1440"/>
            <w:vAlign w:val="center"/>
            <w:shd w:val="clear" w:color="auto" w:fill="2F5597"/>
          </w:tcPr>
          <w:p>
            <w:pPr>
              <w:spacing w:after="0"/>
            </w:pPr>
            <w:r/>
            <w:r>
              <w:rPr>
                <w:rFonts w:ascii="Calibri" w:hAnsi="Calibri"/>
                <w:b/>
                <w:color w:val="FFFFFF"/>
                <w:sz w:val="18"/>
              </w:rPr>
              <w:t>% of 122</w:t>
            </w:r>
          </w:p>
        </w:tc>
      </w:tr>
      <w:tr>
        <w:tc>
          <w:tcPr>
            <w:tcW w:type="dxa" w:w="5760"/>
            <w:vAlign w:val="center"/>
            <w:shd w:val="clear" w:color="auto" w:fill="F2F2F2"/>
          </w:tcPr>
          <w:p>
            <w:pPr>
              <w:spacing w:after="0"/>
            </w:pPr>
            <w:r/>
            <w:r>
              <w:rPr>
                <w:rFonts w:ascii="Calibri" w:hAnsi="Calibri"/>
                <w:b w:val="0"/>
                <w:color w:val="0B0B0B"/>
                <w:sz w:val="18"/>
              </w:rPr>
              <w:t>General — applies to all three instrument types</w:t>
            </w:r>
          </w:p>
        </w:tc>
        <w:tc>
          <w:tcPr>
            <w:tcW w:type="dxa" w:w="1440"/>
            <w:vAlign w:val="center"/>
            <w:shd w:val="clear" w:color="auto" w:fill="F2F2F2"/>
          </w:tcPr>
          <w:p>
            <w:pPr>
              <w:spacing w:after="0"/>
            </w:pPr>
            <w:r/>
            <w:r>
              <w:rPr>
                <w:rFonts w:ascii="Calibri" w:hAnsi="Calibri"/>
                <w:b w:val="0"/>
                <w:color w:val="0B0B0B"/>
                <w:sz w:val="18"/>
              </w:rPr>
              <w:t>96</w:t>
            </w:r>
          </w:p>
        </w:tc>
        <w:tc>
          <w:tcPr>
            <w:tcW w:type="dxa" w:w="1440"/>
            <w:vAlign w:val="center"/>
            <w:shd w:val="clear" w:color="auto" w:fill="F2F2F2"/>
          </w:tcPr>
          <w:p>
            <w:pPr>
              <w:spacing w:after="0"/>
            </w:pPr>
            <w:r/>
            <w:r>
              <w:rPr>
                <w:rFonts w:ascii="Calibri" w:hAnsi="Calibri"/>
                <w:b w:val="0"/>
                <w:color w:val="0B0B0B"/>
                <w:sz w:val="18"/>
              </w:rPr>
              <w:t>78.7%</w:t>
            </w:r>
          </w:p>
        </w:tc>
      </w:tr>
      <w:tr>
        <w:tc>
          <w:tcPr>
            <w:tcW w:type="dxa" w:w="5760"/>
            <w:vAlign w:val="center"/>
          </w:tcPr>
          <w:p>
            <w:pPr>
              <w:spacing w:after="0"/>
            </w:pPr>
            <w:r/>
            <w:r>
              <w:rPr>
                <w:rFonts w:ascii="Calibri" w:hAnsi="Calibri"/>
                <w:b w:val="0"/>
                <w:color w:val="0B0B0B"/>
                <w:sz w:val="18"/>
              </w:rPr>
              <w:t>MC-ICP-MS only</w:t>
            </w:r>
          </w:p>
        </w:tc>
        <w:tc>
          <w:tcPr>
            <w:tcW w:type="dxa" w:w="1440"/>
            <w:vAlign w:val="center"/>
          </w:tcPr>
          <w:p>
            <w:pPr>
              <w:spacing w:after="0"/>
            </w:pPr>
            <w:r/>
            <w:r>
              <w:rPr>
                <w:rFonts w:ascii="Calibri" w:hAnsi="Calibri"/>
                <w:b w:val="0"/>
                <w:color w:val="0B0B0B"/>
                <w:sz w:val="18"/>
              </w:rPr>
              <w:t>13</w:t>
            </w:r>
          </w:p>
        </w:tc>
        <w:tc>
          <w:tcPr>
            <w:tcW w:type="dxa" w:w="1440"/>
            <w:vAlign w:val="center"/>
          </w:tcPr>
          <w:p>
            <w:pPr>
              <w:spacing w:after="0"/>
            </w:pPr>
            <w:r/>
            <w:r>
              <w:rPr>
                <w:rFonts w:ascii="Calibri" w:hAnsi="Calibri"/>
                <w:b w:val="0"/>
                <w:color w:val="0B0B0B"/>
                <w:sz w:val="18"/>
              </w:rPr>
              <w:t>10.7%</w:t>
            </w:r>
          </w:p>
        </w:tc>
      </w:tr>
      <w:tr>
        <w:tc>
          <w:tcPr>
            <w:tcW w:type="dxa" w:w="5760"/>
            <w:vAlign w:val="center"/>
          </w:tcPr>
          <w:p>
            <w:pPr>
              <w:spacing w:after="0"/>
            </w:pPr>
            <w:r/>
            <w:r>
              <w:rPr>
                <w:rFonts w:ascii="Calibri" w:hAnsi="Calibri"/>
                <w:b w:val="0"/>
                <w:color w:val="0B0B0B"/>
                <w:sz w:val="18"/>
              </w:rPr>
              <w:t>Q-ICP-MS + MC-ICP-MS (not SF)</w:t>
            </w:r>
          </w:p>
        </w:tc>
        <w:tc>
          <w:tcPr>
            <w:tcW w:type="dxa" w:w="1440"/>
            <w:vAlign w:val="center"/>
          </w:tcPr>
          <w:p>
            <w:pPr>
              <w:spacing w:after="0"/>
            </w:pPr>
            <w:r/>
            <w:r>
              <w:rPr>
                <w:rFonts w:ascii="Calibri" w:hAnsi="Calibri"/>
                <w:b w:val="0"/>
                <w:color w:val="0B0B0B"/>
                <w:sz w:val="18"/>
              </w:rPr>
              <w:t>6</w:t>
            </w:r>
          </w:p>
        </w:tc>
        <w:tc>
          <w:tcPr>
            <w:tcW w:type="dxa" w:w="1440"/>
            <w:vAlign w:val="center"/>
          </w:tcPr>
          <w:p>
            <w:pPr>
              <w:spacing w:after="0"/>
            </w:pPr>
            <w:r/>
            <w:r>
              <w:rPr>
                <w:rFonts w:ascii="Calibri" w:hAnsi="Calibri"/>
                <w:b w:val="0"/>
                <w:color w:val="0B0B0B"/>
                <w:sz w:val="18"/>
              </w:rPr>
              <w:t>4.9%</w:t>
            </w:r>
          </w:p>
        </w:tc>
      </w:tr>
      <w:tr>
        <w:tc>
          <w:tcPr>
            <w:tcW w:type="dxa" w:w="5760"/>
            <w:vAlign w:val="center"/>
          </w:tcPr>
          <w:p>
            <w:pPr>
              <w:spacing w:after="0"/>
            </w:pPr>
            <w:r/>
            <w:r>
              <w:rPr>
                <w:rFonts w:ascii="Calibri" w:hAnsi="Calibri"/>
                <w:b w:val="0"/>
                <w:color w:val="0B0B0B"/>
                <w:sz w:val="18"/>
              </w:rPr>
              <w:t>SF-ICP-MS only</w:t>
            </w:r>
          </w:p>
        </w:tc>
        <w:tc>
          <w:tcPr>
            <w:tcW w:type="dxa" w:w="1440"/>
            <w:vAlign w:val="center"/>
          </w:tcPr>
          <w:p>
            <w:pPr>
              <w:spacing w:after="0"/>
            </w:pPr>
            <w:r/>
            <w:r>
              <w:rPr>
                <w:rFonts w:ascii="Calibri" w:hAnsi="Calibri"/>
                <w:b w:val="0"/>
                <w:color w:val="0B0B0B"/>
                <w:sz w:val="18"/>
              </w:rPr>
              <w:t>3</w:t>
            </w:r>
          </w:p>
        </w:tc>
        <w:tc>
          <w:tcPr>
            <w:tcW w:type="dxa" w:w="1440"/>
            <w:vAlign w:val="center"/>
          </w:tcPr>
          <w:p>
            <w:pPr>
              <w:spacing w:after="0"/>
            </w:pPr>
            <w:r/>
            <w:r>
              <w:rPr>
                <w:rFonts w:ascii="Calibri" w:hAnsi="Calibri"/>
                <w:b w:val="0"/>
                <w:color w:val="0B0B0B"/>
                <w:sz w:val="18"/>
              </w:rPr>
              <w:t>2.5%</w:t>
            </w:r>
          </w:p>
        </w:tc>
      </w:tr>
      <w:tr>
        <w:tc>
          <w:tcPr>
            <w:tcW w:type="dxa" w:w="5760"/>
            <w:vAlign w:val="center"/>
          </w:tcPr>
          <w:p>
            <w:pPr>
              <w:spacing w:after="0"/>
            </w:pPr>
            <w:r/>
            <w:r>
              <w:rPr>
                <w:rFonts w:ascii="Calibri" w:hAnsi="Calibri"/>
                <w:b w:val="0"/>
                <w:color w:val="0B0B0B"/>
                <w:sz w:val="18"/>
              </w:rPr>
              <w:t>Q-ICP-MS + SF-ICP-MS (not MC)</w:t>
            </w:r>
          </w:p>
        </w:tc>
        <w:tc>
          <w:tcPr>
            <w:tcW w:type="dxa" w:w="1440"/>
            <w:vAlign w:val="center"/>
          </w:tcPr>
          <w:p>
            <w:pPr>
              <w:spacing w:after="0"/>
            </w:pPr>
            <w:r/>
            <w:r>
              <w:rPr>
                <w:rFonts w:ascii="Calibri" w:hAnsi="Calibri"/>
                <w:b w:val="0"/>
                <w:color w:val="0B0B0B"/>
                <w:sz w:val="18"/>
              </w:rPr>
              <w:t>3</w:t>
            </w:r>
          </w:p>
        </w:tc>
        <w:tc>
          <w:tcPr>
            <w:tcW w:type="dxa" w:w="1440"/>
            <w:vAlign w:val="center"/>
          </w:tcPr>
          <w:p>
            <w:pPr>
              <w:spacing w:after="0"/>
            </w:pPr>
            <w:r/>
            <w:r>
              <w:rPr>
                <w:rFonts w:ascii="Calibri" w:hAnsi="Calibri"/>
                <w:b w:val="0"/>
                <w:color w:val="0B0B0B"/>
                <w:sz w:val="18"/>
              </w:rPr>
              <w:t>2.5%</w:t>
            </w:r>
          </w:p>
        </w:tc>
      </w:tr>
      <w:tr>
        <w:tc>
          <w:tcPr>
            <w:tcW w:type="dxa" w:w="5760"/>
            <w:vAlign w:val="center"/>
          </w:tcPr>
          <w:p>
            <w:pPr>
              <w:spacing w:after="0"/>
            </w:pPr>
            <w:r/>
            <w:r>
              <w:rPr>
                <w:rFonts w:ascii="Calibri" w:hAnsi="Calibri"/>
                <w:b w:val="0"/>
                <w:color w:val="0B0B0B"/>
                <w:sz w:val="18"/>
              </w:rPr>
              <w:t>Q-ICP-MS only</w:t>
            </w:r>
          </w:p>
        </w:tc>
        <w:tc>
          <w:tcPr>
            <w:tcW w:type="dxa" w:w="1440"/>
            <w:vAlign w:val="center"/>
          </w:tcPr>
          <w:p>
            <w:pPr>
              <w:spacing w:after="0"/>
            </w:pPr>
            <w:r/>
            <w:r>
              <w:rPr>
                <w:rFonts w:ascii="Calibri" w:hAnsi="Calibri"/>
                <w:b w:val="0"/>
                <w:color w:val="0B0B0B"/>
                <w:sz w:val="18"/>
              </w:rPr>
              <w:t>1</w:t>
            </w:r>
          </w:p>
        </w:tc>
        <w:tc>
          <w:tcPr>
            <w:tcW w:type="dxa" w:w="1440"/>
            <w:vAlign w:val="center"/>
          </w:tcPr>
          <w:p>
            <w:pPr>
              <w:spacing w:after="0"/>
            </w:pPr>
            <w:r/>
            <w:r>
              <w:rPr>
                <w:rFonts w:ascii="Calibri" w:hAnsi="Calibri"/>
                <w:b w:val="0"/>
                <w:color w:val="0B0B0B"/>
                <w:sz w:val="18"/>
              </w:rPr>
              <w:t>0.8%</w:t>
            </w:r>
          </w:p>
        </w:tc>
      </w:tr>
    </w:tbl>
    <w:p>
      <w:pPr>
        <w:spacing w:after="320" w:before="80"/>
      </w:pPr>
      <w:r>
        <w:rPr>
          <w:rFonts w:ascii="Calibri" w:hAnsi="Calibri"/>
          <w:b w:val="0"/>
          <w:i/>
          <w:color w:val="52514E"/>
          <w:sz w:val="18"/>
        </w:rPr>
        <w:t>Table 8. Field classification by ICP-MS instrument-type applicability (v6). The Q-ICP-MS + MC-ICP-MS and Q-ICP-MS-only rows reflect the collision/reaction-cell reclassification described in Section 6.5.</w:t>
      </w:r>
    </w:p>
    <w:tbl>
      <w:tblPr>
        <w:tblStyle w:val="TableGrid"/>
        <w:tblW w:type="auto" w:w="0"/>
        <w:tblLayout w:type="fixed"/>
        <w:tblLook w:firstColumn="1" w:firstRow="1" w:lastColumn="0" w:lastRow="0" w:noHBand="0" w:noVBand="1" w:val="04A0"/>
      </w:tblPr>
      <w:tblGrid>
        <w:gridCol w:w="3456"/>
        <w:gridCol w:w="3456"/>
        <w:gridCol w:w="3456"/>
      </w:tblGrid>
      <w:tr>
        <w:tc>
          <w:tcPr>
            <w:tcW w:type="dxa" w:w="5760"/>
            <w:vAlign w:val="center"/>
            <w:shd w:val="clear" w:color="auto" w:fill="2F5597"/>
          </w:tcPr>
          <w:p>
            <w:pPr>
              <w:spacing w:after="0"/>
            </w:pPr>
            <w:r/>
            <w:r>
              <w:rPr>
                <w:rFonts w:ascii="Calibri" w:hAnsi="Calibri"/>
                <w:b/>
                <w:color w:val="FFFFFF"/>
                <w:sz w:val="18"/>
              </w:rPr>
              <w:t>Sub-TAPP</w:t>
            </w:r>
          </w:p>
        </w:tc>
        <w:tc>
          <w:tcPr>
            <w:tcW w:type="dxa" w:w="2160"/>
            <w:vAlign w:val="center"/>
            <w:shd w:val="clear" w:color="auto" w:fill="2F5597"/>
          </w:tcPr>
          <w:p>
            <w:pPr>
              <w:spacing w:after="0"/>
            </w:pPr>
            <w:r/>
            <w:r>
              <w:rPr>
                <w:rFonts w:ascii="Calibri" w:hAnsi="Calibri"/>
                <w:b/>
                <w:color w:val="FFFFFF"/>
                <w:sz w:val="18"/>
              </w:rPr>
              <w:t>Fields retained</w:t>
            </w:r>
          </w:p>
        </w:tc>
        <w:tc>
          <w:tcPr>
            <w:tcW w:type="dxa" w:w="2160"/>
            <w:vAlign w:val="center"/>
            <w:shd w:val="clear" w:color="auto" w:fill="2F5597"/>
          </w:tcPr>
          <w:p>
            <w:pPr>
              <w:spacing w:after="0"/>
            </w:pPr>
            <w:r/>
            <w:r>
              <w:rPr>
                <w:rFonts w:ascii="Calibri" w:hAnsi="Calibri"/>
                <w:b/>
                <w:color w:val="FFFFFF"/>
                <w:sz w:val="18"/>
              </w:rPr>
              <w:t>% of full TAPP</w:t>
            </w:r>
          </w:p>
        </w:tc>
      </w:tr>
      <w:tr>
        <w:tc>
          <w:tcPr>
            <w:tcW w:type="dxa" w:w="5760"/>
            <w:vAlign w:val="center"/>
          </w:tcPr>
          <w:p>
            <w:pPr>
              <w:spacing w:after="0"/>
            </w:pPr>
            <w:r/>
            <w:r>
              <w:rPr>
                <w:rFonts w:ascii="Calibri" w:hAnsi="Calibri"/>
                <w:b w:val="0"/>
                <w:color w:val="0B0B0B"/>
                <w:sz w:val="18"/>
              </w:rPr>
              <w:t>Q-ICP-MS</w:t>
            </w:r>
          </w:p>
        </w:tc>
        <w:tc>
          <w:tcPr>
            <w:tcW w:type="dxa" w:w="2160"/>
            <w:vAlign w:val="center"/>
          </w:tcPr>
          <w:p>
            <w:pPr>
              <w:spacing w:after="0"/>
            </w:pPr>
            <w:r/>
            <w:r>
              <w:rPr>
                <w:rFonts w:ascii="Calibri" w:hAnsi="Calibri"/>
                <w:b w:val="0"/>
                <w:color w:val="0B0B0B"/>
                <w:sz w:val="18"/>
              </w:rPr>
              <w:t>106</w:t>
            </w:r>
          </w:p>
        </w:tc>
        <w:tc>
          <w:tcPr>
            <w:tcW w:type="dxa" w:w="2160"/>
            <w:vAlign w:val="center"/>
          </w:tcPr>
          <w:p>
            <w:pPr>
              <w:spacing w:after="0"/>
            </w:pPr>
            <w:r/>
            <w:r>
              <w:rPr>
                <w:rFonts w:ascii="Calibri" w:hAnsi="Calibri"/>
                <w:b w:val="0"/>
                <w:color w:val="0B0B0B"/>
                <w:sz w:val="18"/>
              </w:rPr>
              <w:t>86.9%</w:t>
            </w:r>
          </w:p>
        </w:tc>
      </w:tr>
      <w:tr>
        <w:tc>
          <w:tcPr>
            <w:tcW w:type="dxa" w:w="5760"/>
            <w:vAlign w:val="center"/>
          </w:tcPr>
          <w:p>
            <w:pPr>
              <w:spacing w:after="0"/>
            </w:pPr>
            <w:r/>
            <w:r>
              <w:rPr>
                <w:rFonts w:ascii="Calibri" w:hAnsi="Calibri"/>
                <w:b w:val="0"/>
                <w:color w:val="0B0B0B"/>
                <w:sz w:val="18"/>
              </w:rPr>
              <w:t>SF-ICP-MS</w:t>
            </w:r>
          </w:p>
        </w:tc>
        <w:tc>
          <w:tcPr>
            <w:tcW w:type="dxa" w:w="2160"/>
            <w:vAlign w:val="center"/>
          </w:tcPr>
          <w:p>
            <w:pPr>
              <w:spacing w:after="0"/>
            </w:pPr>
            <w:r/>
            <w:r>
              <w:rPr>
                <w:rFonts w:ascii="Calibri" w:hAnsi="Calibri"/>
                <w:b w:val="0"/>
                <w:color w:val="0B0B0B"/>
                <w:sz w:val="18"/>
              </w:rPr>
              <w:t>102</w:t>
            </w:r>
          </w:p>
        </w:tc>
        <w:tc>
          <w:tcPr>
            <w:tcW w:type="dxa" w:w="2160"/>
            <w:vAlign w:val="center"/>
          </w:tcPr>
          <w:p>
            <w:pPr>
              <w:spacing w:after="0"/>
            </w:pPr>
            <w:r/>
            <w:r>
              <w:rPr>
                <w:rFonts w:ascii="Calibri" w:hAnsi="Calibri"/>
                <w:b w:val="0"/>
                <w:color w:val="0B0B0B"/>
                <w:sz w:val="18"/>
              </w:rPr>
              <w:t>83.6%</w:t>
            </w:r>
          </w:p>
        </w:tc>
      </w:tr>
      <w:tr>
        <w:tc>
          <w:tcPr>
            <w:tcW w:type="dxa" w:w="5760"/>
            <w:vAlign w:val="center"/>
          </w:tcPr>
          <w:p>
            <w:pPr>
              <w:spacing w:after="0"/>
            </w:pPr>
            <w:r/>
            <w:r>
              <w:rPr>
                <w:rFonts w:ascii="Calibri" w:hAnsi="Calibri"/>
                <w:b w:val="0"/>
                <w:color w:val="0B0B0B"/>
                <w:sz w:val="18"/>
              </w:rPr>
              <w:t>MC-ICP-MS</w:t>
            </w:r>
          </w:p>
        </w:tc>
        <w:tc>
          <w:tcPr>
            <w:tcW w:type="dxa" w:w="2160"/>
            <w:vAlign w:val="center"/>
          </w:tcPr>
          <w:p>
            <w:pPr>
              <w:spacing w:after="0"/>
            </w:pPr>
            <w:r/>
            <w:r>
              <w:rPr>
                <w:rFonts w:ascii="Calibri" w:hAnsi="Calibri"/>
                <w:b w:val="0"/>
                <w:color w:val="0B0B0B"/>
                <w:sz w:val="18"/>
              </w:rPr>
              <w:t>109</w:t>
            </w:r>
          </w:p>
        </w:tc>
        <w:tc>
          <w:tcPr>
            <w:tcW w:type="dxa" w:w="2160"/>
            <w:vAlign w:val="center"/>
          </w:tcPr>
          <w:p>
            <w:pPr>
              <w:spacing w:after="0"/>
            </w:pPr>
            <w:r/>
            <w:r>
              <w:rPr>
                <w:rFonts w:ascii="Calibri" w:hAnsi="Calibri"/>
                <w:b w:val="0"/>
                <w:color w:val="0B0B0B"/>
                <w:sz w:val="18"/>
              </w:rPr>
              <w:t>89.3%</w:t>
            </w:r>
          </w:p>
        </w:tc>
      </w:tr>
    </w:tbl>
    <w:p>
      <w:pPr>
        <w:spacing w:after="320" w:before="80"/>
      </w:pPr>
      <w:r>
        <w:rPr>
          <w:rFonts w:ascii="Calibri" w:hAnsi="Calibri"/>
          <w:b w:val="0"/>
          <w:i/>
          <w:color w:val="52514E"/>
          <w:sz w:val="18"/>
        </w:rPr>
        <w:t>Table 9. Size of each filtered sub-TAPP.</w:t>
      </w:r>
    </w:p>
    <w:p>
      <w:pPr>
        <w:spacing w:after="160"/>
      </w:pPr>
      <w:r>
        <w:rPr>
          <w:rFonts w:ascii="Calibri" w:hAnsi="Calibri"/>
          <w:b w:val="0"/>
          <w:i w:val="0"/>
          <w:color w:val="0B0B0B"/>
          <w:sz w:val="22"/>
        </w:rPr>
        <w:t>Each instrument-specific sub-TAPP retains 84–89% of the full field set — the separation is clean in the sense that no group ends up empty or degenerate for any instrument, but it also demonstrates that there is no fundamentally different metadata schema per instrument. What differs is a well-bounded set of hardware and acquisition-architecture fields, not the technique’s conceptual core (sample handling, laser operation, common-Pb correction, calibration, and QC are shared by all three).</w:t>
      </w:r>
    </w:p>
    <w:p>
      <w:pPr>
        <w:pStyle w:val="Heading2"/>
      </w:pPr>
      <w:r>
        <w:t>6.3 A structural finding: parent fields can be general even when their detail is instrument-scoped</w:t>
      </w:r>
    </w:p>
    <w:p>
      <w:pPr>
        <w:spacing w:after="160"/>
      </w:pPr>
      <w:r>
        <w:rPr>
          <w:rFonts w:ascii="Calibri" w:hAnsi="Calibri"/>
          <w:b w:val="0"/>
          <w:i w:val="0"/>
          <w:color w:val="0B0B0B"/>
          <w:sz w:val="22"/>
        </w:rPr>
        <w:t>The clearest illustration from this exercise is the mass-bias-correction field cluster. The top-level strategy field (“Mass Bias Correction Strategy” — sample-standard bracketing, double-spike, internal normalization, or a combination) applies to every instrument type, since every procedure needs some strategy. Its detail companions — “Internal Normalization Element and Isotope Ratio” and the double-spike trio — are practically MC-ICP-MS-only, because typical dry-aerosol quadrupole or sector-field geochronology corrects mass bias via sample-standard bracketing and never touches either. A single field can therefore have a universal parent concept with practically instrument-scoped children; blanket-tagging a whole related cluster as “instrument-specific” would have missed this.</w:t>
      </w:r>
    </w:p>
    <w:p>
      <w:pPr>
        <w:pStyle w:val="Heading2"/>
      </w:pPr>
      <w:r>
        <w:t>6.4 Implication for TAPP architecture</w:t>
      </w:r>
    </w:p>
    <w:p>
      <w:pPr>
        <w:spacing w:after="160"/>
      </w:pPr>
      <w:r>
        <w:rPr>
          <w:rFonts w:ascii="Calibri" w:hAnsi="Calibri"/>
          <w:b w:val="0"/>
          <w:i w:val="0"/>
          <w:color w:val="0B0B0B"/>
          <w:sz w:val="22"/>
        </w:rPr>
        <w:t>This project’s existing convention already keeps quadrupole and sector-field trace-element work inside one combined TAPP (LA-Q/SF-ICP-MS), splitting out only multi-collector work as a separate future TAPP. The result above is a direct, data-backed argument for extending the same logic to geochronology: given that 78.7% of fields are fully shared and no instrument-specific cluster exceeds 13 fields, three parallel documents would duplicate the vast majority of their content. The flag-column mechanism demonstrated here — not three separate TAPPs — is recommended as the production path for instrument-based field filtering.</w:t>
      </w:r>
    </w:p>
    <w:p>
      <w:pPr>
        <w:pStyle w:val="Heading2"/>
      </w:pPr>
      <w:r>
        <w:t>6.5 Postscript (2026-07-29): collision/reaction cells on modern MC-ICP-MS</w:t>
      </w:r>
    </w:p>
    <w:p>
      <w:pPr>
        <w:spacing w:after="160"/>
      </w:pPr>
      <w:r>
        <w:rPr>
          <w:rFonts w:ascii="Calibri" w:hAnsi="Calibri"/>
          <w:b w:val="0"/>
          <w:i w:val="0"/>
          <w:color w:val="0B0B0B"/>
          <w:sz w:val="22"/>
        </w:rPr>
        <w:t>A follow-up question after this experiment’s initial results noted that a small number of modern MC-ICP-MS instruments — Nu Instruments Sapphire and Thermo Scientific Neoma MS/MS — carry a hexapole collision/reaction cell (CRC), the same interference-suppression technology this TAPP’s CRC-cluster fields (Section 5.2) were originally scoped to quadrupole instruments only, inheriting that scope from LA-Q/SF-ICP-MS TAPP. Verified against both instruments’ published specifications: six of the seven CRC-cluster fields were reclassified in v6 from Q-ICP-MS-only to Q-ICP-MS + MC-ICP-MS (Table 8 and Figure 2 reflect this update). The seventh, Signal Collection Mode, was confirmed to remain Q-ICP-MS-only: even a CRC-equipped MC-ICP-MS still performs genuinely simultaneous multi-collection, so sequential peak-hopping/scanning does not apply regardless of whether a cell is present upstream. The same six fields were added new to Solution MC-ICP-MS TAPP (v4→v5), which previously had no CRC-related fields at all. No change was warranted for single-collector SF-ICP-MS, which shows no evidence of CRC adoption in current commercial instruments and remains purely resolution-based.</w:t>
      </w:r>
    </w:p>
    <w:p>
      <w:pPr>
        <w:spacing w:after="160"/>
      </w:pPr>
      <w:r>
        <w:rPr>
          <w:rFonts w:ascii="Calibri" w:hAnsi="Calibri"/>
          <w:b w:val="0"/>
          <w:i w:val="0"/>
          <w:color w:val="0B0B0B"/>
          <w:sz w:val="22"/>
        </w:rPr>
        <w:t>A related, more novel finding did not lead to a field change: Neoma MS/MS’s pre-cell mass filter is a double Wien filter (a crossed electric/magnetic-field velocity selector), not a quadrupole, and has no corresponding field in any TAPP in this library. It is noted here as a candidate for future field development rather than implemented in this pass. Taken together, this postscript is offered as a small demonstration of the workflow’s ability to incorporate a specific, evidence-based correction once a domain expert raises it, without disturbing the surrounding TAPP structure.</w:t>
      </w:r>
    </w:p>
    <w:p>
      <w:r>
        <w:br w:type="page"/>
      </w:r>
    </w:p>
    <w:p>
      <w:pPr>
        <w:pStyle w:val="Heading1"/>
      </w:pPr>
      <w:r>
        <w:t>7. Lessons Learned</w:t>
      </w:r>
    </w:p>
    <w:p>
      <w:pPr>
        <w:pStyle w:val="Heading2"/>
      </w:pPr>
      <w:r>
        <w:t>7.1 Process lessons for future TAPP comparisons</w:t>
      </w:r>
    </w:p>
    <w:p>
      <w:pPr>
        <w:spacing w:after="160"/>
      </w:pPr>
      <w:r>
        <w:rPr>
          <w:rFonts w:ascii="Calibri" w:hAnsi="Calibri"/>
          <w:b/>
          <w:i w:val="0"/>
          <w:color w:val="0B0B0B"/>
          <w:sz w:val="22"/>
        </w:rPr>
        <w:t>Always check a TAPP's own development log before treating a cross-TAPP field discrepancy as a bug.</w:t>
      </w:r>
    </w:p>
    <w:p>
      <w:pPr>
        <w:spacing w:after="160"/>
      </w:pPr>
      <w:r>
        <w:rPr>
          <w:rFonts w:ascii="Calibri" w:hAnsi="Calibri"/>
          <w:b w:val="0"/>
          <w:i w:val="0"/>
          <w:color w:val="0B0B0B"/>
          <w:sz w:val="22"/>
        </w:rPr>
        <w:t>Two of three apparent tier inconsistencies found between this TAPP and LA-Q/SF-ICP-MS turned out to be intentional, already-documented design decisions from a prior consistency pass (a Guard Electrode tier difference justified by solid-sample ablation producing larger plasma load fluctuations; a Dwell Time per Mass tier difference justified by mapping mode requiring analyst adjustment, a mode solution ICP-MS does not have). Only the third — a stale field description contradicting its own tier — was a genuine bug. Reading the target TAPP’s own change history before proposing a fix would have avoided drafting two incorrect reversions.</w:t>
      </w:r>
    </w:p>
    <w:p>
      <w:pPr>
        <w:spacing w:after="160"/>
      </w:pPr>
      <w:r>
        <w:rPr>
          <w:rFonts w:ascii="Calibri" w:hAnsi="Calibri"/>
          <w:b/>
          <w:i w:val="0"/>
          <w:color w:val="0B0B0B"/>
          <w:sz w:val="22"/>
        </w:rPr>
        <w:t>When comparing against a new reference TAPP, re-run the full three-way check against the target’s existing fields, not just a name-match check.</w:t>
      </w:r>
    </w:p>
    <w:p>
      <w:pPr>
        <w:spacing w:after="160"/>
      </w:pPr>
      <w:r>
        <w:rPr>
          <w:rFonts w:ascii="Calibri" w:hAnsi="Calibri"/>
          <w:b w:val="0"/>
          <w:i w:val="0"/>
          <w:color w:val="0B0B0B"/>
          <w:sz w:val="22"/>
        </w:rPr>
        <w:t>A field from Solution MC-ICP-MS (“Mass Bias Correction Strategy”) was initially logged as “no equivalent, correctly domain-specific” against this TAPP’s own “Mass Discrimination” field, when it was in fact a split candidate at a different level of granularity — the same class of relationship correctly identified in an earlier comparison round against a different reference TAPP. The lesson generalizes: 1:1 match, split-of-an-existing-field, and genuinely-absent are three distinct outcomes, and skipping the middle category is an easy, repeatable mistake when moving to a new comparison target.</w:t>
      </w:r>
    </w:p>
    <w:p>
      <w:pPr>
        <w:spacing w:after="160"/>
      </w:pPr>
      <w:r>
        <w:rPr>
          <w:rFonts w:ascii="Calibri" w:hAnsi="Calibri"/>
          <w:b/>
          <w:i w:val="0"/>
          <w:color w:val="0B0B0B"/>
          <w:sz w:val="22"/>
        </w:rPr>
        <w:t>Verify which file is actually current before comparing against or retrofitting it.</w:t>
      </w:r>
    </w:p>
    <w:p>
      <w:pPr>
        <w:spacing w:after="160"/>
      </w:pPr>
      <w:r>
        <w:rPr>
          <w:rFonts w:ascii="Calibri" w:hAnsi="Calibri"/>
          <w:b w:val="0"/>
          <w:i w:val="0"/>
          <w:color w:val="0B0B0B"/>
          <w:sz w:val="22"/>
        </w:rPr>
        <w:t>An early comparison pass was run against a file that appeared current (highest version number, recent-looking timestamp) but was in fact a stale, frozen branch of the same TAPP lineage under an old folder name, abandoned after a mid-project rename with no further real development. The comparison had to be rebuilt once this was discovered via direct file-timestamp and field-overlap verification. The general rule: confirm the actual current version of any file with direct evidence (timestamps, content diffs) rather than trusting a filename, a version number, or a prior session’s memory of what was current.</w:t>
      </w:r>
    </w:p>
    <w:p>
      <w:pPr>
        <w:pStyle w:val="Heading2"/>
      </w:pPr>
      <w:r>
        <w:t>7.2 A durable outcome: a new mandatory cross-TAPP field</w:t>
      </w:r>
    </w:p>
    <w:p>
      <w:pPr>
        <w:spacing w:after="160"/>
      </w:pPr>
      <w:r>
        <w:rPr>
          <w:rFonts w:ascii="Calibri" w:hAnsi="Calibri"/>
          <w:b w:val="0"/>
          <w:i w:val="0"/>
          <w:color w:val="0B0B0B"/>
          <w:sz w:val="22"/>
        </w:rPr>
        <w:t>Table 3's own data-reporting companion table (Table 4) carries a footnote citing the decay constants used in age calculation — information the metadata template (Table 3) itself never asks for as a structured item. This gap generalizes beyond geochronology: any technique whose final reported quantity depends on a citable, periodically-revised physical constant (decay constants, standard isotope ratios such as the ²³⁸U/²³⁵U value revised by Hiess et al. 2012) needs the same traceability. A new field, “Constants and Reference Values Used,” was accordingly proposed and has since been adopted as a mandatory field (Rule 5 in this project’s cross-TAPP conventions) across all TAPPs in the library, not only the geochronology test TAPP that surfaced the need.</w:t>
      </w:r>
    </w:p>
    <w:p>
      <w:r>
        <w:br w:type="page"/>
      </w:r>
    </w:p>
    <w:p>
      <w:pPr>
        <w:pStyle w:val="Heading1"/>
      </w:pPr>
      <w:r>
        <w:t>8. Conclusions</w:t>
      </w:r>
    </w:p>
    <w:p>
      <w:pPr>
        <w:pStyle w:val="ListBullet"/>
        <w:spacing w:after="80"/>
        <w:ind w:left="360"/>
      </w:pPr>
      <w:r>
        <w:rPr>
          <w:rFonts w:ascii="Calibri" w:hAnsi="Calibri"/>
          <w:color w:val="0B0B0B"/>
          <w:sz w:val="22"/>
        </w:rPr>
        <w:t>A LA-ICP-MS U-(Th-)Pb Geochronology TAPP built entirely from a 100%-human, workshop-derived community reporting standard (Horstwood et al. 2016) overlaps substantially with this project’s existing AI-led ICP-MS TAPPs: 78.8% of Table 3’s comparable metadata items were already fully or partially captured before the paper was consulted.</w:t>
      </w:r>
    </w:p>
    <w:p>
      <w:pPr>
        <w:pStyle w:val="ListBullet"/>
        <w:spacing w:after="80"/>
        <w:ind w:left="360"/>
      </w:pPr>
      <w:r>
        <w:rPr>
          <w:rFonts w:ascii="Calibri" w:hAnsi="Calibri"/>
          <w:color w:val="0B0B0B"/>
          <w:sz w:val="22"/>
        </w:rPr>
        <w:t>Where gaps exist, they concentrate in two identifiable themes — plasma-interference QC monitoring and signal-selection/interference-correction provenance — rather than appearing as scattered, unexplained omissions, and one of the seven misses (common-Pb correction) is an expected scope boundary rather than a shortfall.</w:t>
      </w:r>
    </w:p>
    <w:p>
      <w:pPr>
        <w:pStyle w:val="ListBullet"/>
        <w:spacing w:after="80"/>
        <w:ind w:left="360"/>
      </w:pPr>
      <w:r>
        <w:rPr>
          <w:rFonts w:ascii="Calibri" w:hAnsi="Calibri"/>
          <w:color w:val="0B0B0B"/>
          <w:sz w:val="22"/>
        </w:rPr>
        <w:t>The pattern of agreement and divergence is better explained by production-process asymmetry (a multiply-revised living document compared against a static, deliberately minimal, decade-old standard) than by any geochronology-specific blind spot in the AI-assisted workflow.</w:t>
      </w:r>
    </w:p>
    <w:p>
      <w:pPr>
        <w:pStyle w:val="ListBullet"/>
        <w:spacing w:after="80"/>
        <w:ind w:left="360"/>
      </w:pPr>
      <w:r>
        <w:rPr>
          <w:rFonts w:ascii="Calibri" w:hAnsi="Calibri"/>
          <w:color w:val="0B0B0B"/>
          <w:sz w:val="22"/>
        </w:rPr>
        <w:t>Splitting the resulting TAPP by ICP-MS instrument type is mechanically clean, but the result argues against doing so in production: 78.7% of fields are fully general across quadrupole, sector-field, and multi-collector instruments, supporting the existing project convention of keeping related instrument variants inside one TAPP with instrument-aware field flags rather than as separate documents.</w:t>
      </w:r>
    </w:p>
    <w:p>
      <w:pPr>
        <w:pStyle w:val="ListBullet"/>
        <w:spacing w:after="80"/>
        <w:ind w:left="360"/>
      </w:pPr>
      <w:r>
        <w:rPr>
          <w:rFonts w:ascii="Calibri" w:hAnsi="Calibri"/>
          <w:color w:val="0B0B0B"/>
          <w:sz w:val="22"/>
        </w:rPr>
        <w:t>The exercise produced one concrete, durable improvement to the TAPP library independent of the comparison itself: a new mandatory field for traceability of citable physical constants, now adopted project-wide.</w:t>
      </w:r>
    </w:p>
    <w:p>
      <w:pPr>
        <w:spacing w:after="160"/>
      </w:pPr>
      <w:r>
        <w:rPr>
          <w:rFonts w:ascii="Calibri" w:hAnsi="Calibri"/>
          <w:b w:val="0"/>
          <w:i w:val="0"/>
          <w:color w:val="0B0B0B"/>
          <w:sz w:val="22"/>
        </w:rPr>
        <w:t>Taken together, these results are offered as evidence that this project’s AI-assisted TAPP development workflow, though never targeted at U-(Th-)Pb geochronology specifically, converges closely with an independent, expert-consensus standard for the same technique family — and that the residual differences are legible, explainable, and in several cases already actionable improvements to both the test TAPP and the project’s production TAPPs.</w:t>
      </w:r>
    </w:p>
    <w:sectPr w:rsidR="00FC693F" w:rsidRPr="0006063C" w:rsidSect="00034616">
      <w:headerReference w:type="default" r:id="rId9"/>
      <w:footerReference w:type="default" r:id="rId10"/>
      <w:pgSz w:w="12240" w:h="15840"/>
      <w:pgMar w:top="1152" w:right="936" w:bottom="115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6"/>
      </w:rPr>
      <w:fldChar w:fldCharType="begin"/>
      <w:instrText xml:space="preserve">PAGE</w:instrText>
      <w:fldChar w:fldCharType="end"/>
    </w:r>
    <w:r>
      <w:rPr>
        <w:color w:val="52514E"/>
        <w:sz w:val="16"/>
      </w:rPr>
      <w:t xml:space="preserve"> of </w:t>
    </w:r>
    <w:r>
      <w:rPr>
        <w:color w:val="52514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514E"/>
        <w:sz w:val="16"/>
      </w:rPr>
      <w:t>LA-ICP-MS U-(Th-)Pb Geochronology TAPP — Experiment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i w:val="0"/>
      <w:color w:val="2F5597"/>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i w:val="0"/>
      <w:color w:val="2F5597"/>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i/>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