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Methods: electron probe microanalysis — a worked example</w:t>
      </w:r>
    </w:p>
    <w:p>
      <w:pPr>
        <w:ind w:left="432"/>
      </w:pPr>
      <w:r>
        <w:rPr>
          <w:b/>
          <w:i w:val="0"/>
          <w:color w:val="404040"/>
          <w:sz w:val="19"/>
        </w:rPr>
        <w:t>About this example.</w:t>
      </w:r>
      <w:r>
        <w:rPr>
          <w:b w:val="0"/>
          <w:i w:val="0"/>
          <w:color w:val="404040"/>
          <w:sz w:val="19"/>
        </w:rPr>
        <w:t xml:space="preserve"> This is a methods section written as it would appear in a paper, following EPMA TAPP v77. It covers the same fictional session as `EPMA_Reference_Procedure_Example_v77.md`. That file sets the content out field by field. This one writes it up as a reader of a journal would expect to see it. All 88 TAPP fields are covered. The laboratory, people, samples, identifiers, grants, dates and all results are fictional. Instruments, software, reference materials and the methods literature cited are real.</w:t>
      </w:r>
    </w:p>
    <w:p>
      <w:pPr>
        <w:pBdr>
          <w:bottom w:val="single" w:sz="6" w:space="1" w:color="A6A6A6"/>
        </w:pBdr>
      </w:pPr>
    </w:p>
    <w:p>
      <w:pPr>
        <w:pStyle w:val="Heading1"/>
      </w:pPr>
      <w:r>
        <w:rPr>
          <w:b w:val="0"/>
          <w:i w:val="0"/>
        </w:rPr>
        <w:t>2. Methods</w:t>
      </w:r>
    </w:p>
    <w:p>
      <w:pPr>
        <w:pStyle w:val="Heading2"/>
      </w:pPr>
      <w:r>
        <w:rPr>
          <w:b w:val="0"/>
          <w:i w:val="0"/>
        </w:rPr>
        <w:t>2.1 Samples and preparation</w:t>
      </w:r>
    </w:p>
    <w:p>
      <w:r>
        <w:rPr>
          <w:b w:val="0"/>
          <w:i w:val="0"/>
        </w:rPr>
        <w:t xml:space="preserve">We analysed two </w:t>
      </w:r>
      <w:r>
        <w:rPr>
          <w:b w:val="0"/>
          <w:i w:val="0"/>
        </w:rPr>
        <w:t>epoxy mounts</w:t>
      </w:r>
      <w:r>
        <w:rPr>
          <w:b w:val="0"/>
          <w:i w:val="0"/>
        </w:rPr>
        <w:t xml:space="preserve"> </w:t>
      </w:r>
      <w:r>
        <w:rPr>
          <w:b w:val="0"/>
          <w:i w:val="0"/>
        </w:rPr>
        <w:t>of carbonaceous-chondrite material</w:t>
      </w:r>
      <w:r>
        <w:rPr>
          <w:b w:val="0"/>
          <w:i w:val="0"/>
        </w:rPr>
        <w:t xml:space="preserve">: </w:t>
      </w:r>
      <w:r>
        <w:rPr>
          <w:b w:val="0"/>
          <w:i w:val="0"/>
        </w:rPr>
        <w:t>EX-CC-01</w:t>
      </w:r>
      <w:r>
        <w:rPr>
          <w:b w:val="0"/>
          <w:i w:val="0"/>
        </w:rPr>
        <w:t xml:space="preserve"> (</w:t>
      </w:r>
      <w:r>
        <w:rPr>
          <w:b w:val="0"/>
          <w:i w:val="0"/>
        </w:rPr>
        <w:t>IGSN:EXAMPLE0001</w:t>
      </w:r>
      <w:r>
        <w:rPr>
          <w:b w:val="0"/>
          <w:i w:val="0"/>
        </w:rPr>
        <w:t xml:space="preserve">), containing three particles, and </w:t>
      </w:r>
      <w:r>
        <w:rPr>
          <w:b w:val="0"/>
          <w:i w:val="0"/>
        </w:rPr>
        <w:t>EX-CC-02</w:t>
      </w:r>
      <w:r>
        <w:rPr>
          <w:b w:val="0"/>
          <w:i w:val="0"/>
        </w:rPr>
        <w:t xml:space="preserve"> (</w:t>
      </w:r>
      <w:r>
        <w:rPr>
          <w:b w:val="0"/>
          <w:i w:val="0"/>
        </w:rPr>
        <w:t>IGSN:EXAMPLE0002</w:t>
      </w:r>
      <w:r>
        <w:rPr>
          <w:b w:val="0"/>
          <w:i w:val="0"/>
        </w:rPr>
        <w:t xml:space="preserve">), containing two. The target phases were </w:t>
      </w:r>
      <w:r>
        <w:rPr>
          <w:b w:val="0"/>
          <w:i w:val="0"/>
        </w:rPr>
        <w:t>olivine and pyroxene, Fe–Ti–Cr oxides (magnetite, chromite, ilmenite), sulfides (pyrrhotite, pentlandite), phosphates (apatite, merrillite) and carbonates (calcite, dolomite, breunnerite)</w:t>
      </w:r>
      <w:r>
        <w:rPr>
          <w:b w:val="0"/>
          <w:i w:val="0"/>
        </w:rPr>
        <w:t xml:space="preserve">. Both mounts were </w:t>
      </w:r>
      <w:r>
        <w:rPr>
          <w:b w:val="0"/>
          <w:i w:val="0"/>
        </w:rPr>
        <w:t>dry-polished with diamond to a final 0.25 µm and carbon coated to 20 nm</w:t>
      </w:r>
      <w:r>
        <w:rPr>
          <w:b w:val="0"/>
          <w:i w:val="0"/>
        </w:rPr>
        <w:t xml:space="preserve"> together with the standards. EX-CC-02 was </w:t>
      </w:r>
      <w:r>
        <w:rPr>
          <w:b w:val="0"/>
          <w:i w:val="0"/>
        </w:rPr>
        <w:t>additionally Ar-ion polished after the final diamond step</w:t>
      </w:r>
      <w:r>
        <w:rPr>
          <w:b w:val="0"/>
          <w:i w:val="0"/>
        </w:rPr>
        <w:t xml:space="preserve">. </w:t>
      </w:r>
      <w:r>
        <w:rPr>
          <w:b w:val="0"/>
          <w:i w:val="0"/>
        </w:rPr>
        <w:t>Particle P2 of that mount was partly plucked during ion polishing, and all analyses of it lie on the fragment that remained</w:t>
      </w:r>
      <w:r>
        <w:rPr>
          <w:b w:val="0"/>
          <w:i w:val="0"/>
        </w:rPr>
        <w:t xml:space="preserve">. Before microprobe work, every particle was </w:t>
      </w:r>
      <w:r>
        <w:rPr>
          <w:b w:val="0"/>
          <w:i w:val="0"/>
        </w:rPr>
        <w:t>imaged in backscattered electrons (BSE) and mapped by energy-dispersive spectrometry (EDS) for Mg, Si, Fe, Ca, S and P on a field-emission SEM at 15 kV and 1 nA</w:t>
      </w:r>
      <w:r>
        <w:rPr>
          <w:b w:val="0"/>
          <w:i w:val="0"/>
        </w:rPr>
        <w:t xml:space="preserve">. The BSE images were </w:t>
      </w:r>
      <w:r>
        <w:rPr>
          <w:b w:val="0"/>
          <w:i w:val="0"/>
        </w:rPr>
        <w:t>registered to stage coordinates, and each analysis point is marked with its label on the BSE image of its particle</w:t>
      </w:r>
      <w:r>
        <w:rPr>
          <w:b w:val="0"/>
          <w:i w:val="0"/>
        </w:rPr>
        <w:t xml:space="preserve"> (Supplementary Fig. S1).</w:t>
      </w:r>
    </w:p>
    <w:p>
      <w:r>
        <w:rPr>
          <w:b w:val="0"/>
          <w:i w:val="0"/>
        </w:rPr>
        <w:t>Each point analysis was treated as one analytical result</w:t>
      </w:r>
      <w:r>
        <w:rPr>
          <w:b w:val="0"/>
          <w:i w:val="0"/>
        </w:rPr>
        <w:t xml:space="preserve">, </w:t>
      </w:r>
      <w:r>
        <w:rPr>
          <w:b w:val="0"/>
          <w:i w:val="0"/>
        </w:rPr>
        <w:t>labelled by particle and point number</w:t>
      </w:r>
      <w:r>
        <w:rPr>
          <w:b w:val="0"/>
          <w:i w:val="0"/>
        </w:rPr>
        <w:t xml:space="preserve"> (for example, EX-CC-01 P1-03). </w:t>
      </w:r>
      <w:r>
        <w:rPr>
          <w:b w:val="0"/>
          <w:i w:val="0"/>
        </w:rPr>
        <w:t>Each X-ray map was treated as one result for its mapped area, without reporting its pixels individually</w:t>
      </w:r>
      <w:r>
        <w:rPr>
          <w:b w:val="0"/>
          <w:i w:val="0"/>
        </w:rPr>
        <w:t xml:space="preserve">. Points were placed only on grains </w:t>
      </w:r>
      <w:r>
        <w:rPr>
          <w:b w:val="0"/>
          <w:i w:val="0"/>
        </w:rPr>
        <w:t>at least 5 µm across for focused-beam analysis, or at least 10 µm across for phosphates and carbonates</w:t>
      </w:r>
      <w:r>
        <w:rPr>
          <w:b w:val="0"/>
          <w:i w:val="0"/>
        </w:rPr>
        <w:t xml:space="preserve">. Each point was </w:t>
      </w:r>
      <w:r>
        <w:rPr>
          <w:b w:val="0"/>
          <w:i w:val="0"/>
        </w:rPr>
        <w:t>at least 3 µm (5 µm for defocused or rastered beams) from grain boundaries, cracks and inclusions visible in BSE</w:t>
      </w:r>
      <w:r>
        <w:rPr>
          <w:b w:val="0"/>
          <w:i w:val="0"/>
        </w:rPr>
        <w:t xml:space="preserve">, and </w:t>
      </w:r>
      <w:r>
        <w:rPr>
          <w:b w:val="0"/>
          <w:i w:val="0"/>
        </w:rPr>
        <w:t>its phase identity was confirmed from its EDS spectrum before WDS acquisition began</w:t>
      </w:r>
      <w:r>
        <w:rPr>
          <w:b w:val="0"/>
          <w:i w:val="0"/>
        </w:rPr>
        <w:t xml:space="preserve">. </w:t>
      </w:r>
      <w:r>
        <w:rPr>
          <w:b w:val="0"/>
          <w:i w:val="0"/>
        </w:rPr>
        <w:t>Map areas were chosen to include every target phase present in a particle</w:t>
      </w:r>
      <w:r>
        <w:rPr>
          <w:b w:val="0"/>
          <w:i w:val="0"/>
        </w:rPr>
        <w:t xml:space="preserve">. In total we acquired </w:t>
      </w:r>
      <w:r>
        <w:rPr>
          <w:b w:val="0"/>
          <w:i w:val="0"/>
        </w:rPr>
        <w:t>53 point analyses and two maps: 29 points and map M1 on EX-CC-01, and 24 points and map M2 on EX-CC-02</w:t>
      </w:r>
      <w:r>
        <w:rPr>
          <w:b w:val="0"/>
          <w:i w:val="0"/>
        </w:rPr>
        <w:t>. Supplementary Table S1 lists every point by sample, label and phase.</w:t>
      </w:r>
    </w:p>
    <w:p>
      <w:pPr>
        <w:pStyle w:val="Heading2"/>
      </w:pPr>
      <w:r>
        <w:rPr>
          <w:b w:val="0"/>
          <w:i w:val="0"/>
        </w:rPr>
        <w:t>2.2 Instrumentation</w:t>
      </w:r>
    </w:p>
    <w:p>
      <w:r>
        <w:rPr>
          <w:b w:val="0"/>
          <w:i w:val="0"/>
        </w:rPr>
        <w:t xml:space="preserve">Analyses were made on a </w:t>
      </w:r>
      <w:r>
        <w:rPr>
          <w:b w:val="0"/>
          <w:i w:val="0"/>
        </w:rPr>
        <w:t>JEOL</w:t>
      </w:r>
      <w:r>
        <w:rPr>
          <w:b w:val="0"/>
          <w:i w:val="0"/>
        </w:rPr>
        <w:t xml:space="preserve"> </w:t>
      </w:r>
      <w:r>
        <w:rPr>
          <w:b w:val="0"/>
          <w:i w:val="0"/>
        </w:rPr>
        <w:t>JXA-8530F Plus</w:t>
      </w:r>
      <w:r>
        <w:rPr>
          <w:b w:val="0"/>
          <w:i w:val="0"/>
        </w:rPr>
        <w:t xml:space="preserve"> electron microprobe with a </w:t>
      </w:r>
      <w:r>
        <w:rPr>
          <w:b w:val="0"/>
          <w:i w:val="0"/>
        </w:rPr>
        <w:t>Schottky field-emission source</w:t>
      </w:r>
      <w:r>
        <w:rPr>
          <w:b w:val="0"/>
          <w:i w:val="0"/>
        </w:rPr>
        <w:t xml:space="preserve"> at the </w:t>
      </w:r>
      <w:r>
        <w:rPr>
          <w:b w:val="0"/>
          <w:i w:val="0"/>
        </w:rPr>
        <w:t>Example Microanalysis Laboratory</w:t>
      </w:r>
      <w:r>
        <w:rPr>
          <w:b w:val="0"/>
          <w:i w:val="0"/>
        </w:rPr>
        <w:t xml:space="preserve"> (ROR </w:t>
      </w:r>
      <w:r>
        <w:rPr>
          <w:b w:val="0"/>
          <w:i w:val="0"/>
        </w:rPr>
        <w:t>https://ror.org/0example00</w:t>
      </w:r>
      <w:r>
        <w:rPr>
          <w:b w:val="0"/>
          <w:i w:val="0"/>
        </w:rPr>
        <w:t xml:space="preserve">), following the laboratory's registered procedure </w:t>
      </w:r>
      <w:r>
        <w:rPr>
          <w:b w:val="0"/>
          <w:i w:val="0"/>
        </w:rPr>
        <w:t xml:space="preserve">EML-EPMA-CC v2, </w:t>
      </w:r>
      <w:r>
        <w:rPr>
          <w:b w:val="0"/>
          <w:i/>
        </w:rPr>
        <w:t>EPMA-WDS+EDS major and minor elements in carbonaceous-chondrite silicates, oxides, sulfides, phosphates and carbonates</w:t>
      </w:r>
      <w:r>
        <w:rPr>
          <w:b w:val="0"/>
          <w:i w:val="0"/>
        </w:rPr>
        <w:t xml:space="preserve"> (</w:t>
      </w:r>
      <w:r>
        <w:rPr>
          <w:b w:val="0"/>
          <w:i w:val="0"/>
        </w:rPr>
        <w:t>doi:10.0000/example.epma-cc.v2</w:t>
      </w:r>
      <w:r>
        <w:rPr>
          <w:b w:val="0"/>
          <w:i w:val="0"/>
        </w:rPr>
        <w:t xml:space="preserve">). The procedure was </w:t>
      </w:r>
      <w:r>
        <w:rPr>
          <w:b w:val="0"/>
          <w:i w:val="0"/>
        </w:rPr>
        <w:t>developed by the laboratory</w:t>
      </w:r>
      <w:r>
        <w:rPr>
          <w:b w:val="0"/>
          <w:i w:val="0"/>
        </w:rPr>
        <w:t xml:space="preserve">, has been in routine use since </w:t>
      </w:r>
      <w:r>
        <w:rPr>
          <w:b w:val="0"/>
          <w:i w:val="0"/>
        </w:rPr>
        <w:t>January 2025</w:t>
      </w:r>
      <w:r>
        <w:rPr>
          <w:b w:val="0"/>
          <w:i w:val="0"/>
        </w:rPr>
        <w:t xml:space="preserve">, and is described and validated in </w:t>
      </w:r>
      <w:r>
        <w:rPr>
          <w:b w:val="0"/>
          <w:i w:val="0"/>
        </w:rPr>
        <w:t>Example et al. (2025)</w:t>
      </w:r>
      <w:r>
        <w:rPr>
          <w:b w:val="0"/>
          <w:i w:val="0"/>
        </w:rPr>
        <w:t xml:space="preserve">. It </w:t>
      </w:r>
      <w:r>
        <w:rPr>
          <w:b w:val="0"/>
          <w:i w:val="0"/>
        </w:rPr>
        <w:t>combines wavelength-dispersive (WDS) and energy-dispersive (EDS) spectrometry</w:t>
      </w:r>
      <w:r>
        <w:rPr>
          <w:b w:val="0"/>
          <w:i w:val="0"/>
        </w:rPr>
        <w:t xml:space="preserve"> and </w:t>
      </w:r>
      <w:r>
        <w:rPr>
          <w:b w:val="0"/>
          <w:i w:val="0"/>
        </w:rPr>
        <w:t>covers point analysis and X-ray mapping by both</w:t>
      </w:r>
      <w:r>
        <w:rPr>
          <w:b w:val="0"/>
          <w:i w:val="0"/>
        </w:rPr>
        <w:t xml:space="preserve">. The instrument carries </w:t>
      </w:r>
      <w:r>
        <w:rPr>
          <w:b w:val="0"/>
          <w:i w:val="0"/>
        </w:rPr>
        <w:t>five JEOL wavelength-dispersive spectrometers</w:t>
      </w:r>
      <w:r>
        <w:rPr>
          <w:b w:val="0"/>
          <w:i w:val="0"/>
        </w:rPr>
        <w:t xml:space="preserve">. Their crystals are </w:t>
      </w:r>
      <w:r>
        <w:rPr>
          <w:b w:val="0"/>
          <w:i w:val="0"/>
        </w:rPr>
        <w:t>LDE1/TAP (Sp1), TAP/PETJ (Sp2), PETJ/LIF (Sp3), PETH/LIFH (Sp4) and LIF/PETL (Sp5)</w:t>
      </w:r>
      <w:r>
        <w:rPr>
          <w:b w:val="0"/>
          <w:i w:val="0"/>
        </w:rPr>
        <w:t xml:space="preserve">. It also has the manufacturer's </w:t>
      </w:r>
      <w:r>
        <w:rPr>
          <w:b w:val="0"/>
          <w:i w:val="0"/>
        </w:rPr>
        <w:t>integrated silicon drift detector, with a 30 mm² active area, an ultra-thin polymer window and a 40° take-off angle</w:t>
      </w:r>
      <w:r>
        <w:rPr>
          <w:b w:val="0"/>
          <w:i w:val="0"/>
        </w:rPr>
        <w:t xml:space="preserve">. Spectrometers Sp1 and Sp2 use </w:t>
      </w:r>
      <w:r>
        <w:rPr>
          <w:b w:val="0"/>
          <w:i w:val="0"/>
        </w:rPr>
        <w:t>low-pressure P10 gas-flow proportional counters</w:t>
      </w:r>
      <w:r>
        <w:rPr>
          <w:b w:val="0"/>
          <w:i w:val="0"/>
        </w:rPr>
        <w:t xml:space="preserve">, and Sp3–Sp5 use </w:t>
      </w:r>
      <w:r>
        <w:rPr>
          <w:b w:val="0"/>
          <w:i w:val="0"/>
        </w:rPr>
        <w:t>sealed Xe counters</w:t>
      </w:r>
      <w:r>
        <w:rPr>
          <w:b w:val="0"/>
          <w:i w:val="0"/>
        </w:rPr>
        <w:t xml:space="preserve">. Acquisition was controlled with </w:t>
      </w:r>
      <w:r>
        <w:rPr>
          <w:b w:val="0"/>
          <w:i w:val="0"/>
        </w:rPr>
        <w:t>Probe for EPMA v13 (Probe Software)</w:t>
      </w:r>
      <w:r>
        <w:rPr>
          <w:b w:val="0"/>
          <w:i w:val="0"/>
        </w:rPr>
        <w:t xml:space="preserve">. Point data were quantified in </w:t>
      </w:r>
      <w:r>
        <w:rPr>
          <w:b w:val="0"/>
          <w:i w:val="0"/>
        </w:rPr>
        <w:t>Probe for EPMA v13</w:t>
      </w:r>
      <w:r>
        <w:rPr>
          <w:b w:val="0"/>
          <w:i w:val="0"/>
        </w:rPr>
        <w:t xml:space="preserve">, quantitative maps were produced with </w:t>
      </w:r>
      <w:r>
        <w:rPr>
          <w:b w:val="0"/>
          <w:i w:val="0"/>
        </w:rPr>
        <w:t>CalcImage v13</w:t>
      </w:r>
      <w:r>
        <w:rPr>
          <w:b w:val="0"/>
          <w:i w:val="0"/>
        </w:rPr>
        <w:t xml:space="preserve">, and phases were classified from the maps in </w:t>
      </w:r>
      <w:r>
        <w:rPr>
          <w:b w:val="0"/>
          <w:i w:val="0"/>
        </w:rPr>
        <w:t>XMapTools 4</w:t>
      </w:r>
      <w:r>
        <w:rPr>
          <w:b w:val="0"/>
          <w:i w:val="0"/>
        </w:rPr>
        <w:t xml:space="preserve">. The analyses were performed by </w:t>
      </w:r>
      <w:r>
        <w:rPr>
          <w:b w:val="0"/>
          <w:i w:val="0"/>
        </w:rPr>
        <w:t>Analyst A (ORCID 0000-0000-0000-0000)</w:t>
      </w:r>
      <w:r>
        <w:rPr>
          <w:b w:val="0"/>
          <w:i w:val="0"/>
        </w:rPr>
        <w:t xml:space="preserve"> from </w:t>
      </w:r>
      <w:r>
        <w:rPr>
          <w:b w:val="0"/>
          <w:i w:val="0"/>
        </w:rPr>
        <w:t>12 to 14 April 2026</w:t>
      </w:r>
      <w:r>
        <w:rPr>
          <w:b w:val="0"/>
          <w:i w:val="0"/>
        </w:rPr>
        <w:t xml:space="preserve">, in a single session recorded in Probe for EPMA as run </w:t>
      </w:r>
      <w:r>
        <w:rPr>
          <w:b w:val="0"/>
          <w:i w:val="0"/>
        </w:rPr>
        <w:t>EML-2026-0412-A</w:t>
      </w:r>
      <w:r>
        <w:rPr>
          <w:b w:val="0"/>
          <w:i w:val="0"/>
        </w:rPr>
        <w:t>.</w:t>
      </w:r>
    </w:p>
    <w:p>
      <w:pPr>
        <w:pStyle w:val="Heading2"/>
      </w:pPr>
      <w:r>
        <w:rPr>
          <w:b w:val="0"/>
          <w:i w:val="0"/>
        </w:rPr>
        <w:t>2.3 Analytical conditions</w:t>
      </w:r>
    </w:p>
    <w:p>
      <w:r>
        <w:rPr>
          <w:b w:val="0"/>
          <w:i w:val="0"/>
        </w:rPr>
        <w:t xml:space="preserve">All analyses were made at </w:t>
      </w:r>
      <w:r>
        <w:rPr>
          <w:b w:val="0"/>
          <w:i w:val="0"/>
        </w:rPr>
        <w:t>15 kV, the laboratory's standard operating voltage</w:t>
      </w:r>
      <w:r>
        <w:rPr>
          <w:b w:val="0"/>
          <w:i w:val="0"/>
        </w:rPr>
        <w:t xml:space="preserve">. Beam conditions were set by phase and recorded for each point (Supplementary Table S1). Olivine, pyroxene, oxides and sulfides were analysed with a </w:t>
      </w:r>
      <w:r>
        <w:rPr>
          <w:b w:val="0"/>
          <w:i w:val="0"/>
        </w:rPr>
        <w:t>focused 1 µm beam at 20 nA</w:t>
      </w:r>
      <w:r>
        <w:rPr>
          <w:b w:val="0"/>
          <w:i w:val="0"/>
        </w:rPr>
        <w:t xml:space="preserve">. Phosphates were analysed with the beam </w:t>
      </w:r>
      <w:r>
        <w:rPr>
          <w:b w:val="0"/>
          <w:i w:val="0"/>
        </w:rPr>
        <w:t>defocused to 5 µm at 8 nA</w:t>
      </w:r>
      <w:r>
        <w:rPr>
          <w:b w:val="0"/>
          <w:i w:val="0"/>
        </w:rPr>
        <w:t xml:space="preserve">, and carbonates with a </w:t>
      </w:r>
      <w:r>
        <w:rPr>
          <w:b w:val="0"/>
          <w:i w:val="0"/>
        </w:rPr>
        <w:t>focused beam rastered over 5 × 5 µm at 4 nA</w:t>
      </w:r>
      <w:r>
        <w:rPr>
          <w:b w:val="0"/>
          <w:i w:val="0"/>
        </w:rPr>
        <w:t xml:space="preserve"> to spread the dose. X-ray maps were acquired with a </w:t>
      </w:r>
      <w:r>
        <w:rPr>
          <w:b w:val="0"/>
          <w:i w:val="0"/>
        </w:rPr>
        <w:t>focused beam at 50 nA</w:t>
      </w:r>
      <w:r>
        <w:rPr>
          <w:b w:val="0"/>
          <w:i w:val="0"/>
        </w:rPr>
        <w:t xml:space="preserve">. To limit volatilisation and migration of alkalis and halogens under the beam, </w:t>
      </w:r>
      <w:r>
        <w:rPr>
          <w:b w:val="0"/>
          <w:i w:val="0"/>
        </w:rPr>
        <w:t>Na, K, F and Cl were measured in the first acquisition pass on every point</w:t>
      </w:r>
      <w:r>
        <w:rPr>
          <w:b w:val="0"/>
          <w:i w:val="0"/>
        </w:rPr>
        <w:t xml:space="preserve">, and </w:t>
      </w:r>
      <w:r>
        <w:rPr>
          <w:b w:val="0"/>
          <w:i w:val="0"/>
        </w:rPr>
        <w:t>time-dependent intensity corrections were applied to Na (linear) and to F in apatite (exponential)</w:t>
      </w:r>
      <w:r>
        <w:rPr>
          <w:b w:val="0"/>
          <w:i w:val="0"/>
        </w:rPr>
        <w:t xml:space="preserve">. The beam current was </w:t>
      </w:r>
      <w:r>
        <w:rPr>
          <w:b w:val="0"/>
          <w:i w:val="0"/>
        </w:rPr>
        <w:t>measured with the Faraday cup before each point and at the start of each map line, and intensities were normalised to it</w:t>
      </w:r>
      <w:r>
        <w:rPr>
          <w:b w:val="0"/>
          <w:i w:val="0"/>
        </w:rPr>
        <w:t xml:space="preserve">. </w:t>
      </w:r>
      <w:r>
        <w:rPr>
          <w:b w:val="0"/>
          <w:i w:val="0"/>
        </w:rPr>
        <w:t>Primary standards were re-measured at the start and end of the session, and drift in their intensities was interpolated linearly with time</w:t>
      </w:r>
      <w:r>
        <w:rPr>
          <w:b w:val="0"/>
          <w:i w:val="0"/>
        </w:rPr>
        <w:t>.</w:t>
      </w:r>
    </w:p>
    <w:p>
      <w:r>
        <w:rPr>
          <w:b w:val="0"/>
          <w:i w:val="0"/>
        </w:rPr>
        <w:t xml:space="preserve">The procedure determines 18 elements. </w:t>
      </w:r>
      <w:r>
        <w:rPr>
          <w:b w:val="0"/>
          <w:i w:val="0"/>
        </w:rPr>
        <w:t>Si, Mg, Fe, Ca and S were measured by EDS</w:t>
      </w:r>
      <w:r>
        <w:rPr>
          <w:b w:val="0"/>
          <w:i w:val="0"/>
        </w:rPr>
        <w:t xml:space="preserve">. </w:t>
      </w:r>
      <w:r>
        <w:rPr>
          <w:b w:val="0"/>
          <w:i w:val="0"/>
        </w:rPr>
        <w:t>Ti, Al, Cr, Mn, Na, K, P, F, Cl, Ni and Co were measured by WDS</w:t>
      </w:r>
      <w:r>
        <w:rPr>
          <w:b w:val="0"/>
          <w:i w:val="0"/>
        </w:rPr>
        <w:t xml:space="preserve">. O and C were not measured: </w:t>
      </w:r>
      <w:r>
        <w:rPr>
          <w:b w:val="0"/>
          <w:i w:val="0"/>
        </w:rPr>
        <w:t>oxygen was calculated by stoichiometry from cation valences, and carbon as CO₂ by stoichiometry in carbonates only</w:t>
      </w:r>
      <w:r>
        <w:rPr>
          <w:b w:val="0"/>
          <w:i w:val="0"/>
        </w:rPr>
        <w:t xml:space="preserve">. In apatite, </w:t>
      </w:r>
      <w:r>
        <w:rPr>
          <w:b w:val="0"/>
          <w:i w:val="0"/>
        </w:rPr>
        <w:t>OH was calculated by difference assuming F + Cl + OH = 1 atom per formula unit (Ketcham 2015)</w:t>
      </w:r>
      <w:r>
        <w:rPr>
          <w:b w:val="0"/>
          <w:i w:val="0"/>
        </w:rPr>
        <w:t xml:space="preserve">. </w:t>
      </w:r>
      <w:r>
        <w:rPr>
          <w:b w:val="0"/>
          <w:i w:val="0"/>
        </w:rPr>
        <w:t>Zn was also measured by WDS</w:t>
      </w:r>
      <w:r>
        <w:rPr>
          <w:b w:val="0"/>
          <w:i w:val="0"/>
        </w:rPr>
        <w:t xml:space="preserve">, not to be reported but to </w:t>
      </w:r>
      <w:r>
        <w:rPr>
          <w:b w:val="0"/>
          <w:i w:val="0"/>
        </w:rPr>
        <w:t>correct the overlap of Zn Lα on Na Kα</w:t>
      </w:r>
      <w:r>
        <w:rPr>
          <w:b w:val="0"/>
          <w:i w:val="0"/>
        </w:rPr>
        <w:t>. Table 1 gives, for each measured element, the X-ray line, the spectrometer and crystal, the acquisition pass, the counting times and background positions, the primary standard and the session detection limit.</w:t>
      </w:r>
    </w:p>
    <w:p>
      <w:r>
        <w:rPr>
          <w:b w:val="0"/>
          <w:i w:val="0"/>
        </w:rPr>
        <w:t xml:space="preserve">In WDS point analysis the twelve WDS elements were acquired in </w:t>
      </w:r>
      <w:r>
        <w:rPr>
          <w:b w:val="0"/>
          <w:i w:val="0"/>
        </w:rPr>
        <w:t>three passes</w:t>
      </w:r>
      <w:r>
        <w:rPr>
          <w:b w:val="0"/>
          <w:i w:val="0"/>
        </w:rPr>
        <w:t xml:space="preserve">, and in each pass all assigned spectrometers counted simultaneously. The first pass measured </w:t>
      </w:r>
      <w:r>
        <w:rPr>
          <w:b w:val="0"/>
          <w:i w:val="0"/>
        </w:rPr>
        <w:t>F, Na, K, Cl and Zn</w:t>
      </w:r>
      <w:r>
        <w:rPr>
          <w:b w:val="0"/>
          <w:i w:val="0"/>
        </w:rPr>
        <w:t xml:space="preserve">, and the second </w:t>
      </w:r>
      <w:r>
        <w:rPr>
          <w:b w:val="0"/>
          <w:i w:val="0"/>
        </w:rPr>
        <w:t>Al, P, Ti, Cr and Mn</w:t>
      </w:r>
      <w:r>
        <w:rPr>
          <w:b w:val="0"/>
          <w:i w:val="0"/>
        </w:rPr>
        <w:t xml:space="preserve">. The third measured </w:t>
      </w:r>
      <w:r>
        <w:rPr>
          <w:b w:val="0"/>
          <w:i w:val="0"/>
        </w:rPr>
        <w:t>Co and Ni</w:t>
      </w:r>
      <w:r>
        <w:rPr>
          <w:b w:val="0"/>
          <w:i w:val="0"/>
        </w:rPr>
        <w:t xml:space="preserve">, with </w:t>
      </w:r>
      <w:r>
        <w:rPr>
          <w:b w:val="0"/>
          <w:i w:val="0"/>
        </w:rPr>
        <w:t>Ni counted on Sp4 and Sp5 at the same time and the two intensities aggregated</w:t>
      </w:r>
      <w:r>
        <w:rPr>
          <w:b w:val="0"/>
          <w:i w:val="0"/>
        </w:rPr>
        <w:t xml:space="preserve">. The EDS spectrum was acquired during the first pass, with a </w:t>
      </w:r>
      <w:r>
        <w:rPr>
          <w:b w:val="0"/>
          <w:i w:val="0"/>
        </w:rPr>
        <w:t>live time of 30 s</w:t>
      </w:r>
      <w:r>
        <w:rPr>
          <w:b w:val="0"/>
          <w:i w:val="0"/>
        </w:rPr>
        <w:t xml:space="preserve">. </w:t>
      </w:r>
      <w:r>
        <w:rPr>
          <w:b w:val="0"/>
          <w:i w:val="0"/>
        </w:rPr>
        <w:t>Differential pulse-height analysis was used for F and Na</w:t>
      </w:r>
      <w:r>
        <w:rPr>
          <w:b w:val="0"/>
          <w:i w:val="0"/>
        </w:rPr>
        <w:t xml:space="preserve"> to reject higher-order reflections, and </w:t>
      </w:r>
      <w:r>
        <w:rPr>
          <w:b w:val="0"/>
          <w:i w:val="0"/>
        </w:rPr>
        <w:t>integral mode for all other elements</w:t>
      </w:r>
      <w:r>
        <w:rPr>
          <w:b w:val="0"/>
          <w:i w:val="0"/>
        </w:rPr>
        <w:t xml:space="preserve">. The procedure specifies </w:t>
      </w:r>
      <w:r>
        <w:rPr>
          <w:b w:val="0"/>
          <w:i w:val="0"/>
        </w:rPr>
        <w:t>peak counting times of 40 s for Co and Ni</w:t>
      </w:r>
      <w:r>
        <w:rPr>
          <w:b w:val="0"/>
          <w:i w:val="0"/>
        </w:rPr>
        <w:t xml:space="preserve">. In this session we </w:t>
      </w:r>
      <w:r>
        <w:rPr>
          <w:b w:val="0"/>
          <w:i w:val="0"/>
        </w:rPr>
        <w:t>raised them to 60 s</w:t>
      </w:r>
      <w:r>
        <w:rPr>
          <w:b w:val="0"/>
          <w:i w:val="0"/>
        </w:rPr>
        <w:t xml:space="preserve">, within the procedure's bounds, to lower detection limits in olivine. </w:t>
      </w:r>
      <w:r>
        <w:rPr>
          <w:b w:val="0"/>
          <w:i w:val="0"/>
        </w:rPr>
        <w:t>All other conditions were as registered</w:t>
      </w:r>
      <w:r>
        <w:rPr>
          <w:b w:val="0"/>
          <w:i w:val="0"/>
        </w:rPr>
        <w:t xml:space="preserve">. Backgrounds were </w:t>
      </w:r>
      <w:r>
        <w:rPr>
          <w:b w:val="0"/>
          <w:i w:val="0"/>
        </w:rPr>
        <w:t>measured at two off-peak positions for every WDS element</w:t>
      </w:r>
      <w:r>
        <w:rPr>
          <w:b w:val="0"/>
          <w:i w:val="0"/>
        </w:rPr>
        <w:t xml:space="preserve"> (Table 1) and </w:t>
      </w:r>
      <w:r>
        <w:rPr>
          <w:b w:val="0"/>
          <w:i w:val="0"/>
        </w:rPr>
        <w:t>interpolated linearly</w:t>
      </w:r>
      <w:r>
        <w:rPr>
          <w:b w:val="0"/>
          <w:i w:val="0"/>
        </w:rPr>
        <w:t xml:space="preserve">, except for F, where </w:t>
      </w:r>
      <w:r>
        <w:rPr>
          <w:b w:val="0"/>
          <w:i w:val="0"/>
        </w:rPr>
        <w:t>an exponential fit</w:t>
      </w:r>
      <w:r>
        <w:rPr>
          <w:b w:val="0"/>
          <w:i w:val="0"/>
        </w:rPr>
        <w:t xml:space="preserve"> was used to account for curvature of the LDE1 background.</w:t>
      </w:r>
    </w:p>
    <w:p>
      <w:r>
        <w:rPr>
          <w:b/>
          <w:i w:val="0"/>
        </w:rPr>
        <w:t>Table 1.</w:t>
      </w:r>
      <w:r>
        <w:rPr>
          <w:b w:val="0"/>
          <w:i w:val="0"/>
        </w:rPr>
        <w:t xml:space="preserve"> WDS and EDS analytical conditions for each measured element. Background time is the total of both positions. Detection limits are </w:t>
      </w:r>
      <w:r>
        <w:rPr>
          <w:b w:val="0"/>
          <w:i w:val="0"/>
        </w:rPr>
        <w:t>3σ of the background</w:t>
      </w:r>
      <w:r>
        <w:rPr>
          <w:b w:val="0"/>
          <w:i w:val="0"/>
        </w:rPr>
        <w:t>, as medians over the included analyses, in wt% oxide (element for S, F and Cl).</w:t>
      </w:r>
    </w:p>
    <w:tbl>
      <w:tblPr>
        <w:tblStyle w:val="TableGrid"/>
        <w:tblW w:type="auto" w:w="0"/>
        <w:tblLayout w:type="fixed"/>
        <w:tblLook w:firstColumn="1" w:firstRow="1" w:lastColumn="0" w:lastRow="0" w:noHBand="0" w:noVBand="1" w:val="04A0"/>
      </w:tblPr>
      <w:tblGrid>
        <w:gridCol w:w="792"/>
        <w:gridCol w:w="648"/>
        <w:gridCol w:w="1655"/>
        <w:gridCol w:w="576"/>
        <w:gridCol w:w="1224"/>
        <w:gridCol w:w="1224"/>
        <w:gridCol w:w="2232"/>
        <w:gridCol w:w="1007"/>
      </w:tblGrid>
      <w:tr>
        <w:tc>
          <w:tcPr>
            <w:tcW w:type="dxa" w:w="792"/>
            <w:shd w:val="clear" w:color="auto" w:fill="D9E1F2"/>
          </w:tcPr>
          <w:p>
            <w:pPr>
              <w:spacing w:after="0"/>
            </w:pPr>
            <w:r>
              <w:rPr>
                <w:b/>
                <w:i w:val="0"/>
                <w:sz w:val="16"/>
              </w:rPr>
              <w:t>Element</w:t>
            </w:r>
          </w:p>
        </w:tc>
        <w:tc>
          <w:tcPr>
            <w:tcW w:type="dxa" w:w="648"/>
            <w:shd w:val="clear" w:color="auto" w:fill="D9E1F2"/>
          </w:tcPr>
          <w:p>
            <w:pPr>
              <w:spacing w:after="0"/>
            </w:pPr>
            <w:r>
              <w:rPr>
                <w:b/>
                <w:i w:val="0"/>
                <w:sz w:val="16"/>
              </w:rPr>
              <w:t>Line</w:t>
            </w:r>
          </w:p>
        </w:tc>
        <w:tc>
          <w:tcPr>
            <w:tcW w:type="dxa" w:w="1656"/>
            <w:shd w:val="clear" w:color="auto" w:fill="D9E1F2"/>
          </w:tcPr>
          <w:p>
            <w:pPr>
              <w:spacing w:after="0"/>
            </w:pPr>
            <w:r>
              <w:rPr>
                <w:b/>
                <w:i w:val="0"/>
                <w:sz w:val="16"/>
              </w:rPr>
              <w:t>Spectrometer (crystal)</w:t>
            </w:r>
          </w:p>
        </w:tc>
        <w:tc>
          <w:tcPr>
            <w:tcW w:type="dxa" w:w="576"/>
            <w:shd w:val="clear" w:color="auto" w:fill="D9E1F2"/>
          </w:tcPr>
          <w:p>
            <w:pPr>
              <w:spacing w:after="0"/>
            </w:pPr>
            <w:r>
              <w:rPr>
                <w:b/>
                <w:i w:val="0"/>
                <w:sz w:val="16"/>
              </w:rPr>
              <w:t>Pass</w:t>
            </w:r>
          </w:p>
        </w:tc>
        <w:tc>
          <w:tcPr>
            <w:tcW w:type="dxa" w:w="1224"/>
            <w:shd w:val="clear" w:color="auto" w:fill="D9E1F2"/>
          </w:tcPr>
          <w:p>
            <w:pPr>
              <w:spacing w:after="0"/>
            </w:pPr>
            <w:r>
              <w:rPr>
                <w:b/>
                <w:i w:val="0"/>
                <w:sz w:val="16"/>
              </w:rPr>
              <w:t>Peak / background time (s)</w:t>
            </w:r>
          </w:p>
        </w:tc>
        <w:tc>
          <w:tcPr>
            <w:tcW w:type="dxa" w:w="1224"/>
            <w:shd w:val="clear" w:color="auto" w:fill="D9E1F2"/>
          </w:tcPr>
          <w:p>
            <w:pPr>
              <w:spacing w:after="0"/>
            </w:pPr>
            <w:r>
              <w:rPr>
                <w:b/>
                <w:i w:val="0"/>
                <w:sz w:val="16"/>
              </w:rPr>
              <w:t>Background offsets (mm)</w:t>
            </w:r>
          </w:p>
        </w:tc>
        <w:tc>
          <w:tcPr>
            <w:tcW w:type="dxa" w:w="2232"/>
            <w:shd w:val="clear" w:color="auto" w:fill="D9E1F2"/>
          </w:tcPr>
          <w:p>
            <w:pPr>
              <w:spacing w:after="0"/>
            </w:pPr>
            <w:r>
              <w:rPr>
                <w:b/>
                <w:i w:val="0"/>
                <w:sz w:val="16"/>
              </w:rPr>
              <w:t>Primary standard</w:t>
            </w:r>
          </w:p>
        </w:tc>
        <w:tc>
          <w:tcPr>
            <w:tcW w:type="dxa" w:w="1008"/>
            <w:shd w:val="clear" w:color="auto" w:fill="D9E1F2"/>
          </w:tcPr>
          <w:p>
            <w:pPr>
              <w:spacing w:after="0"/>
            </w:pPr>
            <w:r>
              <w:rPr>
                <w:b/>
                <w:i w:val="0"/>
                <w:sz w:val="16"/>
              </w:rPr>
              <w:t>Detection limit (wt%)</w:t>
            </w:r>
          </w:p>
        </w:tc>
      </w:tr>
      <w:tr>
        <w:tc>
          <w:tcPr>
            <w:tcW w:type="dxa" w:w="792"/>
          </w:tcPr>
          <w:p>
            <w:pPr>
              <w:spacing w:after="0"/>
            </w:pPr>
            <w:r>
              <w:rPr>
                <w:b w:val="0"/>
                <w:i w:val="0"/>
                <w:sz w:val="16"/>
              </w:rPr>
              <w:t>F</w:t>
            </w:r>
          </w:p>
        </w:tc>
        <w:tc>
          <w:tcPr>
            <w:tcW w:type="dxa" w:w="648"/>
          </w:tcPr>
          <w:p>
            <w:pPr>
              <w:spacing w:after="0"/>
            </w:pPr>
            <w:r>
              <w:rPr>
                <w:b w:val="0"/>
                <w:i w:val="0"/>
                <w:sz w:val="16"/>
              </w:rPr>
              <w:t>Kα</w:t>
            </w:r>
          </w:p>
        </w:tc>
        <w:tc>
          <w:tcPr>
            <w:tcW w:type="dxa" w:w="1656"/>
          </w:tcPr>
          <w:p>
            <w:pPr>
              <w:spacing w:after="0"/>
            </w:pPr>
            <w:r>
              <w:rPr>
                <w:b w:val="0"/>
                <w:i w:val="0"/>
                <w:sz w:val="16"/>
              </w:rPr>
              <w:t>Sp1 (LDE1)</w:t>
            </w:r>
          </w:p>
        </w:tc>
        <w:tc>
          <w:tcPr>
            <w:tcW w:type="dxa" w:w="576"/>
          </w:tcPr>
          <w:p>
            <w:pPr>
              <w:spacing w:after="0"/>
            </w:pPr>
            <w:r>
              <w:rPr>
                <w:b w:val="0"/>
                <w:i w:val="0"/>
                <w:sz w:val="16"/>
              </w:rPr>
              <w:t>1</w:t>
            </w:r>
          </w:p>
        </w:tc>
        <w:tc>
          <w:tcPr>
            <w:tcW w:type="dxa" w:w="1224"/>
          </w:tcPr>
          <w:p>
            <w:pPr>
              <w:spacing w:after="0"/>
            </w:pPr>
            <w:r>
              <w:rPr>
                <w:b w:val="0"/>
                <w:i w:val="0"/>
                <w:sz w:val="16"/>
              </w:rPr>
              <w:t>20 / 20</w:t>
            </w:r>
          </w:p>
        </w:tc>
        <w:tc>
          <w:tcPr>
            <w:tcW w:type="dxa" w:w="1224"/>
          </w:tcPr>
          <w:p>
            <w:pPr>
              <w:spacing w:after="0"/>
            </w:pPr>
            <w:r>
              <w:rPr>
                <w:b w:val="0"/>
                <w:i w:val="0"/>
                <w:sz w:val="16"/>
              </w:rPr>
              <w:t>−3.2 / +4.5</w:t>
            </w:r>
          </w:p>
        </w:tc>
        <w:tc>
          <w:tcPr>
            <w:tcW w:type="dxa" w:w="2232"/>
          </w:tcPr>
          <w:p>
            <w:pPr>
              <w:spacing w:after="0"/>
            </w:pPr>
            <w:r>
              <w:rPr>
                <w:b w:val="0"/>
                <w:i w:val="0"/>
                <w:sz w:val="16"/>
              </w:rPr>
              <w:t>Synthetic SrF₂</w:t>
            </w:r>
          </w:p>
        </w:tc>
        <w:tc>
          <w:tcPr>
            <w:tcW w:type="dxa" w:w="1008"/>
          </w:tcPr>
          <w:p>
            <w:pPr>
              <w:spacing w:after="0"/>
            </w:pPr>
            <w:r>
              <w:rPr>
                <w:b w:val="0"/>
                <w:i w:val="0"/>
                <w:sz w:val="16"/>
              </w:rPr>
              <w:t>0.055</w:t>
            </w:r>
          </w:p>
        </w:tc>
      </w:tr>
      <w:tr>
        <w:tc>
          <w:tcPr>
            <w:tcW w:type="dxa" w:w="792"/>
          </w:tcPr>
          <w:p>
            <w:pPr>
              <w:spacing w:after="0"/>
            </w:pPr>
            <w:r>
              <w:rPr>
                <w:b w:val="0"/>
                <w:i w:val="0"/>
                <w:sz w:val="16"/>
              </w:rPr>
              <w:t>Na</w:t>
            </w:r>
          </w:p>
        </w:tc>
        <w:tc>
          <w:tcPr>
            <w:tcW w:type="dxa" w:w="648"/>
          </w:tcPr>
          <w:p>
            <w:pPr>
              <w:spacing w:after="0"/>
            </w:pPr>
            <w:r>
              <w:rPr>
                <w:b w:val="0"/>
                <w:i w:val="0"/>
                <w:sz w:val="16"/>
              </w:rPr>
              <w:t>Kα</w:t>
            </w:r>
          </w:p>
        </w:tc>
        <w:tc>
          <w:tcPr>
            <w:tcW w:type="dxa" w:w="1656"/>
          </w:tcPr>
          <w:p>
            <w:pPr>
              <w:spacing w:after="0"/>
            </w:pPr>
            <w:r>
              <w:rPr>
                <w:b w:val="0"/>
                <w:i w:val="0"/>
                <w:sz w:val="16"/>
              </w:rPr>
              <w:t>Sp2 (TAP)</w:t>
            </w:r>
          </w:p>
        </w:tc>
        <w:tc>
          <w:tcPr>
            <w:tcW w:type="dxa" w:w="576"/>
          </w:tcPr>
          <w:p>
            <w:pPr>
              <w:spacing w:after="0"/>
            </w:pPr>
            <w:r>
              <w:rPr>
                <w:b w:val="0"/>
                <w:i w:val="0"/>
                <w:sz w:val="16"/>
              </w:rPr>
              <w:t>1</w:t>
            </w:r>
          </w:p>
        </w:tc>
        <w:tc>
          <w:tcPr>
            <w:tcW w:type="dxa" w:w="1224"/>
          </w:tcPr>
          <w:p>
            <w:pPr>
              <w:spacing w:after="0"/>
            </w:pPr>
            <w:r>
              <w:rPr>
                <w:b w:val="0"/>
                <w:i w:val="0"/>
                <w:sz w:val="16"/>
              </w:rPr>
              <w:t>10 / 10</w:t>
            </w:r>
          </w:p>
        </w:tc>
        <w:tc>
          <w:tcPr>
            <w:tcW w:type="dxa" w:w="1224"/>
          </w:tcPr>
          <w:p>
            <w:pPr>
              <w:spacing w:after="0"/>
            </w:pPr>
            <w:r>
              <w:rPr>
                <w:b w:val="0"/>
                <w:i w:val="0"/>
                <w:sz w:val="16"/>
              </w:rPr>
              <w:t>−4.0 / +4.0</w:t>
            </w:r>
          </w:p>
        </w:tc>
        <w:tc>
          <w:tcPr>
            <w:tcW w:type="dxa" w:w="2232"/>
          </w:tcPr>
          <w:p>
            <w:pPr>
              <w:spacing w:after="0"/>
            </w:pPr>
            <w:r>
              <w:rPr>
                <w:b w:val="0"/>
                <w:i w:val="0"/>
                <w:sz w:val="16"/>
              </w:rPr>
              <w:t>Amelia albite</w:t>
            </w:r>
          </w:p>
        </w:tc>
        <w:tc>
          <w:tcPr>
            <w:tcW w:type="dxa" w:w="1008"/>
          </w:tcPr>
          <w:p>
            <w:pPr>
              <w:spacing w:after="0"/>
            </w:pPr>
            <w:r>
              <w:rPr>
                <w:b w:val="0"/>
                <w:i w:val="0"/>
                <w:sz w:val="16"/>
              </w:rPr>
              <w:t>0.018</w:t>
            </w:r>
          </w:p>
        </w:tc>
      </w:tr>
      <w:tr>
        <w:tc>
          <w:tcPr>
            <w:tcW w:type="dxa" w:w="792"/>
          </w:tcPr>
          <w:p>
            <w:pPr>
              <w:spacing w:after="0"/>
            </w:pPr>
            <w:r>
              <w:rPr>
                <w:b w:val="0"/>
                <w:i w:val="0"/>
                <w:sz w:val="16"/>
              </w:rPr>
              <w:t>K</w:t>
            </w:r>
          </w:p>
        </w:tc>
        <w:tc>
          <w:tcPr>
            <w:tcW w:type="dxa" w:w="648"/>
          </w:tcPr>
          <w:p>
            <w:pPr>
              <w:spacing w:after="0"/>
            </w:pPr>
            <w:r>
              <w:rPr>
                <w:b w:val="0"/>
                <w:i w:val="0"/>
                <w:sz w:val="16"/>
              </w:rPr>
              <w:t>Kα</w:t>
            </w:r>
          </w:p>
        </w:tc>
        <w:tc>
          <w:tcPr>
            <w:tcW w:type="dxa" w:w="1656"/>
          </w:tcPr>
          <w:p>
            <w:pPr>
              <w:spacing w:after="0"/>
            </w:pPr>
            <w:r>
              <w:rPr>
                <w:b w:val="0"/>
                <w:i w:val="0"/>
                <w:sz w:val="16"/>
              </w:rPr>
              <w:t>Sp3 (PETJ)</w:t>
            </w:r>
          </w:p>
        </w:tc>
        <w:tc>
          <w:tcPr>
            <w:tcW w:type="dxa" w:w="576"/>
          </w:tcPr>
          <w:p>
            <w:pPr>
              <w:spacing w:after="0"/>
            </w:pPr>
            <w:r>
              <w:rPr>
                <w:b w:val="0"/>
                <w:i w:val="0"/>
                <w:sz w:val="16"/>
              </w:rPr>
              <w:t>1</w:t>
            </w:r>
          </w:p>
        </w:tc>
        <w:tc>
          <w:tcPr>
            <w:tcW w:type="dxa" w:w="1224"/>
          </w:tcPr>
          <w:p>
            <w:pPr>
              <w:spacing w:after="0"/>
            </w:pPr>
            <w:r>
              <w:rPr>
                <w:b w:val="0"/>
                <w:i w:val="0"/>
                <w:sz w:val="16"/>
              </w:rPr>
              <w:t>10 / 10</w:t>
            </w:r>
          </w:p>
        </w:tc>
        <w:tc>
          <w:tcPr>
            <w:tcW w:type="dxa" w:w="1224"/>
          </w:tcPr>
          <w:p>
            <w:pPr>
              <w:spacing w:after="0"/>
            </w:pPr>
            <w:r>
              <w:rPr>
                <w:b w:val="0"/>
                <w:i w:val="0"/>
                <w:sz w:val="16"/>
              </w:rPr>
              <w:t>−4.5 / +4.5</w:t>
            </w:r>
          </w:p>
        </w:tc>
        <w:tc>
          <w:tcPr>
            <w:tcW w:type="dxa" w:w="2232"/>
          </w:tcPr>
          <w:p>
            <w:pPr>
              <w:spacing w:after="0"/>
            </w:pPr>
            <w:r>
              <w:rPr>
                <w:b w:val="0"/>
                <w:i w:val="0"/>
                <w:sz w:val="16"/>
              </w:rPr>
              <w:t>Microcline USNM 143966</w:t>
            </w:r>
          </w:p>
        </w:tc>
        <w:tc>
          <w:tcPr>
            <w:tcW w:type="dxa" w:w="1008"/>
          </w:tcPr>
          <w:p>
            <w:pPr>
              <w:spacing w:after="0"/>
            </w:pPr>
            <w:r>
              <w:rPr>
                <w:b w:val="0"/>
                <w:i w:val="0"/>
                <w:sz w:val="16"/>
              </w:rPr>
              <w:t>0.009</w:t>
            </w:r>
          </w:p>
        </w:tc>
      </w:tr>
      <w:tr>
        <w:tc>
          <w:tcPr>
            <w:tcW w:type="dxa" w:w="792"/>
          </w:tcPr>
          <w:p>
            <w:pPr>
              <w:spacing w:after="0"/>
            </w:pPr>
            <w:r>
              <w:rPr>
                <w:b w:val="0"/>
                <w:i w:val="0"/>
                <w:sz w:val="16"/>
              </w:rPr>
              <w:t>Cl</w:t>
            </w:r>
          </w:p>
        </w:tc>
        <w:tc>
          <w:tcPr>
            <w:tcW w:type="dxa" w:w="648"/>
          </w:tcPr>
          <w:p>
            <w:pPr>
              <w:spacing w:after="0"/>
            </w:pPr>
            <w:r>
              <w:rPr>
                <w:b w:val="0"/>
                <w:i w:val="0"/>
                <w:sz w:val="16"/>
              </w:rPr>
              <w:t>Kα</w:t>
            </w:r>
          </w:p>
        </w:tc>
        <w:tc>
          <w:tcPr>
            <w:tcW w:type="dxa" w:w="1656"/>
          </w:tcPr>
          <w:p>
            <w:pPr>
              <w:spacing w:after="0"/>
            </w:pPr>
            <w:r>
              <w:rPr>
                <w:b w:val="0"/>
                <w:i w:val="0"/>
                <w:sz w:val="16"/>
              </w:rPr>
              <w:t>Sp4 (PETH)</w:t>
            </w:r>
          </w:p>
        </w:tc>
        <w:tc>
          <w:tcPr>
            <w:tcW w:type="dxa" w:w="576"/>
          </w:tcPr>
          <w:p>
            <w:pPr>
              <w:spacing w:after="0"/>
            </w:pPr>
            <w:r>
              <w:rPr>
                <w:b w:val="0"/>
                <w:i w:val="0"/>
                <w:sz w:val="16"/>
              </w:rPr>
              <w:t>1</w:t>
            </w:r>
          </w:p>
        </w:tc>
        <w:tc>
          <w:tcPr>
            <w:tcW w:type="dxa" w:w="1224"/>
          </w:tcPr>
          <w:p>
            <w:pPr>
              <w:spacing w:after="0"/>
            </w:pPr>
            <w:r>
              <w:rPr>
                <w:b w:val="0"/>
                <w:i w:val="0"/>
                <w:sz w:val="16"/>
              </w:rPr>
              <w:t>20 / 20</w:t>
            </w:r>
          </w:p>
        </w:tc>
        <w:tc>
          <w:tcPr>
            <w:tcW w:type="dxa" w:w="1224"/>
          </w:tcPr>
          <w:p>
            <w:pPr>
              <w:spacing w:after="0"/>
            </w:pPr>
            <w:r>
              <w:rPr>
                <w:b w:val="0"/>
                <w:i w:val="0"/>
                <w:sz w:val="16"/>
              </w:rPr>
              <w:t>−3.0 / +3.0</w:t>
            </w:r>
          </w:p>
        </w:tc>
        <w:tc>
          <w:tcPr>
            <w:tcW w:type="dxa" w:w="2232"/>
          </w:tcPr>
          <w:p>
            <w:pPr>
              <w:spacing w:after="0"/>
            </w:pPr>
            <w:r>
              <w:rPr>
                <w:b w:val="0"/>
                <w:i w:val="0"/>
                <w:sz w:val="16"/>
              </w:rPr>
              <w:t>Scapolite USNM R6600-1</w:t>
            </w:r>
          </w:p>
        </w:tc>
        <w:tc>
          <w:tcPr>
            <w:tcW w:type="dxa" w:w="1008"/>
          </w:tcPr>
          <w:p>
            <w:pPr>
              <w:spacing w:after="0"/>
            </w:pPr>
            <w:r>
              <w:rPr>
                <w:b w:val="0"/>
                <w:i w:val="0"/>
                <w:sz w:val="16"/>
              </w:rPr>
              <w:t>0.010</w:t>
            </w:r>
          </w:p>
        </w:tc>
      </w:tr>
      <w:tr>
        <w:tc>
          <w:tcPr>
            <w:tcW w:type="dxa" w:w="792"/>
          </w:tcPr>
          <w:p>
            <w:pPr>
              <w:spacing w:after="0"/>
            </w:pPr>
            <w:r>
              <w:rPr>
                <w:b w:val="0"/>
                <w:i w:val="0"/>
                <w:sz w:val="16"/>
              </w:rPr>
              <w:t>Zn</w:t>
            </w:r>
            <w:r>
              <w:rPr>
                <w:b w:val="0"/>
                <w:i w:val="0"/>
                <w:sz w:val="16"/>
              </w:rPr>
              <w:t>*</w:t>
            </w:r>
          </w:p>
        </w:tc>
        <w:tc>
          <w:tcPr>
            <w:tcW w:type="dxa" w:w="648"/>
          </w:tcPr>
          <w:p>
            <w:pPr>
              <w:spacing w:after="0"/>
            </w:pPr>
            <w:r>
              <w:rPr>
                <w:b w:val="0"/>
                <w:i w:val="0"/>
                <w:sz w:val="16"/>
              </w:rPr>
              <w:t>Kα</w:t>
            </w:r>
          </w:p>
        </w:tc>
        <w:tc>
          <w:tcPr>
            <w:tcW w:type="dxa" w:w="1656"/>
          </w:tcPr>
          <w:p>
            <w:pPr>
              <w:spacing w:after="0"/>
            </w:pPr>
            <w:r>
              <w:rPr>
                <w:b w:val="0"/>
                <w:i w:val="0"/>
                <w:sz w:val="16"/>
              </w:rPr>
              <w:t>Sp5 (LIF)</w:t>
            </w:r>
          </w:p>
        </w:tc>
        <w:tc>
          <w:tcPr>
            <w:tcW w:type="dxa" w:w="576"/>
          </w:tcPr>
          <w:p>
            <w:pPr>
              <w:spacing w:after="0"/>
            </w:pPr>
            <w:r>
              <w:rPr>
                <w:b w:val="0"/>
                <w:i w:val="0"/>
                <w:sz w:val="16"/>
              </w:rPr>
              <w:t>1</w:t>
            </w:r>
          </w:p>
        </w:tc>
        <w:tc>
          <w:tcPr>
            <w:tcW w:type="dxa" w:w="1224"/>
          </w:tcPr>
          <w:p>
            <w:pPr>
              <w:spacing w:after="0"/>
            </w:pPr>
            <w:r>
              <w:rPr>
                <w:b w:val="0"/>
                <w:i w:val="0"/>
                <w:sz w:val="16"/>
              </w:rPr>
              <w:t>10 / 10</w:t>
            </w:r>
          </w:p>
        </w:tc>
        <w:tc>
          <w:tcPr>
            <w:tcW w:type="dxa" w:w="1224"/>
          </w:tcPr>
          <w:p>
            <w:pPr>
              <w:spacing w:after="0"/>
            </w:pPr>
            <w:r>
              <w:rPr>
                <w:b w:val="0"/>
                <w:i w:val="0"/>
                <w:sz w:val="16"/>
              </w:rPr>
              <w:t>−3.5 / +3.5</w:t>
            </w:r>
          </w:p>
        </w:tc>
        <w:tc>
          <w:tcPr>
            <w:tcW w:type="dxa" w:w="2232"/>
          </w:tcPr>
          <w:p>
            <w:pPr>
              <w:spacing w:after="0"/>
            </w:pPr>
            <w:r>
              <w:rPr>
                <w:b w:val="0"/>
                <w:i w:val="0"/>
                <w:sz w:val="16"/>
              </w:rPr>
              <w:t>Synthetic ZnS</w:t>
            </w:r>
          </w:p>
        </w:tc>
        <w:tc>
          <w:tcPr>
            <w:tcW w:type="dxa" w:w="1008"/>
          </w:tcPr>
          <w:p>
            <w:pPr>
              <w:spacing w:after="0"/>
            </w:pPr>
            <w:r>
              <w:rPr>
                <w:b w:val="0"/>
                <w:i w:val="0"/>
                <w:sz w:val="16"/>
              </w:rPr>
              <w:t>—</w:t>
            </w:r>
          </w:p>
        </w:tc>
      </w:tr>
      <w:tr>
        <w:tc>
          <w:tcPr>
            <w:tcW w:type="dxa" w:w="792"/>
          </w:tcPr>
          <w:p>
            <w:pPr>
              <w:spacing w:after="0"/>
            </w:pPr>
            <w:r>
              <w:rPr>
                <w:b w:val="0"/>
                <w:i w:val="0"/>
                <w:sz w:val="16"/>
              </w:rPr>
              <w:t>Al</w:t>
            </w:r>
          </w:p>
        </w:tc>
        <w:tc>
          <w:tcPr>
            <w:tcW w:type="dxa" w:w="648"/>
          </w:tcPr>
          <w:p>
            <w:pPr>
              <w:spacing w:after="0"/>
            </w:pPr>
            <w:r>
              <w:rPr>
                <w:b w:val="0"/>
                <w:i w:val="0"/>
                <w:sz w:val="16"/>
              </w:rPr>
              <w:t>Kα</w:t>
            </w:r>
          </w:p>
        </w:tc>
        <w:tc>
          <w:tcPr>
            <w:tcW w:type="dxa" w:w="1656"/>
          </w:tcPr>
          <w:p>
            <w:pPr>
              <w:spacing w:after="0"/>
            </w:pPr>
            <w:r>
              <w:rPr>
                <w:b w:val="0"/>
                <w:i w:val="0"/>
                <w:sz w:val="16"/>
              </w:rPr>
              <w:t>Sp1 (TAP)</w:t>
            </w:r>
          </w:p>
        </w:tc>
        <w:tc>
          <w:tcPr>
            <w:tcW w:type="dxa" w:w="576"/>
          </w:tcPr>
          <w:p>
            <w:pPr>
              <w:spacing w:after="0"/>
            </w:pPr>
            <w:r>
              <w:rPr>
                <w:b w:val="0"/>
                <w:i w:val="0"/>
                <w:sz w:val="16"/>
              </w:rPr>
              <w:t>2</w:t>
            </w:r>
          </w:p>
        </w:tc>
        <w:tc>
          <w:tcPr>
            <w:tcW w:type="dxa" w:w="1224"/>
          </w:tcPr>
          <w:p>
            <w:pPr>
              <w:spacing w:after="0"/>
            </w:pPr>
            <w:r>
              <w:rPr>
                <w:b w:val="0"/>
                <w:i w:val="0"/>
                <w:sz w:val="16"/>
              </w:rPr>
              <w:t>20 / 20</w:t>
            </w:r>
          </w:p>
        </w:tc>
        <w:tc>
          <w:tcPr>
            <w:tcW w:type="dxa" w:w="1224"/>
          </w:tcPr>
          <w:p>
            <w:pPr>
              <w:spacing w:after="0"/>
            </w:pPr>
            <w:r>
              <w:rPr>
                <w:b w:val="0"/>
                <w:i w:val="0"/>
                <w:sz w:val="16"/>
              </w:rPr>
              <w:t>−3.5 / +3.5</w:t>
            </w:r>
          </w:p>
        </w:tc>
        <w:tc>
          <w:tcPr>
            <w:tcW w:type="dxa" w:w="2232"/>
          </w:tcPr>
          <w:p>
            <w:pPr>
              <w:spacing w:after="0"/>
            </w:pPr>
            <w:r>
              <w:rPr>
                <w:b w:val="0"/>
                <w:i w:val="0"/>
                <w:sz w:val="16"/>
              </w:rPr>
              <w:t>Anorthite USNM 137041</w:t>
            </w:r>
          </w:p>
        </w:tc>
        <w:tc>
          <w:tcPr>
            <w:tcW w:type="dxa" w:w="1008"/>
          </w:tcPr>
          <w:p>
            <w:pPr>
              <w:spacing w:after="0"/>
            </w:pPr>
            <w:r>
              <w:rPr>
                <w:b w:val="0"/>
                <w:i w:val="0"/>
                <w:sz w:val="16"/>
              </w:rPr>
              <w:t>0.012</w:t>
            </w:r>
          </w:p>
        </w:tc>
      </w:tr>
      <w:tr>
        <w:tc>
          <w:tcPr>
            <w:tcW w:type="dxa" w:w="792"/>
          </w:tcPr>
          <w:p>
            <w:pPr>
              <w:spacing w:after="0"/>
            </w:pPr>
            <w:r>
              <w:rPr>
                <w:b w:val="0"/>
                <w:i w:val="0"/>
                <w:sz w:val="16"/>
              </w:rPr>
              <w:t>P</w:t>
            </w:r>
          </w:p>
        </w:tc>
        <w:tc>
          <w:tcPr>
            <w:tcW w:type="dxa" w:w="648"/>
          </w:tcPr>
          <w:p>
            <w:pPr>
              <w:spacing w:after="0"/>
            </w:pPr>
            <w:r>
              <w:rPr>
                <w:b w:val="0"/>
                <w:i w:val="0"/>
                <w:sz w:val="16"/>
              </w:rPr>
              <w:t>Kα</w:t>
            </w:r>
          </w:p>
        </w:tc>
        <w:tc>
          <w:tcPr>
            <w:tcW w:type="dxa" w:w="1656"/>
          </w:tcPr>
          <w:p>
            <w:pPr>
              <w:spacing w:after="0"/>
            </w:pPr>
            <w:r>
              <w:rPr>
                <w:b w:val="0"/>
                <w:i w:val="0"/>
                <w:sz w:val="16"/>
              </w:rPr>
              <w:t>Sp2 (PETJ)</w:t>
            </w:r>
          </w:p>
        </w:tc>
        <w:tc>
          <w:tcPr>
            <w:tcW w:type="dxa" w:w="576"/>
          </w:tcPr>
          <w:p>
            <w:pPr>
              <w:spacing w:after="0"/>
            </w:pPr>
            <w:r>
              <w:rPr>
                <w:b w:val="0"/>
                <w:i w:val="0"/>
                <w:sz w:val="16"/>
              </w:rPr>
              <w:t>2</w:t>
            </w:r>
          </w:p>
        </w:tc>
        <w:tc>
          <w:tcPr>
            <w:tcW w:type="dxa" w:w="1224"/>
          </w:tcPr>
          <w:p>
            <w:pPr>
              <w:spacing w:after="0"/>
            </w:pPr>
            <w:r>
              <w:rPr>
                <w:b w:val="0"/>
                <w:i w:val="0"/>
                <w:sz w:val="16"/>
              </w:rPr>
              <w:t>20 / 20</w:t>
            </w:r>
          </w:p>
        </w:tc>
        <w:tc>
          <w:tcPr>
            <w:tcW w:type="dxa" w:w="1224"/>
          </w:tcPr>
          <w:p>
            <w:pPr>
              <w:spacing w:after="0"/>
            </w:pPr>
            <w:r>
              <w:rPr>
                <w:b w:val="0"/>
                <w:i w:val="0"/>
                <w:sz w:val="16"/>
              </w:rPr>
              <w:t>−4.0 / +4.0</w:t>
            </w:r>
          </w:p>
        </w:tc>
        <w:tc>
          <w:tcPr>
            <w:tcW w:type="dxa" w:w="2232"/>
          </w:tcPr>
          <w:p>
            <w:pPr>
              <w:spacing w:after="0"/>
            </w:pPr>
            <w:r>
              <w:rPr>
                <w:b w:val="0"/>
                <w:i w:val="0"/>
                <w:sz w:val="16"/>
              </w:rPr>
              <w:t>Wilberforce fluorapatite</w:t>
            </w:r>
          </w:p>
        </w:tc>
        <w:tc>
          <w:tcPr>
            <w:tcW w:type="dxa" w:w="1008"/>
          </w:tcPr>
          <w:p>
            <w:pPr>
              <w:spacing w:after="0"/>
            </w:pPr>
            <w:r>
              <w:rPr>
                <w:b w:val="0"/>
                <w:i w:val="0"/>
                <w:sz w:val="16"/>
              </w:rPr>
              <w:t>0.020</w:t>
            </w:r>
          </w:p>
        </w:tc>
      </w:tr>
      <w:tr>
        <w:tc>
          <w:tcPr>
            <w:tcW w:type="dxa" w:w="792"/>
          </w:tcPr>
          <w:p>
            <w:pPr>
              <w:spacing w:after="0"/>
            </w:pPr>
            <w:r>
              <w:rPr>
                <w:b w:val="0"/>
                <w:i w:val="0"/>
                <w:sz w:val="16"/>
              </w:rPr>
              <w:t>Ti</w:t>
            </w:r>
          </w:p>
        </w:tc>
        <w:tc>
          <w:tcPr>
            <w:tcW w:type="dxa" w:w="648"/>
          </w:tcPr>
          <w:p>
            <w:pPr>
              <w:spacing w:after="0"/>
            </w:pPr>
            <w:r>
              <w:rPr>
                <w:b w:val="0"/>
                <w:i w:val="0"/>
                <w:sz w:val="16"/>
              </w:rPr>
              <w:t>Kα</w:t>
            </w:r>
          </w:p>
        </w:tc>
        <w:tc>
          <w:tcPr>
            <w:tcW w:type="dxa" w:w="1656"/>
          </w:tcPr>
          <w:p>
            <w:pPr>
              <w:spacing w:after="0"/>
            </w:pPr>
            <w:r>
              <w:rPr>
                <w:b w:val="0"/>
                <w:i w:val="0"/>
                <w:sz w:val="16"/>
              </w:rPr>
              <w:t>Sp3 (PETJ)</w:t>
            </w:r>
          </w:p>
        </w:tc>
        <w:tc>
          <w:tcPr>
            <w:tcW w:type="dxa" w:w="576"/>
          </w:tcPr>
          <w:p>
            <w:pPr>
              <w:spacing w:after="0"/>
            </w:pPr>
            <w:r>
              <w:rPr>
                <w:b w:val="0"/>
                <w:i w:val="0"/>
                <w:sz w:val="16"/>
              </w:rPr>
              <w:t>2</w:t>
            </w:r>
          </w:p>
        </w:tc>
        <w:tc>
          <w:tcPr>
            <w:tcW w:type="dxa" w:w="1224"/>
          </w:tcPr>
          <w:p>
            <w:pPr>
              <w:spacing w:after="0"/>
            </w:pPr>
            <w:r>
              <w:rPr>
                <w:b w:val="0"/>
                <w:i w:val="0"/>
                <w:sz w:val="16"/>
              </w:rPr>
              <w:t>30 / 30</w:t>
            </w:r>
          </w:p>
        </w:tc>
        <w:tc>
          <w:tcPr>
            <w:tcW w:type="dxa" w:w="1224"/>
          </w:tcPr>
          <w:p>
            <w:pPr>
              <w:spacing w:after="0"/>
            </w:pPr>
            <w:r>
              <w:rPr>
                <w:b w:val="0"/>
                <w:i w:val="0"/>
                <w:sz w:val="16"/>
              </w:rPr>
              <w:t>−5.0 / +5.0</w:t>
            </w:r>
          </w:p>
        </w:tc>
        <w:tc>
          <w:tcPr>
            <w:tcW w:type="dxa" w:w="2232"/>
          </w:tcPr>
          <w:p>
            <w:pPr>
              <w:spacing w:after="0"/>
            </w:pPr>
            <w:r>
              <w:rPr>
                <w:b w:val="0"/>
                <w:i w:val="0"/>
                <w:sz w:val="16"/>
              </w:rPr>
              <w:t>Ilmenite USNM 96189</w:t>
            </w:r>
          </w:p>
        </w:tc>
        <w:tc>
          <w:tcPr>
            <w:tcW w:type="dxa" w:w="1008"/>
          </w:tcPr>
          <w:p>
            <w:pPr>
              <w:spacing w:after="0"/>
            </w:pPr>
            <w:r>
              <w:rPr>
                <w:b w:val="0"/>
                <w:i w:val="0"/>
                <w:sz w:val="16"/>
              </w:rPr>
              <w:t>0.015</w:t>
            </w:r>
          </w:p>
        </w:tc>
      </w:tr>
      <w:tr>
        <w:tc>
          <w:tcPr>
            <w:tcW w:type="dxa" w:w="792"/>
          </w:tcPr>
          <w:p>
            <w:pPr>
              <w:spacing w:after="0"/>
            </w:pPr>
            <w:r>
              <w:rPr>
                <w:b w:val="0"/>
                <w:i w:val="0"/>
                <w:sz w:val="16"/>
              </w:rPr>
              <w:t>Cr</w:t>
            </w:r>
          </w:p>
        </w:tc>
        <w:tc>
          <w:tcPr>
            <w:tcW w:type="dxa" w:w="648"/>
          </w:tcPr>
          <w:p>
            <w:pPr>
              <w:spacing w:after="0"/>
            </w:pPr>
            <w:r>
              <w:rPr>
                <w:b w:val="0"/>
                <w:i w:val="0"/>
                <w:sz w:val="16"/>
              </w:rPr>
              <w:t>Kα</w:t>
            </w:r>
          </w:p>
        </w:tc>
        <w:tc>
          <w:tcPr>
            <w:tcW w:type="dxa" w:w="1656"/>
          </w:tcPr>
          <w:p>
            <w:pPr>
              <w:spacing w:after="0"/>
            </w:pPr>
            <w:r>
              <w:rPr>
                <w:b w:val="0"/>
                <w:i w:val="0"/>
                <w:sz w:val="16"/>
              </w:rPr>
              <w:t>Sp4 (LIFH)</w:t>
            </w:r>
          </w:p>
        </w:tc>
        <w:tc>
          <w:tcPr>
            <w:tcW w:type="dxa" w:w="576"/>
          </w:tcPr>
          <w:p>
            <w:pPr>
              <w:spacing w:after="0"/>
            </w:pPr>
            <w:r>
              <w:rPr>
                <w:b w:val="0"/>
                <w:i w:val="0"/>
                <w:sz w:val="16"/>
              </w:rPr>
              <w:t>2</w:t>
            </w:r>
          </w:p>
        </w:tc>
        <w:tc>
          <w:tcPr>
            <w:tcW w:type="dxa" w:w="1224"/>
          </w:tcPr>
          <w:p>
            <w:pPr>
              <w:spacing w:after="0"/>
            </w:pPr>
            <w:r>
              <w:rPr>
                <w:b w:val="0"/>
                <w:i w:val="0"/>
                <w:sz w:val="16"/>
              </w:rPr>
              <w:t>30 / 30</w:t>
            </w:r>
          </w:p>
        </w:tc>
        <w:tc>
          <w:tcPr>
            <w:tcW w:type="dxa" w:w="1224"/>
          </w:tcPr>
          <w:p>
            <w:pPr>
              <w:spacing w:after="0"/>
            </w:pPr>
            <w:r>
              <w:rPr>
                <w:b w:val="0"/>
                <w:i w:val="0"/>
                <w:sz w:val="16"/>
              </w:rPr>
              <w:t>−3.0 / +3.0</w:t>
            </w:r>
          </w:p>
        </w:tc>
        <w:tc>
          <w:tcPr>
            <w:tcW w:type="dxa" w:w="2232"/>
          </w:tcPr>
          <w:p>
            <w:pPr>
              <w:spacing w:after="0"/>
            </w:pPr>
            <w:r>
              <w:rPr>
                <w:b w:val="0"/>
                <w:i w:val="0"/>
                <w:sz w:val="16"/>
              </w:rPr>
              <w:t>Synthetic Cr₂O₃</w:t>
            </w:r>
          </w:p>
        </w:tc>
        <w:tc>
          <w:tcPr>
            <w:tcW w:type="dxa" w:w="1008"/>
          </w:tcPr>
          <w:p>
            <w:pPr>
              <w:spacing w:after="0"/>
            </w:pPr>
            <w:r>
              <w:rPr>
                <w:b w:val="0"/>
                <w:i w:val="0"/>
                <w:sz w:val="16"/>
              </w:rPr>
              <w:t>0.018</w:t>
            </w:r>
          </w:p>
        </w:tc>
      </w:tr>
      <w:tr>
        <w:tc>
          <w:tcPr>
            <w:tcW w:type="dxa" w:w="792"/>
          </w:tcPr>
          <w:p>
            <w:pPr>
              <w:spacing w:after="0"/>
            </w:pPr>
            <w:r>
              <w:rPr>
                <w:b w:val="0"/>
                <w:i w:val="0"/>
                <w:sz w:val="16"/>
              </w:rPr>
              <w:t>Mn</w:t>
            </w:r>
          </w:p>
        </w:tc>
        <w:tc>
          <w:tcPr>
            <w:tcW w:type="dxa" w:w="648"/>
          </w:tcPr>
          <w:p>
            <w:pPr>
              <w:spacing w:after="0"/>
            </w:pPr>
            <w:r>
              <w:rPr>
                <w:b w:val="0"/>
                <w:i w:val="0"/>
                <w:sz w:val="16"/>
              </w:rPr>
              <w:t>Kα</w:t>
            </w:r>
          </w:p>
        </w:tc>
        <w:tc>
          <w:tcPr>
            <w:tcW w:type="dxa" w:w="1656"/>
          </w:tcPr>
          <w:p>
            <w:pPr>
              <w:spacing w:after="0"/>
            </w:pPr>
            <w:r>
              <w:rPr>
                <w:b w:val="0"/>
                <w:i w:val="0"/>
                <w:sz w:val="16"/>
              </w:rPr>
              <w:t>Sp5 (LIF)</w:t>
            </w:r>
          </w:p>
        </w:tc>
        <w:tc>
          <w:tcPr>
            <w:tcW w:type="dxa" w:w="576"/>
          </w:tcPr>
          <w:p>
            <w:pPr>
              <w:spacing w:after="0"/>
            </w:pPr>
            <w:r>
              <w:rPr>
                <w:b w:val="0"/>
                <w:i w:val="0"/>
                <w:sz w:val="16"/>
              </w:rPr>
              <w:t>2</w:t>
            </w:r>
          </w:p>
        </w:tc>
        <w:tc>
          <w:tcPr>
            <w:tcW w:type="dxa" w:w="1224"/>
          </w:tcPr>
          <w:p>
            <w:pPr>
              <w:spacing w:after="0"/>
            </w:pPr>
            <w:r>
              <w:rPr>
                <w:b w:val="0"/>
                <w:i w:val="0"/>
                <w:sz w:val="16"/>
              </w:rPr>
              <w:t>30 / 30</w:t>
            </w:r>
          </w:p>
        </w:tc>
        <w:tc>
          <w:tcPr>
            <w:tcW w:type="dxa" w:w="1224"/>
          </w:tcPr>
          <w:p>
            <w:pPr>
              <w:spacing w:after="0"/>
            </w:pPr>
            <w:r>
              <w:rPr>
                <w:b w:val="0"/>
                <w:i w:val="0"/>
                <w:sz w:val="16"/>
              </w:rPr>
              <w:t>−3.5 / +3.5</w:t>
            </w:r>
          </w:p>
        </w:tc>
        <w:tc>
          <w:tcPr>
            <w:tcW w:type="dxa" w:w="2232"/>
          </w:tcPr>
          <w:p>
            <w:pPr>
              <w:spacing w:after="0"/>
            </w:pPr>
            <w:r>
              <w:rPr>
                <w:b w:val="0"/>
                <w:i w:val="0"/>
                <w:sz w:val="16"/>
              </w:rPr>
              <w:t>Rhodonite</w:t>
            </w:r>
          </w:p>
        </w:tc>
        <w:tc>
          <w:tcPr>
            <w:tcW w:type="dxa" w:w="1008"/>
          </w:tcPr>
          <w:p>
            <w:pPr>
              <w:spacing w:after="0"/>
            </w:pPr>
            <w:r>
              <w:rPr>
                <w:b w:val="0"/>
                <w:i w:val="0"/>
                <w:sz w:val="16"/>
              </w:rPr>
              <w:t>0.016</w:t>
            </w:r>
          </w:p>
        </w:tc>
      </w:tr>
      <w:tr>
        <w:tc>
          <w:tcPr>
            <w:tcW w:type="dxa" w:w="792"/>
          </w:tcPr>
          <w:p>
            <w:pPr>
              <w:spacing w:after="0"/>
            </w:pPr>
            <w:r>
              <w:rPr>
                <w:b w:val="0"/>
                <w:i w:val="0"/>
                <w:sz w:val="16"/>
              </w:rPr>
              <w:t>Co</w:t>
            </w:r>
          </w:p>
        </w:tc>
        <w:tc>
          <w:tcPr>
            <w:tcW w:type="dxa" w:w="648"/>
          </w:tcPr>
          <w:p>
            <w:pPr>
              <w:spacing w:after="0"/>
            </w:pPr>
            <w:r>
              <w:rPr>
                <w:b w:val="0"/>
                <w:i w:val="0"/>
                <w:sz w:val="16"/>
              </w:rPr>
              <w:t>Kα</w:t>
            </w:r>
          </w:p>
        </w:tc>
        <w:tc>
          <w:tcPr>
            <w:tcW w:type="dxa" w:w="1656"/>
          </w:tcPr>
          <w:p>
            <w:pPr>
              <w:spacing w:after="0"/>
            </w:pPr>
            <w:r>
              <w:rPr>
                <w:b w:val="0"/>
                <w:i w:val="0"/>
                <w:sz w:val="16"/>
              </w:rPr>
              <w:t>Sp3 (LIF)</w:t>
            </w:r>
          </w:p>
        </w:tc>
        <w:tc>
          <w:tcPr>
            <w:tcW w:type="dxa" w:w="576"/>
          </w:tcPr>
          <w:p>
            <w:pPr>
              <w:spacing w:after="0"/>
            </w:pPr>
            <w:r>
              <w:rPr>
                <w:b w:val="0"/>
                <w:i w:val="0"/>
                <w:sz w:val="16"/>
              </w:rPr>
              <w:t>3</w:t>
            </w:r>
          </w:p>
        </w:tc>
        <w:tc>
          <w:tcPr>
            <w:tcW w:type="dxa" w:w="1224"/>
          </w:tcPr>
          <w:p>
            <w:pPr>
              <w:spacing w:after="0"/>
            </w:pPr>
            <w:r>
              <w:rPr>
                <w:b w:val="0"/>
                <w:i w:val="0"/>
                <w:sz w:val="16"/>
              </w:rPr>
              <w:t>60 / 60†</w:t>
            </w:r>
          </w:p>
        </w:tc>
        <w:tc>
          <w:tcPr>
            <w:tcW w:type="dxa" w:w="1224"/>
          </w:tcPr>
          <w:p>
            <w:pPr>
              <w:spacing w:after="0"/>
            </w:pPr>
            <w:r>
              <w:rPr>
                <w:b w:val="0"/>
                <w:i w:val="0"/>
                <w:sz w:val="16"/>
              </w:rPr>
              <w:t>−2.5 / +3.5</w:t>
            </w:r>
          </w:p>
        </w:tc>
        <w:tc>
          <w:tcPr>
            <w:tcW w:type="dxa" w:w="2232"/>
          </w:tcPr>
          <w:p>
            <w:pPr>
              <w:spacing w:after="0"/>
            </w:pPr>
            <w:r>
              <w:rPr>
                <w:b w:val="0"/>
                <w:i w:val="0"/>
                <w:sz w:val="16"/>
              </w:rPr>
              <w:t>Co metal</w:t>
            </w:r>
          </w:p>
        </w:tc>
        <w:tc>
          <w:tcPr>
            <w:tcW w:type="dxa" w:w="1008"/>
          </w:tcPr>
          <w:p>
            <w:pPr>
              <w:spacing w:after="0"/>
            </w:pPr>
            <w:r>
              <w:rPr>
                <w:b w:val="0"/>
                <w:i w:val="0"/>
                <w:sz w:val="16"/>
              </w:rPr>
              <w:t>0.010</w:t>
            </w:r>
          </w:p>
        </w:tc>
      </w:tr>
      <w:tr>
        <w:tc>
          <w:tcPr>
            <w:tcW w:type="dxa" w:w="792"/>
          </w:tcPr>
          <w:p>
            <w:pPr>
              <w:spacing w:after="0"/>
            </w:pPr>
            <w:r>
              <w:rPr>
                <w:b w:val="0"/>
                <w:i w:val="0"/>
                <w:sz w:val="16"/>
              </w:rPr>
              <w:t>Ni</w:t>
            </w:r>
          </w:p>
        </w:tc>
        <w:tc>
          <w:tcPr>
            <w:tcW w:type="dxa" w:w="648"/>
          </w:tcPr>
          <w:p>
            <w:pPr>
              <w:spacing w:after="0"/>
            </w:pPr>
            <w:r>
              <w:rPr>
                <w:b w:val="0"/>
                <w:i w:val="0"/>
                <w:sz w:val="16"/>
              </w:rPr>
              <w:t>Kα</w:t>
            </w:r>
          </w:p>
        </w:tc>
        <w:tc>
          <w:tcPr>
            <w:tcW w:type="dxa" w:w="1656"/>
          </w:tcPr>
          <w:p>
            <w:pPr>
              <w:spacing w:after="0"/>
            </w:pPr>
            <w:r>
              <w:rPr>
                <w:b w:val="0"/>
                <w:i w:val="0"/>
                <w:sz w:val="16"/>
              </w:rPr>
              <w:t>Sp4 (LIFH) + Sp5 (LIF)</w:t>
            </w:r>
          </w:p>
        </w:tc>
        <w:tc>
          <w:tcPr>
            <w:tcW w:type="dxa" w:w="576"/>
          </w:tcPr>
          <w:p>
            <w:pPr>
              <w:spacing w:after="0"/>
            </w:pPr>
            <w:r>
              <w:rPr>
                <w:b w:val="0"/>
                <w:i w:val="0"/>
                <w:sz w:val="16"/>
              </w:rPr>
              <w:t>3</w:t>
            </w:r>
          </w:p>
        </w:tc>
        <w:tc>
          <w:tcPr>
            <w:tcW w:type="dxa" w:w="1224"/>
          </w:tcPr>
          <w:p>
            <w:pPr>
              <w:spacing w:after="0"/>
            </w:pPr>
            <w:r>
              <w:rPr>
                <w:b w:val="0"/>
                <w:i w:val="0"/>
                <w:sz w:val="16"/>
              </w:rPr>
              <w:t>60 / 60†</w:t>
            </w:r>
          </w:p>
        </w:tc>
        <w:tc>
          <w:tcPr>
            <w:tcW w:type="dxa" w:w="1224"/>
          </w:tcPr>
          <w:p>
            <w:pPr>
              <w:spacing w:after="0"/>
            </w:pPr>
            <w:r>
              <w:rPr>
                <w:b w:val="0"/>
                <w:i w:val="0"/>
                <w:sz w:val="16"/>
              </w:rPr>
              <w:t>−3.0 / +3.0</w:t>
            </w:r>
          </w:p>
        </w:tc>
        <w:tc>
          <w:tcPr>
            <w:tcW w:type="dxa" w:w="2232"/>
          </w:tcPr>
          <w:p>
            <w:pPr>
              <w:spacing w:after="0"/>
            </w:pPr>
            <w:r>
              <w:rPr>
                <w:b w:val="0"/>
                <w:i w:val="0"/>
                <w:sz w:val="16"/>
              </w:rPr>
              <w:t>Ni metal</w:t>
            </w:r>
          </w:p>
        </w:tc>
        <w:tc>
          <w:tcPr>
            <w:tcW w:type="dxa" w:w="1008"/>
          </w:tcPr>
          <w:p>
            <w:pPr>
              <w:spacing w:after="0"/>
            </w:pPr>
            <w:r>
              <w:rPr>
                <w:b w:val="0"/>
                <w:i w:val="0"/>
                <w:sz w:val="16"/>
              </w:rPr>
              <w:t>0.008</w:t>
            </w:r>
          </w:p>
        </w:tc>
      </w:tr>
      <w:tr>
        <w:tc>
          <w:tcPr>
            <w:tcW w:type="dxa" w:w="792"/>
          </w:tcPr>
          <w:p>
            <w:pPr>
              <w:spacing w:after="0"/>
            </w:pPr>
            <w:r>
              <w:rPr>
                <w:b w:val="0"/>
                <w:i w:val="0"/>
                <w:sz w:val="16"/>
              </w:rPr>
              <w:t>Si</w:t>
            </w:r>
          </w:p>
        </w:tc>
        <w:tc>
          <w:tcPr>
            <w:tcW w:type="dxa" w:w="648"/>
          </w:tcPr>
          <w:p>
            <w:pPr>
              <w:spacing w:after="0"/>
            </w:pPr>
            <w:r>
              <w:rPr>
                <w:b w:val="0"/>
                <w:i w:val="0"/>
                <w:sz w:val="16"/>
              </w:rPr>
              <w:t>Kα</w:t>
            </w:r>
          </w:p>
        </w:tc>
        <w:tc>
          <w:tcPr>
            <w:tcW w:type="dxa" w:w="1656"/>
          </w:tcPr>
          <w:p>
            <w:pPr>
              <w:spacing w:after="0"/>
            </w:pPr>
            <w:r>
              <w:rPr>
                <w:b w:val="0"/>
                <w:i w:val="0"/>
                <w:sz w:val="16"/>
              </w:rPr>
              <w:t>EDS</w:t>
            </w:r>
          </w:p>
        </w:tc>
        <w:tc>
          <w:tcPr>
            <w:tcW w:type="dxa" w:w="576"/>
          </w:tcPr>
          <w:p>
            <w:pPr>
              <w:spacing w:after="0"/>
            </w:pPr>
            <w:r>
              <w:rPr>
                <w:b w:val="0"/>
                <w:i w:val="0"/>
                <w:sz w:val="16"/>
              </w:rPr>
              <w:t>—</w:t>
            </w:r>
          </w:p>
        </w:tc>
        <w:tc>
          <w:tcPr>
            <w:tcW w:type="dxa" w:w="1224"/>
          </w:tcPr>
          <w:p>
            <w:pPr>
              <w:spacing w:after="0"/>
            </w:pPr>
            <w:r>
              <w:rPr>
                <w:b w:val="0"/>
                <w:i w:val="0"/>
                <w:sz w:val="16"/>
              </w:rPr>
              <w:t>30 s live</w:t>
            </w:r>
          </w:p>
        </w:tc>
        <w:tc>
          <w:tcPr>
            <w:tcW w:type="dxa" w:w="1224"/>
          </w:tcPr>
          <w:p>
            <w:pPr>
              <w:spacing w:after="0"/>
            </w:pPr>
            <w:r>
              <w:rPr>
                <w:b w:val="0"/>
                <w:i w:val="0"/>
                <w:sz w:val="16"/>
              </w:rPr>
              <w:t>—</w:t>
            </w:r>
          </w:p>
        </w:tc>
        <w:tc>
          <w:tcPr>
            <w:tcW w:type="dxa" w:w="2232"/>
          </w:tcPr>
          <w:p>
            <w:pPr>
              <w:spacing w:after="0"/>
            </w:pPr>
            <w:r>
              <w:rPr>
                <w:b w:val="0"/>
                <w:i w:val="0"/>
                <w:sz w:val="16"/>
              </w:rPr>
              <w:t>Springwater olivine USNM 2566</w:t>
            </w:r>
          </w:p>
        </w:tc>
        <w:tc>
          <w:tcPr>
            <w:tcW w:type="dxa" w:w="1008"/>
          </w:tcPr>
          <w:p>
            <w:pPr>
              <w:spacing w:after="0"/>
            </w:pPr>
            <w:r>
              <w:rPr>
                <w:b w:val="0"/>
                <w:i w:val="0"/>
                <w:sz w:val="16"/>
              </w:rPr>
              <w:t>0.11</w:t>
            </w:r>
          </w:p>
        </w:tc>
      </w:tr>
      <w:tr>
        <w:tc>
          <w:tcPr>
            <w:tcW w:type="dxa" w:w="792"/>
          </w:tcPr>
          <w:p>
            <w:pPr>
              <w:spacing w:after="0"/>
            </w:pPr>
            <w:r>
              <w:rPr>
                <w:b w:val="0"/>
                <w:i w:val="0"/>
                <w:sz w:val="16"/>
              </w:rPr>
              <w:t>Mg</w:t>
            </w:r>
          </w:p>
        </w:tc>
        <w:tc>
          <w:tcPr>
            <w:tcW w:type="dxa" w:w="648"/>
          </w:tcPr>
          <w:p>
            <w:pPr>
              <w:spacing w:after="0"/>
            </w:pPr>
            <w:r>
              <w:rPr>
                <w:b w:val="0"/>
                <w:i w:val="0"/>
                <w:sz w:val="16"/>
              </w:rPr>
              <w:t>Kα</w:t>
            </w:r>
          </w:p>
        </w:tc>
        <w:tc>
          <w:tcPr>
            <w:tcW w:type="dxa" w:w="1656"/>
          </w:tcPr>
          <w:p>
            <w:pPr>
              <w:spacing w:after="0"/>
            </w:pPr>
            <w:r>
              <w:rPr>
                <w:b w:val="0"/>
                <w:i w:val="0"/>
                <w:sz w:val="16"/>
              </w:rPr>
              <w:t>EDS</w:t>
            </w:r>
          </w:p>
        </w:tc>
        <w:tc>
          <w:tcPr>
            <w:tcW w:type="dxa" w:w="576"/>
          </w:tcPr>
          <w:p>
            <w:pPr>
              <w:spacing w:after="0"/>
            </w:pPr>
            <w:r>
              <w:rPr>
                <w:b w:val="0"/>
                <w:i w:val="0"/>
                <w:sz w:val="16"/>
              </w:rPr>
              <w:t>—</w:t>
            </w:r>
          </w:p>
        </w:tc>
        <w:tc>
          <w:tcPr>
            <w:tcW w:type="dxa" w:w="1224"/>
          </w:tcPr>
          <w:p>
            <w:pPr>
              <w:spacing w:after="0"/>
            </w:pPr>
            <w:r>
              <w:rPr>
                <w:b w:val="0"/>
                <w:i w:val="0"/>
                <w:sz w:val="16"/>
              </w:rPr>
              <w:t>30 s live</w:t>
            </w:r>
          </w:p>
        </w:tc>
        <w:tc>
          <w:tcPr>
            <w:tcW w:type="dxa" w:w="1224"/>
          </w:tcPr>
          <w:p>
            <w:pPr>
              <w:spacing w:after="0"/>
            </w:pPr>
            <w:r>
              <w:rPr>
                <w:b w:val="0"/>
                <w:i w:val="0"/>
                <w:sz w:val="16"/>
              </w:rPr>
              <w:t>—</w:t>
            </w:r>
          </w:p>
        </w:tc>
        <w:tc>
          <w:tcPr>
            <w:tcW w:type="dxa" w:w="2232"/>
          </w:tcPr>
          <w:p>
            <w:pPr>
              <w:spacing w:after="0"/>
            </w:pPr>
            <w:r>
              <w:rPr>
                <w:b w:val="0"/>
                <w:i w:val="0"/>
                <w:sz w:val="16"/>
              </w:rPr>
              <w:t>Springwater olivine USNM 2566</w:t>
            </w:r>
          </w:p>
        </w:tc>
        <w:tc>
          <w:tcPr>
            <w:tcW w:type="dxa" w:w="1008"/>
          </w:tcPr>
          <w:p>
            <w:pPr>
              <w:spacing w:after="0"/>
            </w:pPr>
            <w:r>
              <w:rPr>
                <w:b w:val="0"/>
                <w:i w:val="0"/>
                <w:sz w:val="16"/>
              </w:rPr>
              <w:t>0.09</w:t>
            </w:r>
          </w:p>
        </w:tc>
      </w:tr>
      <w:tr>
        <w:tc>
          <w:tcPr>
            <w:tcW w:type="dxa" w:w="792"/>
          </w:tcPr>
          <w:p>
            <w:pPr>
              <w:spacing w:after="0"/>
            </w:pPr>
            <w:r>
              <w:rPr>
                <w:b w:val="0"/>
                <w:i w:val="0"/>
                <w:sz w:val="16"/>
              </w:rPr>
              <w:t>Fe</w:t>
            </w:r>
          </w:p>
        </w:tc>
        <w:tc>
          <w:tcPr>
            <w:tcW w:type="dxa" w:w="648"/>
          </w:tcPr>
          <w:p>
            <w:pPr>
              <w:spacing w:after="0"/>
            </w:pPr>
            <w:r>
              <w:rPr>
                <w:b w:val="0"/>
                <w:i w:val="0"/>
                <w:sz w:val="16"/>
              </w:rPr>
              <w:t>Kα</w:t>
            </w:r>
          </w:p>
        </w:tc>
        <w:tc>
          <w:tcPr>
            <w:tcW w:type="dxa" w:w="1656"/>
          </w:tcPr>
          <w:p>
            <w:pPr>
              <w:spacing w:after="0"/>
            </w:pPr>
            <w:r>
              <w:rPr>
                <w:b w:val="0"/>
                <w:i w:val="0"/>
                <w:sz w:val="16"/>
              </w:rPr>
              <w:t>EDS</w:t>
            </w:r>
          </w:p>
        </w:tc>
        <w:tc>
          <w:tcPr>
            <w:tcW w:type="dxa" w:w="576"/>
          </w:tcPr>
          <w:p>
            <w:pPr>
              <w:spacing w:after="0"/>
            </w:pPr>
            <w:r>
              <w:rPr>
                <w:b w:val="0"/>
                <w:i w:val="0"/>
                <w:sz w:val="16"/>
              </w:rPr>
              <w:t>—</w:t>
            </w:r>
          </w:p>
        </w:tc>
        <w:tc>
          <w:tcPr>
            <w:tcW w:type="dxa" w:w="1224"/>
          </w:tcPr>
          <w:p>
            <w:pPr>
              <w:spacing w:after="0"/>
            </w:pPr>
            <w:r>
              <w:rPr>
                <w:b w:val="0"/>
                <w:i w:val="0"/>
                <w:sz w:val="16"/>
              </w:rPr>
              <w:t>30 s live</w:t>
            </w:r>
          </w:p>
        </w:tc>
        <w:tc>
          <w:tcPr>
            <w:tcW w:type="dxa" w:w="1224"/>
          </w:tcPr>
          <w:p>
            <w:pPr>
              <w:spacing w:after="0"/>
            </w:pPr>
            <w:r>
              <w:rPr>
                <w:b w:val="0"/>
                <w:i w:val="0"/>
                <w:sz w:val="16"/>
              </w:rPr>
              <w:t>—</w:t>
            </w:r>
          </w:p>
        </w:tc>
        <w:tc>
          <w:tcPr>
            <w:tcW w:type="dxa" w:w="2232"/>
          </w:tcPr>
          <w:p>
            <w:pPr>
              <w:spacing w:after="0"/>
            </w:pPr>
            <w:r>
              <w:rPr>
                <w:b w:val="0"/>
                <w:i w:val="0"/>
                <w:sz w:val="16"/>
              </w:rPr>
              <w:t>Rockport fayalite USNM 85276</w:t>
            </w:r>
          </w:p>
        </w:tc>
        <w:tc>
          <w:tcPr>
            <w:tcW w:type="dxa" w:w="1008"/>
          </w:tcPr>
          <w:p>
            <w:pPr>
              <w:spacing w:after="0"/>
            </w:pPr>
            <w:r>
              <w:rPr>
                <w:b w:val="0"/>
                <w:i w:val="0"/>
                <w:sz w:val="16"/>
              </w:rPr>
              <w:t>0.14</w:t>
            </w:r>
          </w:p>
        </w:tc>
      </w:tr>
      <w:tr>
        <w:tc>
          <w:tcPr>
            <w:tcW w:type="dxa" w:w="792"/>
          </w:tcPr>
          <w:p>
            <w:pPr>
              <w:spacing w:after="0"/>
            </w:pPr>
            <w:r>
              <w:rPr>
                <w:b w:val="0"/>
                <w:i w:val="0"/>
                <w:sz w:val="16"/>
              </w:rPr>
              <w:t>Ca</w:t>
            </w:r>
          </w:p>
        </w:tc>
        <w:tc>
          <w:tcPr>
            <w:tcW w:type="dxa" w:w="648"/>
          </w:tcPr>
          <w:p>
            <w:pPr>
              <w:spacing w:after="0"/>
            </w:pPr>
            <w:r>
              <w:rPr>
                <w:b w:val="0"/>
                <w:i w:val="0"/>
                <w:sz w:val="16"/>
              </w:rPr>
              <w:t>Kα</w:t>
            </w:r>
          </w:p>
        </w:tc>
        <w:tc>
          <w:tcPr>
            <w:tcW w:type="dxa" w:w="1656"/>
          </w:tcPr>
          <w:p>
            <w:pPr>
              <w:spacing w:after="0"/>
            </w:pPr>
            <w:r>
              <w:rPr>
                <w:b w:val="0"/>
                <w:i w:val="0"/>
                <w:sz w:val="16"/>
              </w:rPr>
              <w:t>EDS</w:t>
            </w:r>
          </w:p>
        </w:tc>
        <w:tc>
          <w:tcPr>
            <w:tcW w:type="dxa" w:w="576"/>
          </w:tcPr>
          <w:p>
            <w:pPr>
              <w:spacing w:after="0"/>
            </w:pPr>
            <w:r>
              <w:rPr>
                <w:b w:val="0"/>
                <w:i w:val="0"/>
                <w:sz w:val="16"/>
              </w:rPr>
              <w:t>—</w:t>
            </w:r>
          </w:p>
        </w:tc>
        <w:tc>
          <w:tcPr>
            <w:tcW w:type="dxa" w:w="1224"/>
          </w:tcPr>
          <w:p>
            <w:pPr>
              <w:spacing w:after="0"/>
            </w:pPr>
            <w:r>
              <w:rPr>
                <w:b w:val="0"/>
                <w:i w:val="0"/>
                <w:sz w:val="16"/>
              </w:rPr>
              <w:t>30 s live</w:t>
            </w:r>
          </w:p>
        </w:tc>
        <w:tc>
          <w:tcPr>
            <w:tcW w:type="dxa" w:w="1224"/>
          </w:tcPr>
          <w:p>
            <w:pPr>
              <w:spacing w:after="0"/>
            </w:pPr>
            <w:r>
              <w:rPr>
                <w:b w:val="0"/>
                <w:i w:val="0"/>
                <w:sz w:val="16"/>
              </w:rPr>
              <w:t>—</w:t>
            </w:r>
          </w:p>
        </w:tc>
        <w:tc>
          <w:tcPr>
            <w:tcW w:type="dxa" w:w="2232"/>
          </w:tcPr>
          <w:p>
            <w:pPr>
              <w:spacing w:after="0"/>
            </w:pPr>
            <w:r>
              <w:rPr>
                <w:b w:val="0"/>
                <w:i w:val="0"/>
                <w:sz w:val="16"/>
              </w:rPr>
              <w:t>Diopside USNM 117733</w:t>
            </w:r>
          </w:p>
        </w:tc>
        <w:tc>
          <w:tcPr>
            <w:tcW w:type="dxa" w:w="1008"/>
          </w:tcPr>
          <w:p>
            <w:pPr>
              <w:spacing w:after="0"/>
            </w:pPr>
            <w:r>
              <w:rPr>
                <w:b w:val="0"/>
                <w:i w:val="0"/>
                <w:sz w:val="16"/>
              </w:rPr>
              <w:t>0.10</w:t>
            </w:r>
          </w:p>
        </w:tc>
      </w:tr>
      <w:tr>
        <w:tc>
          <w:tcPr>
            <w:tcW w:type="dxa" w:w="792"/>
          </w:tcPr>
          <w:p>
            <w:pPr>
              <w:spacing w:after="0"/>
            </w:pPr>
            <w:r>
              <w:rPr>
                <w:b w:val="0"/>
                <w:i w:val="0"/>
                <w:sz w:val="16"/>
              </w:rPr>
              <w:t>S</w:t>
            </w:r>
          </w:p>
        </w:tc>
        <w:tc>
          <w:tcPr>
            <w:tcW w:type="dxa" w:w="648"/>
          </w:tcPr>
          <w:p>
            <w:pPr>
              <w:spacing w:after="0"/>
            </w:pPr>
            <w:r>
              <w:rPr>
                <w:b w:val="0"/>
                <w:i w:val="0"/>
                <w:sz w:val="16"/>
              </w:rPr>
              <w:t>Kα</w:t>
            </w:r>
          </w:p>
        </w:tc>
        <w:tc>
          <w:tcPr>
            <w:tcW w:type="dxa" w:w="1656"/>
          </w:tcPr>
          <w:p>
            <w:pPr>
              <w:spacing w:after="0"/>
            </w:pPr>
            <w:r>
              <w:rPr>
                <w:b w:val="0"/>
                <w:i w:val="0"/>
                <w:sz w:val="16"/>
              </w:rPr>
              <w:t>EDS</w:t>
            </w:r>
          </w:p>
        </w:tc>
        <w:tc>
          <w:tcPr>
            <w:tcW w:type="dxa" w:w="576"/>
          </w:tcPr>
          <w:p>
            <w:pPr>
              <w:spacing w:after="0"/>
            </w:pPr>
            <w:r>
              <w:rPr>
                <w:b w:val="0"/>
                <w:i w:val="0"/>
                <w:sz w:val="16"/>
              </w:rPr>
              <w:t>—</w:t>
            </w:r>
          </w:p>
        </w:tc>
        <w:tc>
          <w:tcPr>
            <w:tcW w:type="dxa" w:w="1224"/>
          </w:tcPr>
          <w:p>
            <w:pPr>
              <w:spacing w:after="0"/>
            </w:pPr>
            <w:r>
              <w:rPr>
                <w:b w:val="0"/>
                <w:i w:val="0"/>
                <w:sz w:val="16"/>
              </w:rPr>
              <w:t>30 s live</w:t>
            </w:r>
          </w:p>
        </w:tc>
        <w:tc>
          <w:tcPr>
            <w:tcW w:type="dxa" w:w="1224"/>
          </w:tcPr>
          <w:p>
            <w:pPr>
              <w:spacing w:after="0"/>
            </w:pPr>
            <w:r>
              <w:rPr>
                <w:b w:val="0"/>
                <w:i w:val="0"/>
                <w:sz w:val="16"/>
              </w:rPr>
              <w:t>—</w:t>
            </w:r>
          </w:p>
        </w:tc>
        <w:tc>
          <w:tcPr>
            <w:tcW w:type="dxa" w:w="2232"/>
          </w:tcPr>
          <w:p>
            <w:pPr>
              <w:spacing w:after="0"/>
            </w:pPr>
            <w:r>
              <w:rPr>
                <w:b w:val="0"/>
                <w:i w:val="0"/>
                <w:sz w:val="16"/>
              </w:rPr>
              <w:t>Synthetic FeS</w:t>
            </w:r>
          </w:p>
        </w:tc>
        <w:tc>
          <w:tcPr>
            <w:tcW w:type="dxa" w:w="1008"/>
          </w:tcPr>
          <w:p>
            <w:pPr>
              <w:spacing w:after="0"/>
            </w:pPr>
            <w:r>
              <w:rPr>
                <w:b w:val="0"/>
                <w:i w:val="0"/>
                <w:sz w:val="16"/>
              </w:rPr>
              <w:t>0.08</w:t>
            </w:r>
          </w:p>
        </w:tc>
      </w:tr>
    </w:tbl>
    <w:p>
      <w:pPr>
        <w:spacing w:after="0"/>
      </w:pPr>
    </w:p>
    <w:p>
      <w:r>
        <w:rPr>
          <w:b w:val="0"/>
          <w:i w:val="0"/>
          <w:sz w:val="18"/>
        </w:rPr>
        <w:t>*</w:t>
      </w:r>
      <w:r>
        <w:rPr>
          <w:b w:val="0"/>
          <w:i w:val="0"/>
          <w:sz w:val="18"/>
        </w:rPr>
        <w:t xml:space="preserve"> </w:t>
      </w:r>
      <w:r>
        <w:rPr>
          <w:b w:val="0"/>
          <w:i w:val="0"/>
          <w:sz w:val="18"/>
        </w:rPr>
        <w:t>Measured only to correct its Lα overlap on Na Kα</w:t>
      </w:r>
      <w:r>
        <w:rPr>
          <w:b w:val="0"/>
          <w:i w:val="0"/>
          <w:sz w:val="18"/>
        </w:rPr>
        <w:t>; not reported.</w:t>
      </w:r>
    </w:p>
    <w:p>
      <w:r>
        <w:rPr>
          <w:b w:val="0"/>
          <w:i w:val="0"/>
          <w:sz w:val="18"/>
        </w:rPr>
        <w:t xml:space="preserve">† </w:t>
      </w:r>
      <w:r>
        <w:rPr>
          <w:b w:val="0"/>
          <w:i w:val="0"/>
          <w:sz w:val="18"/>
        </w:rPr>
        <w:t>40 / 40 s in the registered procedure</w:t>
      </w:r>
      <w:r>
        <w:rPr>
          <w:b w:val="0"/>
          <w:i w:val="0"/>
          <w:sz w:val="18"/>
        </w:rPr>
        <w:t>; raised for this session.</w:t>
      </w:r>
    </w:p>
    <w:p>
      <w:r>
        <w:rPr>
          <w:b w:val="0"/>
          <w:i w:val="0"/>
        </w:rPr>
        <w:t xml:space="preserve">Smithsonian standards use the </w:t>
      </w:r>
      <w:r>
        <w:rPr>
          <w:b w:val="0"/>
          <w:i w:val="0"/>
        </w:rPr>
        <w:t>accepted values of Jarosewich et al. (1980)</w:t>
      </w:r>
      <w:r>
        <w:rPr>
          <w:b w:val="0"/>
          <w:i w:val="0"/>
        </w:rPr>
        <w:t xml:space="preserve">. The laboratory standards are </w:t>
      </w:r>
      <w:r>
        <w:rPr>
          <w:b w:val="0"/>
          <w:i w:val="0"/>
        </w:rPr>
        <w:t>stoichiometric compounds or use the supplier's certified values</w:t>
      </w:r>
      <w:r>
        <w:rPr>
          <w:b w:val="0"/>
          <w:i w:val="0"/>
        </w:rPr>
        <w:t>.</w:t>
      </w:r>
    </w:p>
    <w:p>
      <w:pPr>
        <w:pStyle w:val="Heading2"/>
      </w:pPr>
      <w:r>
        <w:rPr>
          <w:b w:val="0"/>
          <w:i w:val="0"/>
        </w:rPr>
        <w:t>2.4 X-ray mapping</w:t>
      </w:r>
    </w:p>
    <w:p>
      <w:r>
        <w:rPr>
          <w:b w:val="0"/>
          <w:i w:val="0"/>
        </w:rPr>
        <w:t xml:space="preserve">One particle in each mount was mapped: </w:t>
      </w:r>
      <w:r>
        <w:rPr>
          <w:b w:val="0"/>
          <w:i w:val="0"/>
        </w:rPr>
        <w:t>P1 of EX-CC-01 as map M1, and P1 of EX-CC-02 as map M2</w:t>
      </w:r>
      <w:r>
        <w:rPr>
          <w:b w:val="0"/>
          <w:i w:val="0"/>
        </w:rPr>
        <w:t xml:space="preserve">. Maps were acquired by </w:t>
      </w:r>
      <w:r>
        <w:rPr>
          <w:b w:val="0"/>
          <w:i w:val="0"/>
        </w:rPr>
        <w:t>stage scan with the beam held fixed</w:t>
      </w:r>
      <w:r>
        <w:rPr>
          <w:b w:val="0"/>
          <w:i w:val="0"/>
        </w:rPr>
        <w:t xml:space="preserve">. The step size was </w:t>
      </w:r>
      <w:r>
        <w:rPr>
          <w:b w:val="0"/>
          <w:i w:val="0"/>
        </w:rPr>
        <w:t>2 µm in both X and Y</w:t>
      </w:r>
      <w:r>
        <w:rPr>
          <w:b w:val="0"/>
          <w:i w:val="0"/>
        </w:rPr>
        <w:t xml:space="preserve">, and the dwell time was </w:t>
      </w:r>
      <w:r>
        <w:rPr>
          <w:b w:val="0"/>
          <w:i w:val="0"/>
        </w:rPr>
        <w:t>30 ms per pixel</w:t>
      </w:r>
      <w:r>
        <w:rPr>
          <w:b w:val="0"/>
          <w:i w:val="0"/>
        </w:rPr>
        <w:t xml:space="preserve">. WDS maps of </w:t>
      </w:r>
      <w:r>
        <w:rPr>
          <w:b w:val="0"/>
          <w:i w:val="0"/>
        </w:rPr>
        <w:t>Na (Sp2, TAP), Al (Sp1, TAP), P (Sp3, PETJ), Cr (Sp4, LIFH) and Ni (Sp5, LIF)</w:t>
      </w:r>
      <w:r>
        <w:rPr>
          <w:b w:val="0"/>
          <w:i w:val="0"/>
        </w:rPr>
        <w:t xml:space="preserve"> were collected in a single pass. P and Ni were therefore assigned to different spectrometers than in point analysis. An </w:t>
      </w:r>
      <w:r>
        <w:rPr>
          <w:b w:val="0"/>
          <w:i w:val="0"/>
        </w:rPr>
        <w:t>EDS spectrum image</w:t>
      </w:r>
      <w:r>
        <w:rPr>
          <w:b w:val="0"/>
          <w:i w:val="0"/>
        </w:rPr>
        <w:t xml:space="preserve">, keeping a full spectrum at every pixel, was collected simultaneously and provided the Si, Mg, Fe, Ca and S maps. EDS acquisition used </w:t>
      </w:r>
      <w:r>
        <w:rPr>
          <w:b w:val="0"/>
          <w:i w:val="0"/>
        </w:rPr>
        <w:t>point spectra and spectrum images only; no line scans were made</w:t>
      </w:r>
      <w:r>
        <w:rPr>
          <w:b w:val="0"/>
          <w:i w:val="0"/>
        </w:rPr>
        <w:t xml:space="preserve">. Map M1 (EX-CC-01) covered </w:t>
      </w:r>
      <w:r>
        <w:rPr>
          <w:b w:val="0"/>
          <w:i w:val="0"/>
        </w:rPr>
        <w:t>512 × 512 pixels</w:t>
      </w:r>
      <w:r>
        <w:rPr>
          <w:b w:val="0"/>
          <w:i w:val="0"/>
        </w:rPr>
        <w:t xml:space="preserve">, or </w:t>
      </w:r>
      <w:r>
        <w:rPr>
          <w:b w:val="0"/>
          <w:i w:val="0"/>
        </w:rPr>
        <w:t>1.024 × 1.024 mm</w:t>
      </w:r>
      <w:r>
        <w:rPr>
          <w:b w:val="0"/>
          <w:i w:val="0"/>
        </w:rPr>
        <w:t xml:space="preserve">. Map M2 (EX-CC-02) covered </w:t>
      </w:r>
      <w:r>
        <w:rPr>
          <w:b w:val="0"/>
          <w:i w:val="0"/>
        </w:rPr>
        <w:t>384 × 256 pixels</w:t>
      </w:r>
      <w:r>
        <w:rPr>
          <w:b w:val="0"/>
          <w:i w:val="0"/>
        </w:rPr>
        <w:t xml:space="preserve">, or </w:t>
      </w:r>
      <w:r>
        <w:rPr>
          <w:b w:val="0"/>
          <w:i w:val="0"/>
        </w:rPr>
        <w:t>0.768 × 0.512 mm</w:t>
      </w:r>
      <w:r>
        <w:rPr>
          <w:b w:val="0"/>
          <w:i w:val="0"/>
        </w:rPr>
        <w:t xml:space="preserve">. In the maps, the WDS backgrounds were removed with a </w:t>
      </w:r>
      <w:r>
        <w:rPr>
          <w:b w:val="0"/>
          <w:i w:val="0"/>
        </w:rPr>
        <w:t>mean-atomic-number (MAN) calibration (Donovan and Tingle 1996)</w:t>
      </w:r>
      <w:r>
        <w:rPr>
          <w:b w:val="0"/>
          <w:i w:val="0"/>
        </w:rPr>
        <w:t xml:space="preserve"> rather than off-peak measurement, so all dwell time was spent on peak.</w:t>
      </w:r>
    </w:p>
    <w:p>
      <w:pPr>
        <w:pStyle w:val="Heading2"/>
      </w:pPr>
      <w:r>
        <w:rPr>
          <w:b w:val="0"/>
          <w:i w:val="0"/>
        </w:rPr>
        <w:t>2.5 Data reduction</w:t>
      </w:r>
    </w:p>
    <w:p>
      <w:r>
        <w:rPr>
          <w:b w:val="0"/>
          <w:i w:val="0"/>
        </w:rPr>
        <w:t xml:space="preserve">Intensities were converted to concentrations with the </w:t>
      </w:r>
      <w:r>
        <w:rPr>
          <w:b w:val="0"/>
          <w:i w:val="0"/>
        </w:rPr>
        <w:t>Armstrong/Love–Scott φ(ρz) matrix correction (Armstrong 1995)</w:t>
      </w:r>
      <w:r>
        <w:rPr>
          <w:b w:val="0"/>
          <w:i w:val="0"/>
        </w:rPr>
        <w:t xml:space="preserve"> in Probe for EPMA, using mass absorption coefficients from </w:t>
      </w:r>
      <w:r>
        <w:rPr>
          <w:b w:val="0"/>
          <w:i w:val="0"/>
        </w:rPr>
        <w:t>FFAST (Chantler et al. 2005)</w:t>
      </w:r>
      <w:r>
        <w:rPr>
          <w:b w:val="0"/>
          <w:i w:val="0"/>
        </w:rPr>
        <w:t xml:space="preserve">. The same correction was </w:t>
      </w:r>
      <w:r>
        <w:rPr>
          <w:b w:val="0"/>
          <w:i w:val="0"/>
        </w:rPr>
        <w:t>applied pixel by pixel in CalcImage</w:t>
      </w:r>
      <w:r>
        <w:rPr>
          <w:b w:val="0"/>
          <w:i w:val="0"/>
        </w:rPr>
        <w:t xml:space="preserve"> to produce quantitative maps. WDS dead time was corrected with the </w:t>
      </w:r>
      <w:r>
        <w:rPr>
          <w:b w:val="0"/>
          <w:i w:val="0"/>
        </w:rPr>
        <w:t>logarithmic expression and spectrometer-specific constants of 1.1–1.5 µs</w:t>
      </w:r>
      <w:r>
        <w:rPr>
          <w:b w:val="0"/>
          <w:i w:val="0"/>
        </w:rPr>
        <w:t xml:space="preserve"> determined by the laboratory. EDS net intensities were extracted by </w:t>
      </w:r>
      <w:r>
        <w:rPr>
          <w:b w:val="0"/>
          <w:i w:val="0"/>
        </w:rPr>
        <w:t>filter fitting — a top-hat filter followed by least-squares fitting to measured standard spectra</w:t>
      </w:r>
      <w:r>
        <w:rPr>
          <w:b w:val="0"/>
          <w:i w:val="0"/>
        </w:rPr>
        <w:t xml:space="preserve"> — which also </w:t>
      </w:r>
      <w:r>
        <w:rPr>
          <w:b w:val="0"/>
          <w:i w:val="0"/>
        </w:rPr>
        <w:t>removed the EDS background in both points and maps</w:t>
      </w:r>
      <w:r>
        <w:rPr>
          <w:b w:val="0"/>
          <w:i w:val="0"/>
        </w:rPr>
        <w:t xml:space="preserve">. All concentrations derive from k-ratios against the primary standards; </w:t>
      </w:r>
      <w:r>
        <w:rPr>
          <w:b w:val="0"/>
          <w:i w:val="0"/>
        </w:rPr>
        <w:t>no externally calibrated conversion factor was used for any reported quantity</w:t>
      </w:r>
      <w:r>
        <w:rPr>
          <w:b w:val="0"/>
          <w:i w:val="0"/>
        </w:rPr>
        <w:t xml:space="preserve">. Oxide conversions and structural formulas used the </w:t>
      </w:r>
      <w:r>
        <w:rPr>
          <w:b w:val="0"/>
          <w:i w:val="0"/>
        </w:rPr>
        <w:t>IUPAC 2021 standard atomic weights (Prohaska et al. 2022)</w:t>
      </w:r>
      <w:r>
        <w:rPr>
          <w:b w:val="0"/>
          <w:i w:val="0"/>
        </w:rPr>
        <w:t>.</w:t>
      </w:r>
    </w:p>
    <w:p>
      <w:r>
        <w:rPr>
          <w:b w:val="0"/>
          <w:i w:val="0"/>
        </w:rPr>
        <w:t>Three X-ray line overlaps were corrected quantitatively, with the correction iterated together with the matrix correction</w:t>
      </w:r>
      <w:r>
        <w:rPr>
          <w:b w:val="0"/>
          <w:i w:val="0"/>
        </w:rPr>
        <w:t xml:space="preserve">. The overlap of </w:t>
      </w:r>
      <w:r>
        <w:rPr>
          <w:b w:val="0"/>
          <w:i w:val="0"/>
        </w:rPr>
        <w:t>Fe Kβ on Co Kα</w:t>
      </w:r>
      <w:r>
        <w:rPr>
          <w:b w:val="0"/>
          <w:i w:val="0"/>
        </w:rPr>
        <w:t xml:space="preserve"> was calibrated on </w:t>
      </w:r>
      <w:r>
        <w:rPr>
          <w:b w:val="0"/>
          <w:i w:val="0"/>
        </w:rPr>
        <w:t>Co-free Rockport fayalite</w:t>
      </w:r>
      <w:r>
        <w:rPr>
          <w:b w:val="0"/>
          <w:i w:val="0"/>
        </w:rPr>
        <w:t xml:space="preserve">, </w:t>
      </w:r>
      <w:r>
        <w:rPr>
          <w:b w:val="0"/>
          <w:i w:val="0"/>
        </w:rPr>
        <w:t>Cr Kβ on Mn Kα</w:t>
      </w:r>
      <w:r>
        <w:rPr>
          <w:b w:val="0"/>
          <w:i w:val="0"/>
        </w:rPr>
        <w:t xml:space="preserve"> on </w:t>
      </w:r>
      <w:r>
        <w:rPr>
          <w:b w:val="0"/>
          <w:i w:val="0"/>
        </w:rPr>
        <w:t>Mn-free synthetic Cr₂O₃</w:t>
      </w:r>
      <w:r>
        <w:rPr>
          <w:b w:val="0"/>
          <w:i w:val="0"/>
        </w:rPr>
        <w:t xml:space="preserve">, and </w:t>
      </w:r>
      <w:r>
        <w:rPr>
          <w:b w:val="0"/>
          <w:i w:val="0"/>
        </w:rPr>
        <w:t>Zn Lα on Na Kα</w:t>
      </w:r>
      <w:r>
        <w:rPr>
          <w:b w:val="0"/>
          <w:i w:val="0"/>
        </w:rPr>
        <w:t xml:space="preserve"> on </w:t>
      </w:r>
      <w:r>
        <w:rPr>
          <w:b w:val="0"/>
          <w:i w:val="0"/>
        </w:rPr>
        <w:t>Na-free synthetic ZnS</w:t>
      </w:r>
      <w:r>
        <w:rPr>
          <w:b w:val="0"/>
          <w:i w:val="0"/>
        </w:rPr>
        <w:t xml:space="preserve">. </w:t>
      </w:r>
      <w:r>
        <w:rPr>
          <w:b w:val="0"/>
          <w:i w:val="0"/>
        </w:rPr>
        <w:t>No other element required an overlap correction</w:t>
      </w:r>
      <w:r>
        <w:rPr>
          <w:b w:val="0"/>
          <w:i w:val="0"/>
        </w:rPr>
        <w:t xml:space="preserve">. For Ni and Co, </w:t>
      </w:r>
      <w:r>
        <w:rPr>
          <w:b w:val="0"/>
          <w:i w:val="0"/>
        </w:rPr>
        <w:t>the apparent concentration measured on Ni- and Co-free synthetic forsterite was subtracted as a blank</w:t>
      </w:r>
      <w:r>
        <w:rPr>
          <w:b w:val="0"/>
          <w:i w:val="0"/>
        </w:rPr>
        <w:t xml:space="preserve">. In this session the blank was </w:t>
      </w:r>
      <w:r>
        <w:rPr>
          <w:b w:val="0"/>
          <w:i w:val="0"/>
        </w:rPr>
        <w:t>35 ± 9 µg/g for Ni and 22 ± 8 µg/g for Co (n = 5)</w:t>
      </w:r>
      <w:r>
        <w:rPr>
          <w:b w:val="0"/>
          <w:i w:val="0"/>
        </w:rPr>
        <w:t xml:space="preserve">. </w:t>
      </w:r>
      <w:r>
        <w:rPr>
          <w:b w:val="0"/>
          <w:i w:val="0"/>
        </w:rPr>
        <w:t>No other element was blank-corrected</w:t>
      </w:r>
      <w:r>
        <w:rPr>
          <w:b w:val="0"/>
          <w:i w:val="0"/>
        </w:rPr>
        <w:t xml:space="preserve">. In apatite, </w:t>
      </w:r>
      <w:r>
        <w:rPr>
          <w:b w:val="0"/>
          <w:i w:val="0"/>
        </w:rPr>
        <w:t>the oxygen equivalent of F and Cl was subtracted from the total</w:t>
      </w:r>
      <w:r>
        <w:rPr>
          <w:b w:val="0"/>
          <w:i w:val="0"/>
        </w:rPr>
        <w:t>.</w:t>
      </w:r>
    </w:p>
    <w:p>
      <w:r>
        <w:rPr>
          <w:b w:val="0"/>
          <w:i w:val="0"/>
        </w:rPr>
        <w:t xml:space="preserve">We report </w:t>
      </w:r>
      <w:r>
        <w:rPr>
          <w:b w:val="0"/>
          <w:i w:val="0"/>
        </w:rPr>
        <w:t>SiO₂, TiO₂, Al₂O₃, Cr₂O₃, FeO (total Fe as FeO), MnO, MgO, CaO, Na₂O, K₂O, P₂O₅, NiO and CoO as oxides in wt%</w:t>
      </w:r>
      <w:r>
        <w:rPr>
          <w:b w:val="0"/>
          <w:i w:val="0"/>
        </w:rPr>
        <w:t xml:space="preserve">, and </w:t>
      </w:r>
      <w:r>
        <w:rPr>
          <w:b w:val="0"/>
          <w:i w:val="0"/>
        </w:rPr>
        <w:t>S, F and Cl as elements in wt%</w:t>
      </w:r>
      <w:r>
        <w:rPr>
          <w:b w:val="0"/>
          <w:i w:val="0"/>
        </w:rPr>
        <w:t xml:space="preserve">. We also report </w:t>
      </w:r>
      <w:r>
        <w:rPr>
          <w:b w:val="0"/>
          <w:i w:val="0"/>
        </w:rPr>
        <w:t>the oxygen equivalent of F and Cl, CO₂ by stoichiometry for carbonates, and analytical totals</w:t>
      </w:r>
      <w:r>
        <w:rPr>
          <w:b w:val="0"/>
          <w:i w:val="0"/>
        </w:rPr>
        <w:t xml:space="preserve">. Structural formulas are given in </w:t>
      </w:r>
      <w:r>
        <w:rPr>
          <w:b w:val="0"/>
          <w:i w:val="0"/>
        </w:rPr>
        <w:t>atoms per formula unit (apfu)</w:t>
      </w:r>
      <w:r>
        <w:rPr>
          <w:b w:val="0"/>
          <w:i w:val="0"/>
        </w:rPr>
        <w:t xml:space="preserve">, </w:t>
      </w:r>
      <w:r>
        <w:rPr>
          <w:b w:val="0"/>
          <w:i w:val="0"/>
        </w:rPr>
        <w:t>normalised to a fixed anion basis for each phase: 4 O for olivine and spinels, 6 O for pyroxene and dolomite, 3 O for calcite, and 13 anions for apatite (Ketcham 2015)</w:t>
      </w:r>
      <w:r>
        <w:rPr>
          <w:b w:val="0"/>
          <w:i w:val="0"/>
        </w:rPr>
        <w:t xml:space="preserve">. The maps yield </w:t>
      </w:r>
      <w:r>
        <w:rPr>
          <w:b w:val="0"/>
          <w:i w:val="0"/>
        </w:rPr>
        <w:t>element concentrations in wt% per pixel, a phase map, and modal abundances in area %</w:t>
      </w:r>
      <w:r>
        <w:rPr>
          <w:b w:val="0"/>
          <w:i w:val="0"/>
        </w:rPr>
        <w:t xml:space="preserve">. </w:t>
      </w:r>
      <w:r>
        <w:rPr>
          <w:b w:val="0"/>
          <w:i w:val="0"/>
        </w:rPr>
        <w:t>No other normalisation or standards-based correction was applied</w:t>
      </w:r>
      <w:r>
        <w:rPr>
          <w:b w:val="0"/>
          <w:i w:val="0"/>
        </w:rPr>
        <w:t>.</w:t>
      </w:r>
    </w:p>
    <w:p>
      <w:r>
        <w:rPr>
          <w:b w:val="0"/>
          <w:i w:val="0"/>
        </w:rPr>
        <w:t>Mean compositions are reported for each phase in each sample</w:t>
      </w:r>
      <w:r>
        <w:rPr>
          <w:b w:val="0"/>
          <w:i w:val="0"/>
        </w:rPr>
        <w:t xml:space="preserve">, and a point contributed to its phase mean only if it passed four tests. Its analytical total had to fall </w:t>
      </w:r>
      <w:r>
        <w:rPr>
          <w:b w:val="0"/>
          <w:i w:val="0"/>
        </w:rPr>
        <w:t>between 98.5 and 101.5 wt% for silicates, oxides and sulfides, between 96.0 and 101.5 wt% for apatite (whose OH is calculated by difference), or between 98.0 and 102.0 wt% for carbonates (with CO₂ by stoichiometry)</w:t>
      </w:r>
      <w:r>
        <w:rPr>
          <w:b w:val="0"/>
          <w:i w:val="0"/>
        </w:rPr>
        <w:t xml:space="preserve">. Its cation sum had to lie </w:t>
      </w:r>
      <w:r>
        <w:rPr>
          <w:b w:val="0"/>
          <w:i w:val="0"/>
        </w:rPr>
        <w:t>within ±0.03 apfu of the ideal value</w:t>
      </w:r>
      <w:r>
        <w:rPr>
          <w:b w:val="0"/>
          <w:i w:val="0"/>
        </w:rPr>
        <w:t xml:space="preserve">, it </w:t>
      </w:r>
      <w:r>
        <w:rPr>
          <w:b w:val="0"/>
          <w:i w:val="0"/>
        </w:rPr>
        <w:t>could not overlap a second phase in the post-analysis BSE image</w:t>
      </w:r>
      <w:r>
        <w:rPr>
          <w:b w:val="0"/>
          <w:i w:val="0"/>
        </w:rPr>
        <w:t xml:space="preserve">, and the beam current could not have </w:t>
      </w:r>
      <w:r>
        <w:rPr>
          <w:b w:val="0"/>
          <w:i w:val="0"/>
        </w:rPr>
        <w:t>drifted by more than 1% during the analysis</w:t>
      </w:r>
      <w:r>
        <w:rPr>
          <w:b w:val="0"/>
          <w:i w:val="0"/>
        </w:rPr>
        <w:t xml:space="preserve">. </w:t>
      </w:r>
      <w:r>
        <w:rPr>
          <w:b w:val="0"/>
          <w:i w:val="0"/>
        </w:rPr>
        <w:t>Of the 53 points acquired, 45 passed</w:t>
      </w:r>
      <w:r>
        <w:rPr>
          <w:b w:val="0"/>
          <w:i w:val="0"/>
        </w:rPr>
        <w:t xml:space="preserve">. </w:t>
      </w:r>
      <w:r>
        <w:rPr>
          <w:b w:val="0"/>
          <w:i w:val="0"/>
        </w:rPr>
        <w:t>Four were excluded for totals outside the window: EX-CC-01 P3-02 and P3-05 (apatite), and EX-CC-02 P1-03 and P1-07 (dolomite)</w:t>
      </w:r>
      <w:r>
        <w:rPr>
          <w:b w:val="0"/>
          <w:i w:val="0"/>
        </w:rPr>
        <w:t xml:space="preserve">. </w:t>
      </w:r>
      <w:r>
        <w:rPr>
          <w:b w:val="0"/>
          <w:i w:val="0"/>
        </w:rPr>
        <w:t>Three were excluded because they overlapped a neighbouring phase: EX-CC-01 P2-07 and P2-09 (pyrrhotite beside pentlandite), and EX-CC-02 P1-16 (calcite at a grain boundary)</w:t>
      </w:r>
      <w:r>
        <w:rPr>
          <w:b w:val="0"/>
          <w:i w:val="0"/>
        </w:rPr>
        <w:t xml:space="preserve">. </w:t>
      </w:r>
      <w:r>
        <w:rPr>
          <w:b w:val="0"/>
          <w:i w:val="0"/>
        </w:rPr>
        <w:t>One, EX-CC-02 P2-05, was excluded for beam-current drift</w:t>
      </w:r>
      <w:r>
        <w:rPr>
          <w:b w:val="0"/>
          <w:i w:val="0"/>
        </w:rPr>
        <w:t>.</w:t>
      </w:r>
    </w:p>
    <w:p>
      <w:pPr>
        <w:pStyle w:val="Heading2"/>
      </w:pPr>
      <w:r>
        <w:rPr>
          <w:b w:val="0"/>
          <w:i w:val="0"/>
        </w:rPr>
        <w:t>2.6 Quality control and uncertainties</w:t>
      </w:r>
    </w:p>
    <w:p>
      <w:r>
        <w:rPr>
          <w:b w:val="0"/>
          <w:i w:val="0"/>
        </w:rPr>
        <w:t xml:space="preserve">Five Smithsonian reference materials were analysed as unknowns at the start, middle and end of the session, with </w:t>
      </w:r>
      <w:r>
        <w:rPr>
          <w:b w:val="0"/>
          <w:i w:val="0"/>
        </w:rPr>
        <w:t>accepted values from Jarosewich et al. (1980)</w:t>
      </w:r>
      <w:r>
        <w:rPr>
          <w:b w:val="0"/>
          <w:i w:val="0"/>
        </w:rPr>
        <w:t xml:space="preserve">: </w:t>
      </w:r>
      <w:r>
        <w:rPr>
          <w:b w:val="0"/>
          <w:i w:val="0"/>
        </w:rPr>
        <w:t>San Carlos olivine USNM 111312/444 (n = 9)</w:t>
      </w:r>
      <w:r>
        <w:rPr>
          <w:b w:val="0"/>
          <w:i w:val="0"/>
        </w:rPr>
        <w:t xml:space="preserve">, </w:t>
      </w:r>
      <w:r>
        <w:rPr>
          <w:b w:val="0"/>
          <w:i w:val="0"/>
        </w:rPr>
        <w:t>Kakanui augite USNM 122142 (n = 6)</w:t>
      </w:r>
      <w:r>
        <w:rPr>
          <w:b w:val="0"/>
          <w:i w:val="0"/>
        </w:rPr>
        <w:t xml:space="preserve">, </w:t>
      </w:r>
      <w:r>
        <w:rPr>
          <w:b w:val="0"/>
          <w:i w:val="0"/>
        </w:rPr>
        <w:t>Durango apatite USNM 104021 (n = 6)</w:t>
      </w:r>
      <w:r>
        <w:rPr>
          <w:b w:val="0"/>
          <w:i w:val="0"/>
        </w:rPr>
        <w:t xml:space="preserve">, </w:t>
      </w:r>
      <w:r>
        <w:rPr>
          <w:b w:val="0"/>
          <w:i w:val="0"/>
        </w:rPr>
        <w:t>chromite USNM 117075 (n = 5)</w:t>
      </w:r>
      <w:r>
        <w:rPr>
          <w:b w:val="0"/>
          <w:i w:val="0"/>
        </w:rPr>
        <w:t xml:space="preserve"> and </w:t>
      </w:r>
      <w:r>
        <w:rPr>
          <w:b w:val="0"/>
          <w:i w:val="0"/>
        </w:rPr>
        <w:t>calcite USNM 136321 (n = 6)</w:t>
      </w:r>
      <w:r>
        <w:rPr>
          <w:b w:val="0"/>
          <w:i w:val="0"/>
        </w:rPr>
        <w:t xml:space="preserve">. Supplementary Table S2 reports precision (1σ relative standard deviation) and accuracy (relative deviation from the accepted value) for each material and each reported variable assessed on it. Precision was </w:t>
      </w:r>
      <w:r>
        <w:rPr>
          <w:b w:val="0"/>
          <w:i w:val="0"/>
        </w:rPr>
        <w:t>0.4–0.7% for oxides above 10 wt%, 0.9–1.6% for FeO and Al₂O₃, 2–4% for TiO₂, Na₂O, F and Cl, and 4% for NiO in San Carlos olivine</w:t>
      </w:r>
      <w:r>
        <w:rPr>
          <w:b w:val="0"/>
          <w:i w:val="0"/>
        </w:rPr>
        <w:t xml:space="preserve">. Accuracy was </w:t>
      </w:r>
      <w:r>
        <w:rPr>
          <w:b w:val="0"/>
          <w:i w:val="0"/>
        </w:rPr>
        <w:t>within ±1.2% relative for all major oxides and within ±2.6% for the minor oxides and halogens</w:t>
      </w:r>
      <w:r>
        <w:rPr>
          <w:b w:val="0"/>
          <w:i w:val="0"/>
        </w:rPr>
        <w:t>.</w:t>
      </w:r>
    </w:p>
    <w:p>
      <w:r>
        <w:rPr>
          <w:b w:val="0"/>
          <w:i w:val="0"/>
        </w:rPr>
        <w:t xml:space="preserve">Detection limits were calculated as </w:t>
      </w:r>
      <w:r>
        <w:rPr>
          <w:b w:val="0"/>
          <w:i w:val="0"/>
        </w:rPr>
        <w:t>3σ of the background counts</w:t>
      </w:r>
      <w:r>
        <w:rPr>
          <w:b w:val="0"/>
          <w:i w:val="0"/>
        </w:rPr>
        <w:t xml:space="preserve"> for each reported variable. Table 1 gives the session values. In maps, the detection limit is about </w:t>
      </w:r>
      <w:r>
        <w:rPr>
          <w:b w:val="0"/>
          <w:i w:val="0"/>
        </w:rPr>
        <w:t>0.3 wt% per pixel for the WDS elements and 0.7 wt% for the EDS elements</w:t>
      </w:r>
      <w:r>
        <w:rPr>
          <w:b w:val="0"/>
          <w:i w:val="0"/>
        </w:rPr>
        <w:t xml:space="preserve">. For every analysis and every reported variable, Supplementary Table S1 gives the </w:t>
      </w:r>
      <w:r>
        <w:rPr>
          <w:b w:val="0"/>
          <w:i w:val="0"/>
        </w:rPr>
        <w:t>1σ uncertainty predicted from counting statistics on the peak and on any subtracted background or blank</w:t>
      </w:r>
      <w:r>
        <w:rPr>
          <w:b w:val="0"/>
          <w:i w:val="0"/>
        </w:rPr>
        <w:t xml:space="preserve">. In olivine, these are about </w:t>
      </w:r>
      <w:r>
        <w:rPr>
          <w:b w:val="0"/>
          <w:i w:val="0"/>
        </w:rPr>
        <w:t>0.5% relative for SiO₂ and MgO and about 10% for NiO at 0.03 wt%</w:t>
      </w:r>
      <w:r>
        <w:rPr>
          <w:b w:val="0"/>
          <w:i w:val="0"/>
        </w:rPr>
        <w:t xml:space="preserve">. EDS dead time was </w:t>
      </w:r>
      <w:r>
        <w:rPr>
          <w:b w:val="0"/>
          <w:i w:val="0"/>
        </w:rPr>
        <w:t>18–26% during point analysis and 24–31% during spectrum imaging</w:t>
      </w:r>
      <w:r>
        <w:rPr>
          <w:b w:val="0"/>
          <w:i w:val="0"/>
        </w:rPr>
        <w:t>.</w:t>
      </w:r>
    </w:p>
    <w:p>
      <w:r>
        <w:rPr>
          <w:b w:val="0"/>
          <w:i w:val="0"/>
        </w:rPr>
        <w:t xml:space="preserve">To test whether each phase mean was a single population, we computed the </w:t>
      </w:r>
      <w:r>
        <w:rPr>
          <w:b w:val="0"/>
          <w:i w:val="0"/>
        </w:rPr>
        <w:t>MSWD of its contributing analyses about their mean, using their counting-statistics uncertainties</w:t>
      </w:r>
      <w:r>
        <w:rPr>
          <w:b w:val="0"/>
          <w:i w:val="0"/>
        </w:rPr>
        <w:t xml:space="preserve">. For olivine in EX-CC-01 (n = 8), the MSWD ranged from </w:t>
      </w:r>
      <w:r>
        <w:rPr>
          <w:b w:val="0"/>
          <w:i w:val="0"/>
        </w:rPr>
        <w:t>0.9 (NiO) to 2.3 (CaO)</w:t>
      </w:r>
      <w:r>
        <w:rPr>
          <w:b w:val="0"/>
          <w:i w:val="0"/>
        </w:rPr>
        <w:t xml:space="preserve"> for all oxides except FeO. FeO reached </w:t>
      </w:r>
      <w:r>
        <w:rPr>
          <w:b w:val="0"/>
          <w:i w:val="0"/>
        </w:rPr>
        <w:t>4.6</w:t>
      </w:r>
      <w:r>
        <w:rPr>
          <w:b w:val="0"/>
          <w:i w:val="0"/>
        </w:rPr>
        <w:t xml:space="preserve">, consistent with the Fe–Mg zoning visible in map M1. Supplementary Table S3 gives the MSWD for every phase mean and reported variable. </w:t>
      </w:r>
      <w:r>
        <w:rPr>
          <w:b w:val="0"/>
          <w:i w:val="0"/>
        </w:rPr>
        <w:t>No anomalies, instrument modifications or other departures from the registered procedure occurred beyond those noted above</w:t>
      </w:r>
      <w:r>
        <w:rPr>
          <w:b w:val="0"/>
          <w:i w:val="0"/>
        </w:rPr>
        <w:t>.</w:t>
      </w:r>
    </w:p>
    <w:p>
      <w:pPr>
        <w:pStyle w:val="Heading2"/>
      </w:pPr>
      <w:r>
        <w:rPr>
          <w:b w:val="0"/>
          <w:i w:val="0"/>
        </w:rPr>
        <w:t>2.7 Coupled analyses</w:t>
      </w:r>
    </w:p>
    <w:p>
      <w:r>
        <w:rPr>
          <w:b w:val="0"/>
          <w:i w:val="0"/>
        </w:rPr>
        <w:t xml:space="preserve">The EPMA data were collected as part of a coupled workflow with </w:t>
      </w:r>
      <w:r>
        <w:rPr>
          <w:b w:val="0"/>
          <w:i w:val="0"/>
        </w:rPr>
        <w:t>SEM and NanoSIMS</w:t>
      </w:r>
      <w:r>
        <w:rPr>
          <w:b w:val="0"/>
          <w:i w:val="0"/>
        </w:rPr>
        <w:t xml:space="preserve">. </w:t>
      </w:r>
      <w:r>
        <w:rPr>
          <w:b w:val="0"/>
          <w:i w:val="0"/>
        </w:rPr>
        <w:t>SEM imaging came first</w:t>
      </w:r>
      <w:r>
        <w:rPr>
          <w:b w:val="0"/>
          <w:i w:val="0"/>
        </w:rPr>
        <w:t xml:space="preserve"> and located the phases analysed (Section 2.1). </w:t>
      </w:r>
      <w:r>
        <w:rPr>
          <w:b w:val="0"/>
          <w:i w:val="0"/>
        </w:rPr>
        <w:t>EPMA followed because it is non-destructive</w:t>
      </w:r>
      <w:r>
        <w:rPr>
          <w:b w:val="0"/>
          <w:i w:val="0"/>
        </w:rPr>
        <w:t xml:space="preserve">. After EPMA, </w:t>
      </w:r>
      <w:r>
        <w:rPr>
          <w:b w:val="0"/>
          <w:i w:val="0"/>
        </w:rPr>
        <w:t>the carbon coat was replaced with gold for NanoSIMS oxygen-isotope analysis of the carbonates at the Example Isotope Laboratory, which came last because sputtering destroys the analysed volume</w:t>
      </w:r>
      <w:r>
        <w:rPr>
          <w:b w:val="0"/>
          <w:i w:val="0"/>
        </w:rPr>
        <w:t xml:space="preserve">. </w:t>
      </w:r>
      <w:r>
        <w:rPr>
          <w:b w:val="0"/>
          <w:i w:val="0"/>
        </w:rPr>
        <w:t>The EPMA composition of each carbonate was used to select the matrix-matched carbonate reference material for the NanoSIMS instrumental mass-fractionation correction</w:t>
      </w:r>
      <w:r>
        <w:rPr>
          <w:b w:val="0"/>
          <w:i w:val="0"/>
        </w:rPr>
        <w:t>. The NanoSIMS procedure is being registered (</w:t>
      </w:r>
      <w:r>
        <w:rPr>
          <w:b w:val="0"/>
          <w:i w:val="0"/>
        </w:rPr>
        <w:t>DOI pending</w:t>
      </w:r>
      <w:r>
        <w:rPr>
          <w:b w:val="0"/>
          <w:i w:val="0"/>
        </w:rPr>
        <w:t xml:space="preserve">), and its data are </w:t>
      </w:r>
      <w:r>
        <w:rPr>
          <w:b w:val="0"/>
          <w:i w:val="0"/>
        </w:rPr>
        <w:t>included in the same submission as this dataset</w:t>
      </w:r>
      <w:r>
        <w:rPr>
          <w:b w:val="0"/>
          <w:i w:val="0"/>
        </w:rPr>
        <w:t>.</w:t>
      </w:r>
    </w:p>
    <w:p>
      <w:pPr>
        <w:pBdr>
          <w:bottom w:val="single" w:sz="6" w:space="1" w:color="A6A6A6"/>
        </w:pBdr>
      </w:pPr>
    </w:p>
    <w:p>
      <w:pPr>
        <w:pStyle w:val="Heading2"/>
      </w:pPr>
      <w:r>
        <w:rPr>
          <w:b w:val="0"/>
          <w:i w:val="0"/>
        </w:rPr>
        <w:t>Acknowledgements (funding)</w:t>
      </w:r>
    </w:p>
    <w:p>
      <w:r>
        <w:rPr>
          <w:b w:val="0"/>
          <w:i w:val="0"/>
        </w:rPr>
        <w:t xml:space="preserve">The electron microprobe was funded by </w:t>
      </w:r>
      <w:r>
        <w:rPr>
          <w:b w:val="0"/>
          <w:i w:val="0"/>
        </w:rPr>
        <w:t>Example Agency award EX-INST-0001</w:t>
      </w:r>
      <w:r>
        <w:rPr>
          <w:b w:val="0"/>
          <w:i w:val="0"/>
        </w:rPr>
        <w:t xml:space="preserve">, and development of the analytical procedure by </w:t>
      </w:r>
      <w:r>
        <w:rPr>
          <w:b w:val="0"/>
          <w:i w:val="0"/>
        </w:rPr>
        <w:t>award EX-DEV-0002</w:t>
      </w:r>
      <w:r>
        <w:rPr>
          <w:b w:val="0"/>
          <w:i w:val="0"/>
        </w:rPr>
        <w:t xml:space="preserve">. The analyses reported here were funded by </w:t>
      </w:r>
      <w:r>
        <w:rPr>
          <w:b w:val="0"/>
          <w:i w:val="0"/>
        </w:rPr>
        <w:t>Example Agency award EX-SCI-0003</w:t>
      </w:r>
      <w:r>
        <w:rPr>
          <w:b w:val="0"/>
          <w:i w:val="0"/>
        </w:rPr>
        <w:t>.</w:t>
      </w:r>
    </w:p>
    <w:p>
      <w:pPr>
        <w:pStyle w:val="Heading2"/>
      </w:pPr>
      <w:r>
        <w:rPr>
          <w:b w:val="0"/>
          <w:i w:val="0"/>
        </w:rPr>
        <w:t>Data availability</w:t>
      </w:r>
    </w:p>
    <w:p>
      <w:r>
        <w:rPr>
          <w:b w:val="0"/>
          <w:i w:val="0"/>
        </w:rPr>
        <w:t xml:space="preserve">All point analyses, with their labels, phases, beam conditions and 1σ counting-statistics uncertainties, are given in Supplementary Table S1. The quantitative maps are included in the same data package. The session is recorded as Probe for EPMA run </w:t>
      </w:r>
      <w:r>
        <w:rPr>
          <w:b w:val="0"/>
          <w:i w:val="0"/>
        </w:rPr>
        <w:t>EML-2026-0412-A</w:t>
      </w:r>
      <w:r>
        <w:rPr>
          <w:b w:val="0"/>
          <w:i w:val="0"/>
        </w:rPr>
        <w:t xml:space="preserve"> at the Example Microanalysis Laboratory. It followed the registered procedure </w:t>
      </w:r>
      <w:r>
        <w:rPr>
          <w:b w:val="0"/>
          <w:i w:val="0"/>
        </w:rPr>
        <w:t>doi:10.0000/example.epma-cc.v2</w:t>
      </w:r>
      <w:r>
        <w:rPr>
          <w:b w:val="0"/>
          <w:i w:val="0"/>
        </w:rPr>
        <w:t xml:space="preserve">. The coupled NanoSIMS data are </w:t>
      </w:r>
      <w:r>
        <w:rPr>
          <w:b w:val="0"/>
          <w:i w:val="0"/>
        </w:rPr>
        <w:t>included in the same submission</w:t>
      </w:r>
      <w:r>
        <w:rPr>
          <w:b w:val="0"/>
          <w:i w:val="0"/>
        </w:rPr>
        <w:t>.</w:t>
      </w:r>
    </w:p>
    <w:p>
      <w:pPr>
        <w:pStyle w:val="Heading2"/>
      </w:pPr>
      <w:r>
        <w:rPr>
          <w:b w:val="0"/>
          <w:i w:val="0"/>
        </w:rPr>
        <w:t>Supplementary material referred to above</w:t>
      </w:r>
    </w:p>
    <w:p>
      <w:pPr>
        <w:pStyle w:val="ListBullet"/>
      </w:pPr>
      <w:r>
        <w:rPr>
          <w:b/>
          <w:i w:val="0"/>
        </w:rPr>
        <w:t>Table S1.</w:t>
      </w:r>
      <w:r>
        <w:rPr>
          <w:b w:val="0"/>
          <w:i w:val="0"/>
        </w:rPr>
        <w:t xml:space="preserve"> Every analysis point: sample, point label, phase, beam mode, current, diameter and raster dimensions, and the full set of reported variables, each with its 1σ counting-statistics uncertainty.</w:t>
      </w:r>
    </w:p>
    <w:p>
      <w:pPr>
        <w:pStyle w:val="ListBullet"/>
      </w:pPr>
      <w:r>
        <w:rPr>
          <w:b/>
          <w:i w:val="0"/>
        </w:rPr>
        <w:t>Table S2.</w:t>
      </w:r>
      <w:r>
        <w:rPr>
          <w:b w:val="0"/>
          <w:i w:val="0"/>
        </w:rPr>
        <w:t xml:space="preserve"> Precision and accuracy for each secondary reference material and each reported variable.</w:t>
      </w:r>
    </w:p>
    <w:p>
      <w:pPr>
        <w:pStyle w:val="ListBullet"/>
      </w:pPr>
      <w:r>
        <w:rPr>
          <w:b/>
          <w:i w:val="0"/>
        </w:rPr>
        <w:t>Table S3.</w:t>
      </w:r>
      <w:r>
        <w:rPr>
          <w:b w:val="0"/>
          <w:i w:val="0"/>
        </w:rPr>
        <w:t xml:space="preserve"> MSWD for each phase mean and each reported variable.</w:t>
      </w:r>
    </w:p>
    <w:p>
      <w:pPr>
        <w:pStyle w:val="ListBullet"/>
      </w:pPr>
      <w:r>
        <w:rPr>
          <w:b/>
          <w:i w:val="0"/>
        </w:rPr>
        <w:t>Figure S1.</w:t>
      </w:r>
      <w:r>
        <w:rPr>
          <w:b w:val="0"/>
          <w:i w:val="0"/>
        </w:rPr>
        <w:t xml:space="preserve"> BSE images of each particle, with every analysis point labelled.</w:t>
      </w:r>
    </w:p>
    <w:p>
      <w:pPr>
        <w:pStyle w:val="Heading2"/>
      </w:pPr>
      <w:r>
        <w:rPr>
          <w:b w:val="0"/>
          <w:i w:val="0"/>
        </w:rPr>
        <w:t>References</w:t>
      </w:r>
    </w:p>
    <w:p>
      <w:r>
        <w:rPr>
          <w:b w:val="0"/>
          <w:i w:val="0"/>
        </w:rPr>
        <w:t xml:space="preserve">Armstrong, J.T. (1995) CITZAF: a package of correction programs for the quantitative electron microbeam X-ray analysis of thick polished materials, thin films, and particles. </w:t>
      </w:r>
      <w:r>
        <w:rPr>
          <w:b w:val="0"/>
          <w:i/>
        </w:rPr>
        <w:t>Microbeam Analysis</w:t>
      </w:r>
      <w:r>
        <w:rPr>
          <w:b w:val="0"/>
          <w:i w:val="0"/>
        </w:rPr>
        <w:t xml:space="preserve"> 4, 177–200.</w:t>
      </w:r>
    </w:p>
    <w:p>
      <w:r>
        <w:rPr>
          <w:b w:val="0"/>
          <w:i w:val="0"/>
        </w:rPr>
        <w:t>Chantler, C.T., et al. (2005) X-ray form factor, attenuation and scattering tables (FFAST), version 2.1. National Institute of Standards and Technology.</w:t>
      </w:r>
    </w:p>
    <w:p>
      <w:r>
        <w:rPr>
          <w:b w:val="0"/>
          <w:i w:val="0"/>
        </w:rPr>
        <w:t xml:space="preserve">Donovan, J.J. and Tingle, T.N. (1996) An improved mean atomic number background correction for quantitative microanalysis. </w:t>
      </w:r>
      <w:r>
        <w:rPr>
          <w:b w:val="0"/>
          <w:i/>
        </w:rPr>
        <w:t>Microscopy and Microanalysis</w:t>
      </w:r>
      <w:r>
        <w:rPr>
          <w:b w:val="0"/>
          <w:i w:val="0"/>
        </w:rPr>
        <w:t xml:space="preserve"> 2, 1–7.</w:t>
      </w:r>
    </w:p>
    <w:p>
      <w:r>
        <w:rPr>
          <w:b w:val="0"/>
          <w:i w:val="0"/>
        </w:rPr>
        <w:t xml:space="preserve">Jarosewich, E., Nelen, J.A. and Norberg, J.A. (1980) Reference samples for electron microprobe analysis. </w:t>
      </w:r>
      <w:r>
        <w:rPr>
          <w:b w:val="0"/>
          <w:i/>
        </w:rPr>
        <w:t>Geostandards Newsletter</w:t>
      </w:r>
      <w:r>
        <w:rPr>
          <w:b w:val="0"/>
          <w:i w:val="0"/>
        </w:rPr>
        <w:t xml:space="preserve"> 4, 43–47.</w:t>
      </w:r>
    </w:p>
    <w:p>
      <w:r>
        <w:rPr>
          <w:b w:val="0"/>
          <w:i w:val="0"/>
        </w:rPr>
        <w:t xml:space="preserve">Ketcham, R.A. (2015) Technical note: Calculation of stoichiometry from EMP data for apatite and other phases with mixing on monovalent anion sites. </w:t>
      </w:r>
      <w:r>
        <w:rPr>
          <w:b w:val="0"/>
          <w:i/>
        </w:rPr>
        <w:t>American Mineralogist</w:t>
      </w:r>
      <w:r>
        <w:rPr>
          <w:b w:val="0"/>
          <w:i w:val="0"/>
        </w:rPr>
        <w:t xml:space="preserve"> 100, 1620–1623.</w:t>
      </w:r>
    </w:p>
    <w:p>
      <w:r>
        <w:rPr>
          <w:b w:val="0"/>
          <w:i w:val="0"/>
        </w:rPr>
        <w:t xml:space="preserve">Prohaska, T., et al. (2022) Standard atomic weights of the elements 2021 (IUPAC Technical Report). </w:t>
      </w:r>
      <w:r>
        <w:rPr>
          <w:b w:val="0"/>
          <w:i/>
        </w:rPr>
        <w:t>Pure and Applied Chemistry</w:t>
      </w:r>
      <w:r>
        <w:rPr>
          <w:b w:val="0"/>
          <w:i w:val="0"/>
        </w:rPr>
        <w:t xml:space="preserve"> 94, 573–600.</w:t>
      </w:r>
    </w:p>
    <w:p>
      <w:r>
        <w:rPr>
          <w:b w:val="0"/>
          <w:i/>
        </w:rPr>
        <w:t>Fictional, for this example only:</w:t>
      </w:r>
      <w:r>
        <w:rPr>
          <w:b w:val="0"/>
          <w:i w:val="0"/>
        </w:rPr>
        <w:t xml:space="preserve"> Example et al. (2025), doi:10.0000/example.2025.001.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