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9A227"/>
          <w:sz w:val="24"/>
        </w:rPr>
        <w:t>DUBAI ISLAMIC BANK</w:t>
      </w:r>
    </w:p>
    <w:p/>
    <w:p>
      <w:r>
        <w:rPr>
          <w:rFonts w:ascii="Aptos Display" w:hAnsi="Aptos Display"/>
          <w:b/>
          <w:color w:val="0B3D2E"/>
          <w:sz w:val="72"/>
        </w:rPr>
        <w:t>CET Technology</w:t>
      </w:r>
    </w:p>
    <w:p>
      <w:r>
        <w:rPr>
          <w:rFonts w:ascii="Aptos Display" w:hAnsi="Aptos Display"/>
          <w:color w:val="22312D"/>
          <w:sz w:val="52"/>
        </w:rPr>
        <w:t>2026 Annual Integrated Report</w:t>
      </w:r>
    </w:p>
    <w:p>
      <w:pPr>
        <w:spacing w:before="240"/>
      </w:pPr>
      <w:r>
        <w:rPr>
          <w:rFonts w:ascii="Aptos Display" w:hAnsi="Aptos Display"/>
          <w:b/>
          <w:color w:val="176B4D"/>
          <w:sz w:val="44"/>
        </w:rPr>
        <w:t>Strengthening foundations.</w:t>
        <w:br/>
        <w:t>Accelerating innovation.</w:t>
        <w:br/>
        <w:t>Elevating customer experience.</w:t>
      </w:r>
    </w:p>
    <w:p/>
    <w:tbl>
      <w:tblPr>
        <w:tblW w:type="auto" w:w="0"/>
        <w:jc w:val="left"/>
        <w:tblLayout w:type="fixed"/>
        <w:tblLook w:firstColumn="1" w:firstRow="1" w:lastColumn="0" w:lastRow="0" w:noHBand="0" w:noVBand="1" w:val="04A0"/>
      </w:tblPr>
      <w:tblGrid>
        <w:gridCol w:w="3331"/>
        <w:gridCol w:w="3331"/>
        <w:gridCol w:w="3331"/>
      </w:tblGrid>
      <w:tr>
        <w:tc>
          <w:tcPr>
            <w:tcW w:type="dxa" w:w="3331"/>
            <w:shd w:fill="C9A227"/>
            <w:tcMar>
              <w:top w:w="90" w:type="dxa"/>
              <w:start w:w="140" w:type="dxa"/>
              <w:bottom w:w="90" w:type="dxa"/>
              <w:end w:w="140" w:type="dxa"/>
            </w:tcMar>
            <w:vAlign w:val="center"/>
          </w:tcPr>
          <w:p>
            <w:pPr>
              <w:jc w:val="center"/>
            </w:pPr>
            <w:r>
              <w:rPr>
                <w:b/>
                <w:color w:val="FFFFFF"/>
                <w:sz w:val="20"/>
              </w:rPr>
              <w:t>PROTECT</w:t>
            </w:r>
          </w:p>
        </w:tc>
        <w:tc>
          <w:tcPr>
            <w:tcW w:type="dxa" w:w="3331"/>
            <w:shd w:fill="537D70"/>
            <w:tcMar>
              <w:top w:w="90" w:type="dxa"/>
              <w:start w:w="140" w:type="dxa"/>
              <w:bottom w:w="90" w:type="dxa"/>
              <w:end w:w="140" w:type="dxa"/>
            </w:tcMar>
            <w:vAlign w:val="center"/>
          </w:tcPr>
          <w:p>
            <w:pPr>
              <w:jc w:val="center"/>
            </w:pPr>
            <w:r>
              <w:rPr>
                <w:b/>
                <w:color w:val="FFFFFF"/>
                <w:sz w:val="20"/>
              </w:rPr>
              <w:t>BUILD</w:t>
            </w:r>
          </w:p>
        </w:tc>
        <w:tc>
          <w:tcPr>
            <w:tcW w:type="dxa" w:w="3331"/>
            <w:shd w:fill="124E3A"/>
            <w:tcMar>
              <w:top w:w="90" w:type="dxa"/>
              <w:start w:w="140" w:type="dxa"/>
              <w:bottom w:w="90" w:type="dxa"/>
              <w:end w:w="140" w:type="dxa"/>
            </w:tcMar>
            <w:vAlign w:val="center"/>
          </w:tcPr>
          <w:p>
            <w:pPr>
              <w:jc w:val="center"/>
            </w:pPr>
            <w:r>
              <w:rPr>
                <w:b/>
                <w:color w:val="FFFFFF"/>
                <w:sz w:val="20"/>
              </w:rPr>
              <w:t>FLOURISH</w:t>
            </w:r>
          </w:p>
        </w:tc>
      </w:tr>
    </w:tbl>
    <w:p/>
    <w:p>
      <w:r>
        <w:rPr>
          <w:sz w:val="25"/>
        </w:rPr>
        <w:t>CET's 2026 technology agenda focused on protecting critical services, building stronger delivery capability and modernising customer-facing platforms to support a resilient, scalable and increasingly digital bank.</w:t>
      </w:r>
    </w:p>
    <w:p>
      <w:r>
        <w:br w:type="page"/>
      </w:r>
    </w:p>
    <w:tbl>
      <w:tblPr>
        <w:tblW w:type="auto" w:w="0"/>
        <w:jc w:val="left"/>
        <w:tblLayout w:type="fixed"/>
        <w:tblLook w:firstColumn="1" w:firstRow="1" w:lastColumn="0" w:lastRow="0" w:noHBand="0" w:noVBand="1" w:val="04A0"/>
      </w:tblPr>
      <w:tblGrid>
        <w:gridCol w:w="9994"/>
      </w:tblGrid>
      <w:tr>
        <w:tc>
          <w:tcPr>
            <w:tcW w:type="dxa" w:w="3600"/>
            <w:shd w:fill="C9A227"/>
            <w:tcMar>
              <w:top w:w="80" w:type="dxa"/>
              <w:start w:w="140" w:type="dxa"/>
              <w:bottom w:w="80" w:type="dxa"/>
              <w:end w:w="140" w:type="dxa"/>
            </w:tcMar>
          </w:tcPr>
          <w:p>
            <w:r>
              <w:rPr>
                <w:b/>
                <w:color w:val="0B3D2E"/>
                <w:sz w:val="19"/>
              </w:rPr>
              <w:t>TECHNOLOGY 2026</w:t>
            </w:r>
          </w:p>
        </w:tc>
      </w:tr>
    </w:tbl>
    <w:p>
      <w:pPr>
        <w:pStyle w:val="Heading1"/>
      </w:pPr>
      <w:r>
        <w:t>Unlocking new value through technology</w:t>
      </w:r>
    </w:p>
    <w:p>
      <w:r>
        <w:t>Technology remained a key enabler of the Bank's transformation agenda in 2026. CET continued to strengthen the resilience and security of critical customer platforms while accelerating modernisation across digital banking, payments, customer engagement and technology delivery.</w:t>
      </w:r>
    </w:p>
    <w:p>
      <w:r>
        <w:t>The portfolio was progressed through three complementary pillars - Protect, Build and Flourish - bringing together resiliency, superior infrastructure, integrated platforms, mobility and digital capabilities, agile delivery, talent development and innovation. This approach supports a technology environment that is secure and dependable today, while creating the architecture and operating capability required for future growth.</w:t>
      </w:r>
    </w:p>
    <w:p>
      <w:pPr>
        <w:spacing w:before="160" w:after="40"/>
      </w:pPr>
      <w:r>
        <w:rPr>
          <w:b/>
          <w:color w:val="C9A227"/>
          <w:sz w:val="18"/>
        </w:rPr>
        <w:t>PROTECT</w:t>
      </w:r>
    </w:p>
    <w:p>
      <w:pPr>
        <w:pStyle w:val="Heading2"/>
      </w:pPr>
      <w:r>
        <w:t>Strengthening resilience, security and control</w:t>
      </w:r>
    </w:p>
    <w:p>
      <w:r>
        <w:t>CET strengthened the Bank's technology foundations through targeted platform remediation, security enhancements and payment-infrastructure modernisation. Critical upgrades reduced technology obsolescence and supportability risk, while enhanced authentication, data-consent controls, due-diligence automation and fraud-prevention capabilities further reinforced customer and regulatory protection.</w:t>
      </w:r>
    </w:p>
    <w:p>
      <w:r>
        <w:t>Payment resilience also advanced through migration to national payment infrastructure and continued readiness for Jaywan, supporting evolving UAE payment standards. The transition towards Genesys Cloud CX further extends this resilience agenda by moving the Contact Centre towards a supported, scalable and cloud-ready technology foundation.</w:t>
      </w:r>
    </w:p>
    <w:p>
      <w:pPr>
        <w:spacing w:before="160" w:after="40"/>
      </w:pPr>
      <w:r>
        <w:rPr>
          <w:b/>
          <w:color w:val="C9A227"/>
          <w:sz w:val="18"/>
        </w:rPr>
        <w:t>BUILD</w:t>
      </w:r>
    </w:p>
    <w:p>
      <w:pPr>
        <w:pStyle w:val="Heading2"/>
      </w:pPr>
      <w:r>
        <w:t>Building a stronger technology operating model</w:t>
      </w:r>
    </w:p>
    <w:p>
      <w:r>
        <w:t>CET continued to evolve the way technology is governed and delivered. A squad-based delivery model, operating-model streamlining and an integrated portfolio governance capability strengthened accountability, prioritisation and execution discipline across the technology portfolio.</w:t>
      </w:r>
    </w:p>
    <w:p>
      <w:r>
        <w:t>The CET Portfolio Governance capability provides a consolidated management view of demand health, delivery progress, decision queues, risks and capacity pressures, enabling more evidence-based portfolio decisions. Investment in people continued in parallel through structured digital learning, professional certifications and dedicated UAE National upskilling programmes, strengthening a future-ready technology talent base.</w:t>
      </w:r>
    </w:p>
    <w:p>
      <w:r>
        <w:br w:type="page"/>
      </w:r>
    </w:p>
    <w:p>
      <w:pPr>
        <w:spacing w:before="160" w:after="40"/>
      </w:pPr>
      <w:r>
        <w:rPr>
          <w:b/>
          <w:color w:val="C9A227"/>
          <w:sz w:val="18"/>
        </w:rPr>
        <w:t>FLOURISH</w:t>
      </w:r>
    </w:p>
    <w:p>
      <w:pPr>
        <w:pStyle w:val="Heading2"/>
      </w:pPr>
      <w:r>
        <w:t>Accelerating digital innovation and customer experience</w:t>
      </w:r>
    </w:p>
    <w:p>
      <w:r>
        <w:t>CET progressed strategic initiatives designed to modernise the Bank's digital architecture and expand customer-facing capabilities. The Finshape digital banking transformation is modernising Internet and Mobile Banking onto a scalable next-generation platform, creating a stronger foundation for faster digital innovation and more integrated customer journeys.</w:t>
      </w:r>
    </w:p>
    <w:p>
      <w:r>
        <w:t>The customer-engagement landscape is also evolving through Genesys Cloud CX, with the future-state architecture supporting more unified omnichannel routing, continuity of customer context and improved operational insight. Further progress across CRM cloud modernisation, digital onboarding, mobile self-service, IVR and WhatsApp enhancements is extending digitisation across key customer journeys.</w:t>
      </w:r>
    </w:p>
    <w:p>
      <w:r>
        <w:t>Innovation in payments remained a core focus. Jaywan capabilities were advanced across domestic debit cards, e-commerce, acquiring and tokenised-payment journeys, supporting the UAE's national digital-payments agenda. Additional digital product and servicing enhancements across retail, investment banking and financing journeys continued to improve convenience, self-service and speed to market.</w:t>
      </w:r>
    </w:p>
    <w:tbl>
      <w:tblPr>
        <w:tblW w:type="auto" w:w="0"/>
        <w:jc w:val="left"/>
        <w:tblLayout w:type="fixed"/>
        <w:tblLook w:firstColumn="1" w:firstRow="1" w:lastColumn="0" w:lastRow="0" w:noHBand="0" w:noVBand="1" w:val="04A0"/>
      </w:tblPr>
      <w:tblGrid>
        <w:gridCol w:w="9994"/>
      </w:tblGrid>
      <w:tr>
        <w:tc>
          <w:tcPr>
            <w:tcW w:type="dxa" w:w="3600"/>
            <w:shd w:fill="F6F0DD"/>
            <w:tcMar>
              <w:top w:w="80" w:type="dxa"/>
              <w:start w:w="140" w:type="dxa"/>
              <w:bottom w:w="80" w:type="dxa"/>
              <w:end w:w="140" w:type="dxa"/>
            </w:tcMar>
          </w:tcPr>
          <w:p>
            <w:r>
              <w:rPr>
                <w:b/>
                <w:color w:val="0B3D2E"/>
                <w:sz w:val="19"/>
              </w:rPr>
              <w:t>KEY DEVELOPMENTS &amp; ACHIEVEMENTS</w:t>
            </w:r>
          </w:p>
        </w:tc>
      </w:tr>
    </w:tbl>
    <w:p>
      <w:pPr>
        <w:pStyle w:val="Heading1"/>
      </w:pPr>
      <w:r>
        <w:t>2026 delivery highlights</w:t>
      </w:r>
    </w:p>
    <w:p>
      <w:pPr>
        <w:spacing w:after="100"/>
        <w:ind w:left="202" w:hanging="115"/>
      </w:pPr>
      <w:r>
        <w:rPr>
          <w:b/>
          <w:color w:val="0B3D2E"/>
        </w:rPr>
        <w:t xml:space="preserve">• Digital banking modernisation. </w:t>
      </w:r>
      <w:r>
        <w:t>Progressed the Finshape transformation of Internet and Mobile Banking to establish a scalable platform for future digital capabilities.</w:t>
      </w:r>
    </w:p>
    <w:p>
      <w:pPr>
        <w:spacing w:after="100"/>
        <w:ind w:left="202" w:hanging="115"/>
      </w:pPr>
      <w:r>
        <w:rPr>
          <w:b/>
          <w:color w:val="0B3D2E"/>
        </w:rPr>
        <w:t xml:space="preserve">• Cloud customer experience. </w:t>
      </w:r>
      <w:r>
        <w:t>Advanced the Genesys Cloud CX transformation, strengthening resilience while creating the foundation for unified omnichannel engagement.</w:t>
      </w:r>
    </w:p>
    <w:p>
      <w:pPr>
        <w:spacing w:after="100"/>
        <w:ind w:left="202" w:hanging="115"/>
      </w:pPr>
      <w:r>
        <w:rPr>
          <w:b/>
          <w:color w:val="0B3D2E"/>
        </w:rPr>
        <w:t xml:space="preserve">• National payments enablement. </w:t>
      </w:r>
      <w:r>
        <w:t>Expanded Jaywan readiness across debit-card, e-commerce, acquiring and payment capabilities in support of the UAE digital-payments ecosystem.</w:t>
      </w:r>
    </w:p>
    <w:p>
      <w:pPr>
        <w:spacing w:after="100"/>
        <w:ind w:left="202" w:hanging="115"/>
      </w:pPr>
      <w:r>
        <w:rPr>
          <w:b/>
          <w:color w:val="0B3D2E"/>
        </w:rPr>
        <w:t xml:space="preserve">• Security and regulatory control. </w:t>
      </w:r>
      <w:r>
        <w:t>Strengthened authentication, consent management, fraud-prevention and compliance capabilities across customer and payment journeys.</w:t>
      </w:r>
    </w:p>
    <w:p>
      <w:pPr>
        <w:spacing w:after="100"/>
        <w:ind w:left="202" w:hanging="115"/>
      </w:pPr>
      <w:r>
        <w:rPr>
          <w:b/>
          <w:color w:val="0B3D2E"/>
        </w:rPr>
        <w:t xml:space="preserve">• Platform resilience. </w:t>
      </w:r>
      <w:r>
        <w:t>Completed targeted upgrades and migrations across critical platforms to reduce obsolescence risk and improve supportability and continuity.</w:t>
      </w:r>
    </w:p>
    <w:p>
      <w:pPr>
        <w:spacing w:after="100"/>
        <w:ind w:left="202" w:hanging="115"/>
      </w:pPr>
      <w:r>
        <w:rPr>
          <w:b/>
          <w:color w:val="0B3D2E"/>
        </w:rPr>
        <w:t xml:space="preserve">• Digital customer journeys. </w:t>
      </w:r>
      <w:r>
        <w:t>Enhanced onboarding, servicing, payment and financing journeys across Mobile Banking, Internet Banking, CRM, IVR and WhatsApp.</w:t>
      </w:r>
    </w:p>
    <w:p>
      <w:pPr>
        <w:spacing w:after="100"/>
        <w:ind w:left="202" w:hanging="115"/>
      </w:pPr>
      <w:r>
        <w:rPr>
          <w:b/>
          <w:color w:val="0B3D2E"/>
        </w:rPr>
        <w:t xml:space="preserve">• Technology governance. </w:t>
      </w:r>
      <w:r>
        <w:t>Established stronger portfolio visibility, delivery traceability and capacity governance to support disciplined prioritisation and executive decision-making.</w:t>
      </w:r>
    </w:p>
    <w:p>
      <w:pPr>
        <w:spacing w:after="100"/>
        <w:ind w:left="202" w:hanging="115"/>
      </w:pPr>
      <w:r>
        <w:rPr>
          <w:b/>
          <w:color w:val="0B3D2E"/>
        </w:rPr>
        <w:t xml:space="preserve">• Talent and capability. </w:t>
      </w:r>
      <w:r>
        <w:t>Expanded structured technology learning, certification and UAE National development to build sustainable internal capability.</w:t>
      </w:r>
    </w:p>
    <w:tbl>
      <w:tblPr>
        <w:tblW w:type="auto" w:w="0"/>
        <w:jc w:val="left"/>
        <w:tblLayout w:type="fixed"/>
        <w:tblLook w:firstColumn="1" w:firstRow="1" w:lastColumn="0" w:lastRow="0" w:noHBand="0" w:noVBand="1" w:val="04A0"/>
      </w:tblPr>
      <w:tblGrid>
        <w:gridCol w:w="9994"/>
      </w:tblGrid>
      <w:tr>
        <w:tc>
          <w:tcPr>
            <w:tcW w:type="dxa" w:w="3600"/>
            <w:shd w:fill="EAF3EF"/>
            <w:tcMar>
              <w:top w:w="80" w:type="dxa"/>
              <w:start w:w="140" w:type="dxa"/>
              <w:bottom w:w="80" w:type="dxa"/>
              <w:end w:w="140" w:type="dxa"/>
            </w:tcMar>
          </w:tcPr>
          <w:p>
            <w:r>
              <w:rPr>
                <w:b/>
                <w:color w:val="0B3D2E"/>
                <w:sz w:val="19"/>
              </w:rPr>
              <w:t>STRATEGIC INITIATIVES &amp; CURRENT PROGRESS</w:t>
            </w:r>
          </w:p>
        </w:tc>
      </w:tr>
    </w:tbl>
    <w:p>
      <w:pPr>
        <w:pStyle w:val="Heading1"/>
      </w:pPr>
      <w:r>
        <w:t>Modernising the technology landscape</w:t>
      </w:r>
    </w:p>
    <w:p>
      <w:r>
        <w:t>Current strategic programmes are centred on digital-platform modernisation, cloud adoption, resilient customer engagement, national payments, integrated digital journeys and a stronger technology operating model. Together, these initiatives are reducing legacy risk while creating greater scalability, interoperability and agility.</w:t>
      </w:r>
    </w:p>
    <w:p>
      <w:r>
        <w:t>Finshape, Genesys Cloud CX and CRM cloud modernisation form important elements of this transition, complemented by continued investment in API-enabled integration, customer self-service, payment innovation and delivery governance.</w:t>
      </w:r>
    </w:p>
    <w:tbl>
      <w:tblPr>
        <w:tblW w:type="auto" w:w="0"/>
        <w:jc w:val="left"/>
        <w:tblLayout w:type="fixed"/>
        <w:tblLook w:firstColumn="1" w:firstRow="1" w:lastColumn="0" w:lastRow="0" w:noHBand="0" w:noVBand="1" w:val="04A0"/>
      </w:tblPr>
      <w:tblGrid>
        <w:gridCol w:w="9994"/>
      </w:tblGrid>
      <w:tr>
        <w:tc>
          <w:tcPr>
            <w:tcW w:type="dxa" w:w="3600"/>
            <w:shd w:fill="C9A227"/>
            <w:tcMar>
              <w:top w:w="80" w:type="dxa"/>
              <w:start w:w="140" w:type="dxa"/>
              <w:bottom w:w="80" w:type="dxa"/>
              <w:end w:w="140" w:type="dxa"/>
            </w:tcMar>
          </w:tcPr>
          <w:p>
            <w:r>
              <w:rPr>
                <w:b/>
                <w:color w:val="0B3D2E"/>
                <w:sz w:val="19"/>
              </w:rPr>
              <w:t>2027 OUTLOOK</w:t>
            </w:r>
          </w:p>
        </w:tc>
      </w:tr>
    </w:tbl>
    <w:p>
      <w:pPr>
        <w:pStyle w:val="Heading1"/>
      </w:pPr>
      <w:r>
        <w:t>Future-ready, resilient and increasingly digital</w:t>
      </w:r>
    </w:p>
    <w:p>
      <w:r>
        <w:t>In 2027, CET will continue to advance the Bank's technology transformation by progressing digital banking and cloud customer-experience programmes, expanding cloud and API-led integration, strengthening payment innovation and further modernising customer journeys.</w:t>
      </w:r>
    </w:p>
    <w:p>
      <w:r>
        <w:t>The focus will remain on resilient architecture, superior infrastructure, integrated unified platforms, mobility and digital capabilities, data-driven governance and responsible adoption of emerging technologies. Continued investment in talent and operating-model maturity will help ensure that technology remains scalable, secure and aligned to evolving customer and business needs.</w:t>
      </w:r>
    </w:p>
    <w:p/>
    <w:tbl>
      <w:tblPr>
        <w:tblW w:type="auto" w:w="0"/>
        <w:jc w:val="center"/>
        <w:tblLook w:firstColumn="1" w:firstRow="1" w:lastColumn="0" w:lastRow="0" w:noHBand="0" w:noVBand="1" w:val="04A0"/>
      </w:tblPr>
      <w:tblGrid>
        <w:gridCol w:w="9994"/>
      </w:tblGrid>
      <w:tr>
        <w:tc>
          <w:tcPr>
            <w:tcW w:type="dxa" w:w="9994"/>
            <w:shd w:fill="0B3D2E"/>
            <w:tcMar>
              <w:top w:w="170" w:type="dxa"/>
              <w:start w:w="220" w:type="dxa"/>
              <w:bottom w:w="170" w:type="dxa"/>
              <w:end w:w="220" w:type="dxa"/>
            </w:tcMar>
          </w:tcPr>
          <w:p>
            <w:pPr>
              <w:jc w:val="center"/>
            </w:pPr>
            <w:r>
              <w:rPr>
                <w:b/>
                <w:color w:val="FFFFFF"/>
                <w:sz w:val="24"/>
              </w:rPr>
              <w:t>Protect the foundation. Build capability. Flourish through innovation.</w:t>
            </w:r>
          </w:p>
        </w:tc>
      </w:tr>
    </w:tbl>
    <w:p>
      <w:pPr>
        <w:jc w:val="center"/>
      </w:pPr>
      <w:r>
        <w:rPr>
          <w:i/>
          <w:color w:val="66736E"/>
          <w:sz w:val="17"/>
        </w:rPr>
        <w:t>Supporting project-level evidence is maintained separately in the CET 2026 Initiative Evidence Register.</w:t>
      </w:r>
    </w:p>
    <w:sectPr w:rsidR="00FC693F" w:rsidRPr="0006063C" w:rsidSect="00034616">
      <w:footerReference w:type="default" r:id="rId9"/>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36E"/>
        <w:sz w:val="16"/>
      </w:rPr>
      <w:t>CET | 2026 Annual Integrated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31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B3D2E"/>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3D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