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C8A24A"/>
          <w:sz w:val="24"/>
        </w:rPr>
        <w:t>DUBAI ISLAMIC BANK</w:t>
      </w:r>
    </w:p>
    <w:p/>
    <w:p>
      <w:r>
        <w:rPr>
          <w:rFonts w:ascii="Aptos Display" w:hAnsi="Aptos Display"/>
          <w:b/>
          <w:color w:val="0B3D2E"/>
          <w:sz w:val="72"/>
        </w:rPr>
        <w:t>CET Technology</w:t>
      </w:r>
    </w:p>
    <w:p>
      <w:r>
        <w:rPr>
          <w:rFonts w:ascii="Aptos Display" w:hAnsi="Aptos Display"/>
          <w:color w:val="1F2D2A"/>
          <w:sz w:val="50"/>
        </w:rPr>
        <w:t>2026 Annual Integrated Report</w:t>
      </w:r>
    </w:p>
    <w:p>
      <w:pPr>
        <w:spacing w:before="240"/>
      </w:pPr>
      <w:r>
        <w:rPr>
          <w:rFonts w:ascii="Aptos Display" w:hAnsi="Aptos Display"/>
          <w:b/>
          <w:color w:val="176B4D"/>
          <w:sz w:val="42"/>
        </w:rPr>
        <w:t>Strengthening Digital Foundations,</w:t>
        <w:br/>
        <w:t>Accelerating Customer Experience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6A93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PROTECT</w:t>
            </w:r>
          </w:p>
        </w:tc>
        <w:tc>
          <w:tcPr>
            <w:tcW w:type="dxa" w:w="2448"/>
            <w:shd w:fill="4D7C6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BUILD</w:t>
            </w:r>
          </w:p>
        </w:tc>
        <w:tc>
          <w:tcPr>
            <w:tcW w:type="dxa" w:w="2448"/>
            <w:shd w:fill="1C6F4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FLOURISH</w:t>
            </w:r>
          </w:p>
        </w:tc>
      </w:tr>
    </w:tbl>
    <w:p/>
    <w:p>
      <w:r>
        <w:rPr>
          <w:color w:val="1F2D2A"/>
          <w:sz w:val="24"/>
        </w:rPr>
        <w:t>CET advanced a focused technology agenda in 2026: protecting critical services, building stronger delivery capability, and modernising customer-facing platforms to support the Bank's next phase of digital growth.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024"/>
            <w:shd w:fill="C8A24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r>
              <w:rPr>
                <w:rFonts w:ascii="Aptos" w:hAnsi="Aptos"/>
                <w:b/>
                <w:color w:val="0B3D2E"/>
                <w:sz w:val="20"/>
              </w:rPr>
              <w:t>2026 TECHNOLOGY HIGHLIGHTS</w:t>
            </w:r>
          </w:p>
        </w:tc>
      </w:tr>
    </w:tbl>
    <w:p>
      <w:pPr>
        <w:pStyle w:val="Heading1"/>
      </w:pPr>
      <w:r>
        <w:t>Unlocking new value through resilient, digital-first technology</w:t>
      </w:r>
    </w:p>
    <w:p>
      <w:pPr>
        <w:spacing w:after="200"/>
      </w:pPr>
      <w:r>
        <w:t>CET continued to modernise the Bank's customer-facing technology landscape, strengthening resilience, security and digital capabilities while improving the way customers interact with the Bank across digital and assisted-service channels.</w:t>
      </w:r>
    </w:p>
    <w:p>
      <w:pPr>
        <w:pStyle w:val="Heading2"/>
      </w:pPr>
      <w:r>
        <w:t>1. Key developments and achievements during 2026</w:t>
      </w:r>
    </w:p>
    <w:p>
      <w:pPr>
        <w:spacing w:after="120"/>
        <w:ind w:left="173"/>
      </w:pPr>
      <w:r>
        <w:rPr>
          <w:b/>
          <w:color w:val="0B3D2E"/>
        </w:rPr>
        <w:t xml:space="preserve">National payments and security. </w:t>
      </w:r>
      <w:r>
        <w:rPr>
          <w:color w:val="1F2D2A"/>
        </w:rPr>
        <w:t>Advanced the Bank's readiness for Jaywan across debit-card, e-commerce and payment capabilities, while strengthening transaction security through 3D Secure Digital Pass, enhanced consent management, fraud-prevention controls and compliance automation.</w:t>
      </w:r>
    </w:p>
    <w:p>
      <w:pPr>
        <w:spacing w:after="120"/>
        <w:ind w:left="173"/>
      </w:pPr>
      <w:r>
        <w:rPr>
          <w:b/>
          <w:color w:val="0B3D2E"/>
        </w:rPr>
        <w:t xml:space="preserve">Platform resilience and modernisation. </w:t>
      </w:r>
      <w:r>
        <w:rPr>
          <w:color w:val="1F2D2A"/>
        </w:rPr>
        <w:t>Completed targeted upgrades across critical customer-facing platforms to reduce technology obsolescence, improve supportability and strengthen operational continuity.</w:t>
      </w:r>
    </w:p>
    <w:p>
      <w:pPr>
        <w:spacing w:after="120"/>
        <w:ind w:left="173"/>
      </w:pPr>
      <w:r>
        <w:rPr>
          <w:b/>
          <w:color w:val="0B3D2E"/>
        </w:rPr>
        <w:t xml:space="preserve">Digital customer journeys. </w:t>
      </w:r>
      <w:r>
        <w:rPr>
          <w:color w:val="1F2D2A"/>
        </w:rPr>
        <w:t>Enhanced journeys across Mobile Banking, Internet Banking, CRM, IVR and WhatsApp, expanding self-service, digital onboarding, personal-finance servicing, payment capabilities and product enablement.</w:t>
      </w:r>
    </w:p>
    <w:p>
      <w:pPr>
        <w:spacing w:after="120"/>
        <w:ind w:left="173"/>
      </w:pPr>
      <w:r>
        <w:rPr>
          <w:b/>
          <w:color w:val="0B3D2E"/>
        </w:rPr>
        <w:t xml:space="preserve">Technology delivery governance. </w:t>
      </w:r>
      <w:r>
        <w:rPr>
          <w:color w:val="1F2D2A"/>
        </w:rPr>
        <w:t>Established an integrated CET portfolio governance capability, improving visibility of demand, delivery progress, decision queues, capacity and governance risk to support disciplined prioritisation and evidence-based management decisions.</w:t>
      </w:r>
    </w:p>
    <w:p>
      <w:pPr>
        <w:pStyle w:val="Heading2"/>
      </w:pPr>
      <w:r>
        <w:t>2. Strategic initiatives and current progress</w:t>
      </w:r>
    </w:p>
    <w:p>
      <w:pPr>
        <w:spacing w:after="120"/>
        <w:ind w:left="173"/>
      </w:pPr>
      <w:r>
        <w:rPr>
          <w:b/>
          <w:color w:val="176B4D"/>
        </w:rPr>
        <w:t xml:space="preserve">Digital banking transformation. </w:t>
      </w:r>
      <w:r>
        <w:t>Progressing the Finshape transformation of the Bank's Internet and Mobile Banking platforms to establish a scalable foundation for future digital capabilities and customer experiences.</w:t>
      </w:r>
    </w:p>
    <w:p>
      <w:pPr>
        <w:spacing w:after="120"/>
        <w:ind w:left="173"/>
      </w:pPr>
      <w:r>
        <w:rPr>
          <w:b/>
          <w:color w:val="176B4D"/>
        </w:rPr>
        <w:t xml:space="preserve">Cloud contact-centre transformation. </w:t>
      </w:r>
      <w:r>
        <w:t>Progressing the migration to Genesys Cloud CX, providing a resilient and scalable cloud foundation while enabling integrated omnichannel engagement and stronger operational oversight.</w:t>
      </w:r>
    </w:p>
    <w:p>
      <w:pPr>
        <w:spacing w:after="120"/>
        <w:ind w:left="173"/>
      </w:pPr>
      <w:r>
        <w:rPr>
          <w:b/>
          <w:color w:val="176B4D"/>
        </w:rPr>
        <w:t xml:space="preserve">Cloud, payments and digitisation. </w:t>
      </w:r>
      <w:r>
        <w:t>Advancing CRM cloud modernisation, Jaywan e-commerce and tokenised-payment capabilities, and further digitisation of onboarding and servicing journeys.</w:t>
      </w:r>
    </w:p>
    <w:p>
      <w:pPr>
        <w:spacing w:after="120"/>
        <w:ind w:left="173"/>
      </w:pPr>
      <w:r>
        <w:rPr>
          <w:b/>
          <w:color w:val="176B4D"/>
        </w:rPr>
        <w:t xml:space="preserve">Operating model and talent. </w:t>
      </w:r>
      <w:r>
        <w:t>Evolving CET's operating model through squad-based delivery, stronger portfolio governance and structured technology learning, complemented by dedicated UAE National upskilling and certification programmes.</w:t>
      </w:r>
    </w:p>
    <w:p>
      <w:pPr>
        <w:pStyle w:val="Heading2"/>
      </w:pPr>
      <w:r>
        <w:t>3. 2027 outlook</w:t>
      </w:r>
    </w:p>
    <w:p>
      <w:r>
        <w:t>In 2027, CET will continue accelerating digital-platform modernisation while strengthening resilience, scalability and customer experience. Priorities include progressing the Finshape digital banking and Genesys Cloud CX transformations, expanding cloud and API-led integration, advancing payment innovation, and further embedding data-driven governance, automation and future-ready technology capabilities.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E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0B3D2E"/>
                <w:sz w:val="24"/>
              </w:rPr>
              <w:t>Protect the foundation. Build stronger delivery capability. Flourish through digital innovation.</w:t>
            </w:r>
          </w:p>
        </w:tc>
      </w:tr>
    </w:tbl>
    <w:p/>
    <w:p>
      <w:pPr>
        <w:jc w:val="center"/>
      </w:pPr>
      <w:r>
        <w:rPr>
          <w:i/>
          <w:color w:val="66736E"/>
          <w:sz w:val="18"/>
        </w:rPr>
        <w:t>Supporting evidence is maintained in the accompanying CET 2026 Initiative Evidence Register.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E"/>
        <w:sz w:val="16"/>
      </w:rPr>
      <w:t>CET | 2026 Annual Integrated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D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3D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3D2E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