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F4277">
      <w:pPr>
        <w:rPr>
          <w:rFonts w:hint="default" w:ascii="Courier New" w:hAnsi="Courier New" w:cs="Courier New"/>
        </w:rPr>
      </w:pPr>
    </w:p>
    <w:p w14:paraId="13F86E4B">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b/>
          <w:bCs/>
          <w:sz w:val="20"/>
          <w:szCs w:val="20"/>
        </w:rPr>
        <w:t>1. SYSTEM ARCHITECTURE &amp; PIPELINED CONTROL DESIGN</w:t>
      </w:r>
    </w:p>
    <w:p w14:paraId="623E9D27">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sz w:val="20"/>
          <w:szCs w:val="20"/>
        </w:rPr>
        <w:t>This project replaces the traditional multi-cycle control unit of the classic Mano Machine with a high-performance, 3-stage pipelined architecture implemented in Verilog HDL (PÇ1). The architecture decouples the sequential execution flow by partitioning the datapath into parallel stages, allowing multiple instructions to be processed simultaneously in different phases of completion (PÇ1).</w:t>
      </w:r>
    </w:p>
    <w:p w14:paraId="7D2417E4">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sz w:val="20"/>
          <w:szCs w:val="20"/>
        </w:rPr>
        <w:t>The pipelined control unit consists of the following core sub-modules:</w:t>
      </w:r>
    </w:p>
    <w:p w14:paraId="2F3BD5EC">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b/>
          <w:bCs/>
          <w:sz w:val="20"/>
          <w:szCs w:val="20"/>
        </w:rPr>
        <w:t>Instruction Fetch (IF) Stage:</w:t>
      </w:r>
      <w:r>
        <w:rPr>
          <w:rFonts w:hint="default" w:ascii="Courier New" w:hAnsi="Courier New" w:eastAsia="sans-serif" w:cs="Courier New"/>
          <w:sz w:val="20"/>
          <w:szCs w:val="20"/>
        </w:rPr>
        <w:t xml:space="preserve"> Logic that retrieves the next instruction from the unified Block RAM based on the Program Counter (PC) (PÇ1).</w:t>
      </w:r>
    </w:p>
    <w:p w14:paraId="403A2735">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b/>
          <w:bCs/>
          <w:sz w:val="20"/>
          <w:szCs w:val="20"/>
        </w:rPr>
        <w:t>Instruction Decode (ID) Stage:</w:t>
      </w:r>
      <w:r>
        <w:rPr>
          <w:rFonts w:hint="default" w:ascii="Courier New" w:hAnsi="Courier New" w:eastAsia="sans-serif" w:cs="Courier New"/>
          <w:sz w:val="20"/>
          <w:szCs w:val="20"/>
        </w:rPr>
        <w:t xml:space="preserve"> Combinational circuitry that interprets the opcode, resolves memory addresses, and reads the required operands from the register file or memory (PÇ5).</w:t>
      </w:r>
    </w:p>
    <w:p w14:paraId="61412F4F">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b/>
          <w:bCs/>
          <w:sz w:val="20"/>
          <w:szCs w:val="20"/>
        </w:rPr>
        <w:t>Execute (EX) Stage:</w:t>
      </w:r>
      <w:r>
        <w:rPr>
          <w:rFonts w:hint="default" w:ascii="Courier New" w:hAnsi="Courier New" w:eastAsia="sans-serif" w:cs="Courier New"/>
          <w:sz w:val="20"/>
          <w:szCs w:val="20"/>
        </w:rPr>
        <w:t xml:space="preserve"> The ALU and datapath routing that performs the arithmetic or logical operation and writes the results back to the destination (PÇ1).</w:t>
      </w:r>
    </w:p>
    <w:p w14:paraId="512CA756">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b/>
          <w:bCs/>
          <w:sz w:val="20"/>
          <w:szCs w:val="20"/>
        </w:rPr>
        <w:t>Pipeline Registers (IF_ID &amp; ID_EX):</w:t>
      </w:r>
      <w:r>
        <w:rPr>
          <w:rFonts w:hint="default" w:ascii="Courier New" w:hAnsi="Courier New" w:eastAsia="sans-serif" w:cs="Courier New"/>
          <w:sz w:val="20"/>
          <w:szCs w:val="20"/>
        </w:rPr>
        <w:t xml:space="preserve"> Dedicated synchronous registers designed to preserve data, memory addresses, and control signals across clock boundaries, synchronizing the overlapping stages (PÇ1).</w:t>
      </w:r>
    </w:p>
    <w:p w14:paraId="1D9EF771">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b/>
          <w:bCs/>
          <w:sz w:val="20"/>
          <w:szCs w:val="20"/>
        </w:rPr>
        <w:t>Hardware Wrapper (</w:t>
      </w:r>
      <w:r>
        <w:rPr>
          <w:rStyle w:val="4"/>
          <w:rFonts w:hint="default" w:ascii="Courier New" w:hAnsi="Courier New" w:eastAsia="sans-serif" w:cs="Courier New"/>
          <w:b/>
          <w:bCs/>
          <w:sz w:val="20"/>
          <w:szCs w:val="20"/>
        </w:rPr>
        <w:t>fpga_top.v</w:t>
      </w:r>
      <w:r>
        <w:rPr>
          <w:rFonts w:hint="default" w:ascii="Courier New" w:hAnsi="Courier New" w:eastAsia="sans-serif" w:cs="Courier New"/>
          <w:b/>
          <w:bCs/>
          <w:sz w:val="20"/>
          <w:szCs w:val="20"/>
        </w:rPr>
        <w:t>):</w:t>
      </w:r>
      <w:r>
        <w:rPr>
          <w:rFonts w:hint="default" w:ascii="Courier New" w:hAnsi="Courier New" w:eastAsia="sans-serif" w:cs="Courier New"/>
          <w:sz w:val="20"/>
          <w:szCs w:val="20"/>
        </w:rPr>
        <w:t xml:space="preserve"> A top-level module mapping the processor's clock to the Digilent Basys 3's 100MHz oscillator, utilizing a snooping circuit and a multiplexing switch (SW0) to route final computed variables to the 16 onboard LEDs (PÇ5).</w:t>
      </w:r>
    </w:p>
    <w:p w14:paraId="4AB4B5D2">
      <w:pPr>
        <w:pStyle w:val="5"/>
        <w:keepNext w:val="0"/>
        <w:keepLines w:val="0"/>
        <w:widowControl/>
        <w:suppressLineNumbers w:val="0"/>
        <w:spacing w:before="0" w:beforeAutospacing="0" w:line="7" w:lineRule="atLeast"/>
        <w:ind w:right="720"/>
        <w:rPr>
          <w:rFonts w:hint="default" w:ascii="Courier New" w:hAnsi="Courier New" w:eastAsia="sans-serif" w:cs="Courier New"/>
          <w:sz w:val="20"/>
          <w:szCs w:val="20"/>
        </w:rPr>
      </w:pPr>
      <w:r>
        <w:rPr>
          <w:rFonts w:hint="default" w:ascii="Courier New" w:hAnsi="Courier New" w:eastAsia="sans-serif" w:cs="Courier New"/>
          <w:b/>
          <w:bCs/>
          <w:sz w:val="20"/>
          <w:szCs w:val="20"/>
        </w:rPr>
        <w:t>[INSERT IMAGE HERE: The top-level RTL schematic (</w:t>
      </w:r>
      <w:r>
        <w:rPr>
          <w:rStyle w:val="4"/>
          <w:rFonts w:hint="default" w:ascii="Courier New" w:hAnsi="Courier New" w:eastAsia="sans-serif" w:cs="Courier New"/>
          <w:b/>
          <w:bCs/>
          <w:sz w:val="20"/>
          <w:szCs w:val="20"/>
        </w:rPr>
        <w:t>image_7a41e6.png</w:t>
      </w:r>
      <w:r>
        <w:rPr>
          <w:rFonts w:hint="default" w:ascii="Courier New" w:hAnsi="Courier New" w:eastAsia="sans-serif" w:cs="Courier New"/>
          <w:b/>
          <w:bCs/>
          <w:sz w:val="20"/>
          <w:szCs w:val="20"/>
        </w:rPr>
        <w:t>) showing the CPU wrapped with the RAM and LED multiplexers]</w:t>
      </w:r>
    </w:p>
    <w:p w14:paraId="4ABD9622">
      <w:pPr>
        <w:pStyle w:val="5"/>
        <w:keepNext w:val="0"/>
        <w:keepLines w:val="0"/>
        <w:widowControl/>
        <w:suppressLineNumbers w:val="0"/>
        <w:spacing w:before="0" w:beforeAutospacing="0" w:line="7" w:lineRule="atLeast"/>
        <w:ind w:right="720"/>
        <w:rPr>
          <w:rFonts w:hint="default" w:ascii="Courier New" w:hAnsi="Courier New" w:eastAsia="sans-serif" w:cs="Courier New"/>
          <w:sz w:val="20"/>
          <w:szCs w:val="20"/>
        </w:rPr>
      </w:pPr>
      <w:r>
        <w:rPr>
          <w:rFonts w:hint="default" w:ascii="Courier New" w:hAnsi="Courier New" w:eastAsia="sans-serif" w:cs="Courier New"/>
          <w:b/>
          <w:bCs/>
          <w:sz w:val="20"/>
          <w:szCs w:val="20"/>
        </w:rPr>
        <w:t>[INSERT IMAGE HERE: The expanded gate-level schematic (</w:t>
      </w:r>
      <w:r>
        <w:rPr>
          <w:rStyle w:val="4"/>
          <w:rFonts w:hint="default" w:ascii="Courier New" w:hAnsi="Courier New" w:eastAsia="sans-serif" w:cs="Courier New"/>
          <w:b/>
          <w:bCs/>
          <w:sz w:val="20"/>
          <w:szCs w:val="20"/>
        </w:rPr>
        <w:t>image_7a4d62.png</w:t>
      </w:r>
      <w:r>
        <w:rPr>
          <w:rFonts w:hint="default" w:ascii="Courier New" w:hAnsi="Courier New" w:eastAsia="sans-serif" w:cs="Courier New"/>
          <w:b/>
          <w:bCs/>
          <w:sz w:val="20"/>
          <w:szCs w:val="20"/>
        </w:rPr>
        <w:t>) showing the internal complexity and routing of the pipeline]</w:t>
      </w:r>
    </w:p>
    <w:p w14:paraId="3D6F8DF9">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b/>
          <w:bCs/>
          <w:sz w:val="20"/>
          <w:szCs w:val="20"/>
        </w:rPr>
        <w:t>2. PERFORMANCE ANALYSIS, CRITICAL PATH, AND DESIGN LIMITATIONS</w:t>
      </w:r>
    </w:p>
    <w:p w14:paraId="3AC64F0F">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sz w:val="20"/>
          <w:szCs w:val="20"/>
        </w:rPr>
        <w:t>While a pipelined control unit provides superior throughput over multi-cycle designs, it introduces distinct hardware trade-offs, specifically regarding data dependencies and branch latency (PÇ5).</w:t>
      </w:r>
    </w:p>
    <w:p w14:paraId="1BB0253F">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sz w:val="20"/>
          <w:szCs w:val="20"/>
        </w:rPr>
        <w:t>Performance Metrics and Trade-Off Analysis:</w:t>
      </w:r>
    </w:p>
    <w:p w14:paraId="3E9B61F2">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b/>
          <w:bCs/>
          <w:sz w:val="20"/>
          <w:szCs w:val="20"/>
        </w:rPr>
        <w:t>Clock Cycles Per Instruction (CPI):</w:t>
      </w:r>
      <w:r>
        <w:rPr>
          <w:rFonts w:hint="default" w:ascii="Courier New" w:hAnsi="Courier New" w:eastAsia="sans-serif" w:cs="Courier New"/>
          <w:sz w:val="20"/>
          <w:szCs w:val="20"/>
        </w:rPr>
        <w:t xml:space="preserve"> A basic memory-reference instruction that takes 4 to 6 clock cycles in a classic multi-cycle unit effectively requires only 1 clock cycle in this pipelined unit after the initial 3-cycle fill stage, assuming no hazards (PÇ5).</w:t>
      </w:r>
    </w:p>
    <w:p w14:paraId="4EDEDDD6">
      <w:pPr>
        <w:pStyle w:val="5"/>
        <w:keepNext w:val="0"/>
        <w:keepLines w:val="0"/>
        <w:widowControl/>
        <w:suppressLineNumbers w:val="0"/>
        <w:spacing w:before="0" w:beforeAutospacing="0" w:line="7" w:lineRule="atLeast"/>
        <w:rPr>
          <w:rFonts w:hint="default" w:ascii="Courier New" w:hAnsi="Courier New" w:eastAsia="sans-serif" w:cs="Courier New"/>
          <w:b/>
          <w:bCs/>
          <w:sz w:val="20"/>
          <w:szCs w:val="20"/>
        </w:rPr>
      </w:pPr>
    </w:p>
    <w:p w14:paraId="77890746">
      <w:pPr>
        <w:pStyle w:val="5"/>
        <w:keepNext w:val="0"/>
        <w:keepLines w:val="0"/>
        <w:widowControl/>
        <w:suppressLineNumbers w:val="0"/>
        <w:spacing w:before="0" w:beforeAutospacing="0" w:line="7" w:lineRule="atLeast"/>
        <w:rPr>
          <w:rFonts w:hint="default" w:ascii="Courier New" w:hAnsi="Courier New" w:eastAsia="sans-serif" w:cs="Courier New"/>
          <w:b/>
          <w:bCs/>
          <w:sz w:val="20"/>
          <w:szCs w:val="20"/>
        </w:rPr>
      </w:pPr>
    </w:p>
    <w:p w14:paraId="3F79C345">
      <w:pPr>
        <w:pStyle w:val="5"/>
        <w:keepNext w:val="0"/>
        <w:keepLines w:val="0"/>
        <w:widowControl/>
        <w:suppressLineNumbers w:val="0"/>
        <w:spacing w:before="0" w:beforeAutospacing="0" w:line="7" w:lineRule="atLeast"/>
        <w:rPr>
          <w:rFonts w:hint="default" w:ascii="Courier New" w:hAnsi="Courier New" w:eastAsia="sans-serif" w:cs="Courier New"/>
          <w:b/>
          <w:bCs/>
          <w:sz w:val="20"/>
          <w:szCs w:val="20"/>
        </w:rPr>
      </w:pPr>
    </w:p>
    <w:p w14:paraId="64D9B52F">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b/>
          <w:bCs/>
          <w:sz w:val="20"/>
          <w:szCs w:val="20"/>
        </w:rPr>
        <w:t>Data Hazards (RAW - Read After Write):</w:t>
      </w:r>
      <w:r>
        <w:rPr>
          <w:rFonts w:hint="default" w:ascii="Courier New" w:hAnsi="Courier New" w:eastAsia="sans-serif" w:cs="Courier New"/>
          <w:sz w:val="20"/>
          <w:szCs w:val="20"/>
        </w:rPr>
        <w:t xml:space="preserve"> The pipeline architecture is limited by data dependencies. If an instruction requires a value not yet written back by the preceding Execute stage, the dedicated Hazard Management Unit must deliberately stall the pipeline, forcing the dependent instruction to wait (PÇ1).</w:t>
      </w:r>
    </w:p>
    <w:p w14:paraId="15E46B68">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b/>
          <w:bCs/>
          <w:sz w:val="20"/>
          <w:szCs w:val="20"/>
        </w:rPr>
        <w:t>Control Hazards (Branching):</w:t>
      </w:r>
      <w:r>
        <w:rPr>
          <w:rFonts w:hint="default" w:ascii="Courier New" w:hAnsi="Courier New" w:eastAsia="sans-serif" w:cs="Courier New"/>
          <w:sz w:val="20"/>
          <w:szCs w:val="20"/>
        </w:rPr>
        <w:t xml:space="preserve"> When branch conditions (</w:t>
      </w:r>
      <w:r>
        <w:rPr>
          <w:rStyle w:val="4"/>
          <w:rFonts w:hint="default" w:ascii="Courier New" w:hAnsi="Courier New" w:eastAsia="sans-serif" w:cs="Courier New"/>
          <w:sz w:val="20"/>
          <w:szCs w:val="20"/>
        </w:rPr>
        <w:t>BUN</w:t>
      </w:r>
      <w:r>
        <w:rPr>
          <w:rFonts w:hint="default" w:ascii="Courier New" w:hAnsi="Courier New" w:eastAsia="sans-serif" w:cs="Courier New"/>
          <w:sz w:val="20"/>
          <w:szCs w:val="20"/>
        </w:rPr>
        <w:t xml:space="preserve">, </w:t>
      </w:r>
      <w:r>
        <w:rPr>
          <w:rStyle w:val="4"/>
          <w:rFonts w:hint="default" w:ascii="Courier New" w:hAnsi="Courier New" w:eastAsia="sans-serif" w:cs="Courier New"/>
          <w:sz w:val="20"/>
          <w:szCs w:val="20"/>
        </w:rPr>
        <w:t>SZA</w:t>
      </w:r>
      <w:r>
        <w:rPr>
          <w:rFonts w:hint="default" w:ascii="Courier New" w:hAnsi="Courier New" w:eastAsia="sans-serif" w:cs="Courier New"/>
          <w:sz w:val="20"/>
          <w:szCs w:val="20"/>
        </w:rPr>
        <w:t xml:space="preserve">, </w:t>
      </w:r>
      <w:r>
        <w:rPr>
          <w:rStyle w:val="4"/>
          <w:rFonts w:hint="default" w:ascii="Courier New" w:hAnsi="Courier New" w:eastAsia="sans-serif" w:cs="Courier New"/>
          <w:sz w:val="20"/>
          <w:szCs w:val="20"/>
        </w:rPr>
        <w:t>SNA</w:t>
      </w:r>
      <w:r>
        <w:rPr>
          <w:rFonts w:hint="default" w:ascii="Courier New" w:hAnsi="Courier New" w:eastAsia="sans-serif" w:cs="Courier New"/>
          <w:sz w:val="20"/>
          <w:szCs w:val="20"/>
        </w:rPr>
        <w:t xml:space="preserve">) are evaluated in the Execute stage, the pipeline has already fetched the next two sequential instructions. The Hazard Management Unit must flush these invalid instructions by injecting NOP (No Operation) commands into the </w:t>
      </w:r>
      <w:r>
        <w:rPr>
          <w:rStyle w:val="4"/>
          <w:rFonts w:hint="default" w:ascii="Courier New" w:hAnsi="Courier New" w:eastAsia="sans-serif" w:cs="Courier New"/>
          <w:sz w:val="20"/>
          <w:szCs w:val="20"/>
        </w:rPr>
        <w:t>IF_ID</w:t>
      </w:r>
      <w:r>
        <w:rPr>
          <w:rFonts w:hint="default" w:ascii="Courier New" w:hAnsi="Courier New" w:eastAsia="sans-serif" w:cs="Courier New"/>
          <w:sz w:val="20"/>
          <w:szCs w:val="20"/>
        </w:rPr>
        <w:t xml:space="preserve"> and </w:t>
      </w:r>
      <w:r>
        <w:rPr>
          <w:rStyle w:val="4"/>
          <w:rFonts w:hint="default" w:ascii="Courier New" w:hAnsi="Courier New" w:eastAsia="sans-serif" w:cs="Courier New"/>
          <w:sz w:val="20"/>
          <w:szCs w:val="20"/>
        </w:rPr>
        <w:t>ID_EX</w:t>
      </w:r>
      <w:r>
        <w:rPr>
          <w:rFonts w:hint="default" w:ascii="Courier New" w:hAnsi="Courier New" w:eastAsia="sans-serif" w:cs="Courier New"/>
          <w:sz w:val="20"/>
          <w:szCs w:val="20"/>
        </w:rPr>
        <w:t xml:space="preserve"> registers to prevent data corruption, introducing a minor cycle penalty (PÇ13).</w:t>
      </w:r>
    </w:p>
    <w:p w14:paraId="43C781F2">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b/>
          <w:bCs/>
          <w:sz w:val="20"/>
          <w:szCs w:val="20"/>
        </w:rPr>
        <w:t>3. TESTBENCH VERIFICATION, SIMULATION &amp; SYNTHESIS RESULTS</w:t>
      </w:r>
    </w:p>
    <w:p w14:paraId="62F88715">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sz w:val="20"/>
          <w:szCs w:val="20"/>
        </w:rPr>
        <w:t>Verification of the pipelined processor was conducted through behavioral simulations in Xilinx Vivado using a custom, auto-halting testbench (</w:t>
      </w:r>
      <w:r>
        <w:rPr>
          <w:rStyle w:val="4"/>
          <w:rFonts w:hint="default" w:ascii="Courier New" w:hAnsi="Courier New" w:eastAsia="sans-serif" w:cs="Courier New"/>
          <w:sz w:val="20"/>
          <w:szCs w:val="20"/>
        </w:rPr>
        <w:t>tb_mano_pipeline.v</w:t>
      </w:r>
      <w:r>
        <w:rPr>
          <w:rFonts w:hint="default" w:ascii="Courier New" w:hAnsi="Courier New" w:eastAsia="sans-serif" w:cs="Courier New"/>
          <w:sz w:val="20"/>
          <w:szCs w:val="20"/>
        </w:rPr>
        <w:t>) (PÇ5). The test program loaded into main memory evaluates a complex 16-bit floating-point addition algorithm written in Mano assembly (</w:t>
      </w:r>
      <w:r>
        <w:rPr>
          <w:rStyle w:val="4"/>
          <w:rFonts w:hint="default" w:ascii="Courier New" w:hAnsi="Courier New" w:eastAsia="sans-serif" w:cs="Courier New"/>
          <w:sz w:val="20"/>
          <w:szCs w:val="20"/>
        </w:rPr>
        <w:t>fp_add.asm</w:t>
      </w:r>
      <w:r>
        <w:rPr>
          <w:rFonts w:hint="default" w:ascii="Courier New" w:hAnsi="Courier New" w:eastAsia="sans-serif" w:cs="Courier New"/>
          <w:sz w:val="20"/>
          <w:szCs w:val="20"/>
        </w:rPr>
        <w:t>) and converted to machine hex by a custom Python assembler (PÇ1).</w:t>
      </w:r>
    </w:p>
    <w:p w14:paraId="4FCBFBAF">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sz w:val="20"/>
          <w:szCs w:val="20"/>
        </w:rPr>
        <w:t>Instruction Sequence Executed in RAM:</w:t>
      </w:r>
    </w:p>
    <w:p w14:paraId="6AF52987">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b/>
          <w:bCs/>
          <w:sz w:val="20"/>
          <w:szCs w:val="20"/>
        </w:rPr>
        <w:t>Operand Loading:</w:t>
      </w:r>
      <w:r>
        <w:rPr>
          <w:rFonts w:hint="default" w:ascii="Courier New" w:hAnsi="Courier New" w:eastAsia="sans-serif" w:cs="Courier New"/>
          <w:sz w:val="20"/>
          <w:szCs w:val="20"/>
        </w:rPr>
        <w:t xml:space="preserve"> The mantissa and exponent components of two floating-point numbers (</w:t>
      </w:r>
      <w:r>
        <w:rPr>
          <w:rStyle w:val="4"/>
          <w:rFonts w:hint="default" w:ascii="Courier New" w:hAnsi="Courier New" w:eastAsia="sans-serif" w:cs="Courier New"/>
          <w:sz w:val="20"/>
          <w:szCs w:val="20"/>
        </w:rPr>
        <w:t>0x4500</w:t>
      </w:r>
      <w:r>
        <w:rPr>
          <w:rFonts w:hint="default" w:ascii="Courier New" w:hAnsi="Courier New" w:eastAsia="sans-serif" w:cs="Courier New"/>
          <w:sz w:val="20"/>
          <w:szCs w:val="20"/>
        </w:rPr>
        <w:t xml:space="preserve"> and </w:t>
      </w:r>
      <w:r>
        <w:rPr>
          <w:rStyle w:val="4"/>
          <w:rFonts w:hint="default" w:ascii="Courier New" w:hAnsi="Courier New" w:eastAsia="sans-serif" w:cs="Courier New"/>
          <w:sz w:val="20"/>
          <w:szCs w:val="20"/>
        </w:rPr>
        <w:t>0x4100</w:t>
      </w:r>
      <w:r>
        <w:rPr>
          <w:rFonts w:hint="default" w:ascii="Courier New" w:hAnsi="Courier New" w:eastAsia="sans-serif" w:cs="Courier New"/>
          <w:sz w:val="20"/>
          <w:szCs w:val="20"/>
        </w:rPr>
        <w:t>) are loaded into the pipeline (PÇ1).</w:t>
      </w:r>
    </w:p>
    <w:p w14:paraId="0A437F86">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b/>
          <w:bCs/>
          <w:sz w:val="20"/>
          <w:szCs w:val="20"/>
        </w:rPr>
        <w:t>Masking and Alignment:</w:t>
      </w:r>
      <w:r>
        <w:rPr>
          <w:rFonts w:hint="default" w:ascii="Courier New" w:hAnsi="Courier New" w:eastAsia="sans-serif" w:cs="Courier New"/>
          <w:sz w:val="20"/>
          <w:szCs w:val="20"/>
        </w:rPr>
        <w:t xml:space="preserve"> The ALU executes bitwise masking and logical right shifts to align the smaller mantissa (</w:t>
      </w:r>
      <w:r>
        <w:rPr>
          <w:rStyle w:val="4"/>
          <w:rFonts w:hint="default" w:ascii="Courier New" w:hAnsi="Courier New" w:eastAsia="sans-serif" w:cs="Courier New"/>
          <w:sz w:val="20"/>
          <w:szCs w:val="20"/>
        </w:rPr>
        <w:t>0280</w:t>
      </w:r>
      <w:r>
        <w:rPr>
          <w:rFonts w:hint="default" w:ascii="Courier New" w:hAnsi="Courier New" w:eastAsia="sans-serif" w:cs="Courier New"/>
          <w:sz w:val="20"/>
          <w:szCs w:val="20"/>
        </w:rPr>
        <w:t>) with the larger exponent (</w:t>
      </w:r>
      <w:r>
        <w:rPr>
          <w:rStyle w:val="4"/>
          <w:rFonts w:hint="default" w:ascii="Courier New" w:hAnsi="Courier New" w:eastAsia="sans-serif" w:cs="Courier New"/>
          <w:sz w:val="20"/>
          <w:szCs w:val="20"/>
        </w:rPr>
        <w:t>0400</w:t>
      </w:r>
      <w:r>
        <w:rPr>
          <w:rFonts w:hint="default" w:ascii="Courier New" w:hAnsi="Courier New" w:eastAsia="sans-serif" w:cs="Courier New"/>
          <w:sz w:val="20"/>
          <w:szCs w:val="20"/>
        </w:rPr>
        <w:t>) (PÇ1).</w:t>
      </w:r>
    </w:p>
    <w:p w14:paraId="73CEB98E">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b/>
          <w:bCs/>
          <w:sz w:val="20"/>
          <w:szCs w:val="20"/>
        </w:rPr>
        <w:t>Execution &amp; Result:</w:t>
      </w:r>
      <w:r>
        <w:rPr>
          <w:rFonts w:hint="default" w:ascii="Courier New" w:hAnsi="Courier New" w:eastAsia="sans-serif" w:cs="Courier New"/>
          <w:sz w:val="20"/>
          <w:szCs w:val="20"/>
        </w:rPr>
        <w:t xml:space="preserve"> The ALU successfully adds the aligned mantissas, resulting in a Final Exponent (</w:t>
      </w:r>
      <w:r>
        <w:rPr>
          <w:rStyle w:val="4"/>
          <w:rFonts w:hint="default" w:ascii="Courier New" w:hAnsi="Courier New" w:eastAsia="sans-serif" w:cs="Courier New"/>
          <w:sz w:val="20"/>
          <w:szCs w:val="20"/>
        </w:rPr>
        <w:t>RES_EXP</w:t>
      </w:r>
      <w:r>
        <w:rPr>
          <w:rFonts w:hint="default" w:ascii="Courier New" w:hAnsi="Courier New" w:eastAsia="sans-serif" w:cs="Courier New"/>
          <w:sz w:val="20"/>
          <w:szCs w:val="20"/>
        </w:rPr>
        <w:t xml:space="preserve">) of </w:t>
      </w:r>
      <w:r>
        <w:rPr>
          <w:rStyle w:val="4"/>
          <w:rFonts w:hint="default" w:ascii="Courier New" w:hAnsi="Courier New" w:eastAsia="sans-serif" w:cs="Courier New"/>
          <w:sz w:val="20"/>
          <w:szCs w:val="20"/>
        </w:rPr>
        <w:t>0x4400</w:t>
      </w:r>
      <w:r>
        <w:rPr>
          <w:rFonts w:hint="default" w:ascii="Courier New" w:hAnsi="Courier New" w:eastAsia="sans-serif" w:cs="Courier New"/>
          <w:sz w:val="20"/>
          <w:szCs w:val="20"/>
        </w:rPr>
        <w:t xml:space="preserve"> and a Final Mantissa (</w:t>
      </w:r>
      <w:r>
        <w:rPr>
          <w:rStyle w:val="4"/>
          <w:rFonts w:hint="default" w:ascii="Courier New" w:hAnsi="Courier New" w:eastAsia="sans-serif" w:cs="Courier New"/>
          <w:sz w:val="20"/>
          <w:szCs w:val="20"/>
        </w:rPr>
        <w:t>RES_MAN</w:t>
      </w:r>
      <w:r>
        <w:rPr>
          <w:rFonts w:hint="default" w:ascii="Courier New" w:hAnsi="Courier New" w:eastAsia="sans-serif" w:cs="Courier New"/>
          <w:sz w:val="20"/>
          <w:szCs w:val="20"/>
        </w:rPr>
        <w:t xml:space="preserve">) of </w:t>
      </w:r>
      <w:r>
        <w:rPr>
          <w:rStyle w:val="4"/>
          <w:rFonts w:hint="default" w:ascii="Courier New" w:hAnsi="Courier New" w:eastAsia="sans-serif" w:cs="Courier New"/>
          <w:sz w:val="20"/>
          <w:szCs w:val="20"/>
        </w:rPr>
        <w:t>0x0780</w:t>
      </w:r>
      <w:r>
        <w:rPr>
          <w:rFonts w:hint="default" w:ascii="Courier New" w:hAnsi="Courier New" w:eastAsia="sans-serif" w:cs="Courier New"/>
          <w:sz w:val="20"/>
          <w:szCs w:val="20"/>
        </w:rPr>
        <w:t xml:space="preserve"> (PÇ1).</w:t>
      </w:r>
    </w:p>
    <w:p w14:paraId="1D2E5F02">
      <w:pPr>
        <w:pStyle w:val="5"/>
        <w:keepNext w:val="0"/>
        <w:keepLines w:val="0"/>
        <w:widowControl/>
        <w:suppressLineNumbers w:val="0"/>
        <w:spacing w:before="0" w:beforeAutospacing="0" w:line="7" w:lineRule="atLeast"/>
        <w:ind w:right="720"/>
        <w:rPr>
          <w:rFonts w:hint="default" w:ascii="Courier New" w:hAnsi="Courier New" w:eastAsia="sans-serif" w:cs="Courier New"/>
          <w:sz w:val="20"/>
          <w:szCs w:val="20"/>
        </w:rPr>
      </w:pPr>
      <w:r>
        <w:rPr>
          <w:rFonts w:hint="default" w:ascii="Courier New" w:hAnsi="Courier New" w:eastAsia="sans-serif" w:cs="Courier New"/>
          <w:b/>
          <w:bCs/>
          <w:sz w:val="20"/>
          <w:szCs w:val="20"/>
        </w:rPr>
        <w:t xml:space="preserve">[INSERT IMAGE HERE: The Tcl Console screenshot showing the formatted math verification </w:t>
      </w:r>
      <w:r>
        <w:rPr>
          <w:rStyle w:val="4"/>
          <w:rFonts w:hint="default" w:ascii="Courier New" w:hAnsi="Courier New" w:eastAsia="sans-serif" w:cs="Courier New"/>
          <w:b/>
          <w:bCs/>
          <w:sz w:val="20"/>
          <w:szCs w:val="20"/>
        </w:rPr>
        <w:t>RES_EXP : 4400</w:t>
      </w:r>
      <w:r>
        <w:rPr>
          <w:rFonts w:hint="default" w:ascii="Courier New" w:hAnsi="Courier New" w:eastAsia="sans-serif" w:cs="Courier New"/>
          <w:b/>
          <w:bCs/>
          <w:sz w:val="20"/>
          <w:szCs w:val="20"/>
        </w:rPr>
        <w:t xml:space="preserve"> and </w:t>
      </w:r>
      <w:r>
        <w:rPr>
          <w:rStyle w:val="4"/>
          <w:rFonts w:hint="default" w:ascii="Courier New" w:hAnsi="Courier New" w:eastAsia="sans-serif" w:cs="Courier New"/>
          <w:b/>
          <w:bCs/>
          <w:sz w:val="20"/>
          <w:szCs w:val="20"/>
        </w:rPr>
        <w:t>RES_MAN : 0780</w:t>
      </w:r>
      <w:r>
        <w:rPr>
          <w:rFonts w:hint="default" w:ascii="Courier New" w:hAnsi="Courier New" w:eastAsia="sans-serif" w:cs="Courier New"/>
          <w:b/>
          <w:bCs/>
          <w:sz w:val="20"/>
          <w:szCs w:val="20"/>
        </w:rPr>
        <w:t>]</w:t>
      </w:r>
    </w:p>
    <w:p w14:paraId="03BD4776">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sz w:val="20"/>
          <w:szCs w:val="20"/>
        </w:rPr>
        <w:t>Simulation Waveform Execution Trace:</w:t>
      </w:r>
    </w:p>
    <w:p w14:paraId="3CAD97C7">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b/>
          <w:bCs/>
          <w:sz w:val="20"/>
          <w:szCs w:val="20"/>
        </w:rPr>
        <w:t>Performance:</w:t>
      </w:r>
      <w:r>
        <w:rPr>
          <w:rFonts w:hint="default" w:ascii="Courier New" w:hAnsi="Courier New" w:eastAsia="sans-serif" w:cs="Courier New"/>
          <w:sz w:val="20"/>
          <w:szCs w:val="20"/>
        </w:rPr>
        <w:t xml:space="preserve"> The 16-bit floating-point addition algorithm completed in exactly 2020 nanoseconds. Based on a 10ns clock period, the pipeline resolved all loops and hazards to execute the full computation in 202 clock cycles, an approximately fourfold speed increase over the multi-cycle equivalent (PÇ5).</w:t>
      </w:r>
    </w:p>
    <w:p w14:paraId="2A39962F">
      <w:pPr>
        <w:pStyle w:val="5"/>
        <w:keepNext w:val="0"/>
        <w:keepLines w:val="0"/>
        <w:widowControl/>
        <w:suppressLineNumbers w:val="0"/>
        <w:spacing w:before="0" w:beforeAutospacing="0" w:line="7" w:lineRule="atLeast"/>
        <w:rPr>
          <w:rFonts w:hint="default" w:ascii="Courier New" w:hAnsi="Courier New" w:eastAsia="sans-serif" w:cs="Courier New"/>
          <w:b/>
          <w:bCs/>
          <w:sz w:val="20"/>
          <w:szCs w:val="20"/>
        </w:rPr>
      </w:pPr>
    </w:p>
    <w:p w14:paraId="302926FC">
      <w:pPr>
        <w:pStyle w:val="5"/>
        <w:keepNext w:val="0"/>
        <w:keepLines w:val="0"/>
        <w:widowControl/>
        <w:suppressLineNumbers w:val="0"/>
        <w:spacing w:before="0" w:beforeAutospacing="0" w:line="7" w:lineRule="atLeast"/>
        <w:rPr>
          <w:rFonts w:hint="default" w:ascii="Courier New" w:hAnsi="Courier New" w:eastAsia="sans-serif" w:cs="Courier New"/>
          <w:b/>
          <w:bCs/>
          <w:sz w:val="20"/>
          <w:szCs w:val="20"/>
        </w:rPr>
      </w:pPr>
    </w:p>
    <w:p w14:paraId="550B0742">
      <w:pPr>
        <w:pStyle w:val="5"/>
        <w:keepNext w:val="0"/>
        <w:keepLines w:val="0"/>
        <w:widowControl/>
        <w:suppressLineNumbers w:val="0"/>
        <w:spacing w:before="0" w:beforeAutospacing="0" w:line="7" w:lineRule="atLeast"/>
        <w:rPr>
          <w:rFonts w:hint="default" w:ascii="Courier New" w:hAnsi="Courier New" w:eastAsia="sans-serif" w:cs="Courier New"/>
          <w:b/>
          <w:bCs/>
          <w:sz w:val="20"/>
          <w:szCs w:val="20"/>
        </w:rPr>
      </w:pPr>
    </w:p>
    <w:p w14:paraId="5AED705D">
      <w:pPr>
        <w:pStyle w:val="5"/>
        <w:keepNext w:val="0"/>
        <w:keepLines w:val="0"/>
        <w:widowControl/>
        <w:suppressLineNumbers w:val="0"/>
        <w:spacing w:before="0" w:beforeAutospacing="0" w:line="7" w:lineRule="atLeast"/>
        <w:rPr>
          <w:rFonts w:hint="default" w:ascii="Courier New" w:hAnsi="Courier New" w:eastAsia="sans-serif" w:cs="Courier New"/>
          <w:b/>
          <w:bCs/>
          <w:sz w:val="20"/>
          <w:szCs w:val="20"/>
        </w:rPr>
      </w:pPr>
    </w:p>
    <w:p w14:paraId="66B9596E">
      <w:pPr>
        <w:pStyle w:val="5"/>
        <w:keepNext w:val="0"/>
        <w:keepLines w:val="0"/>
        <w:widowControl/>
        <w:suppressLineNumbers w:val="0"/>
        <w:spacing w:before="0" w:beforeAutospacing="0" w:line="7" w:lineRule="atLeast"/>
        <w:rPr>
          <w:rFonts w:hint="default" w:ascii="Courier New" w:hAnsi="Courier New" w:eastAsia="sans-serif" w:cs="Courier New"/>
          <w:b/>
          <w:bCs/>
          <w:sz w:val="20"/>
          <w:szCs w:val="20"/>
        </w:rPr>
      </w:pPr>
    </w:p>
    <w:p w14:paraId="0CCD50E4">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b/>
          <w:bCs/>
          <w:sz w:val="20"/>
          <w:szCs w:val="20"/>
        </w:rPr>
        <w:t>Hazard Resolution:</w:t>
      </w:r>
      <w:r>
        <w:rPr>
          <w:rFonts w:hint="default" w:ascii="Courier New" w:hAnsi="Courier New" w:eastAsia="sans-serif" w:cs="Courier New"/>
          <w:sz w:val="20"/>
          <w:szCs w:val="20"/>
        </w:rPr>
        <w:t xml:space="preserve"> Waveform analysis confirms that when the Program Counter (PC) triggers a branch condition, the PC successfully jumps while the intermediate pipeline registers are flushed with NOPs, bypassing invalid executions (PÇ13).</w:t>
      </w:r>
      <w:bookmarkStart w:id="0" w:name="_GoBack"/>
      <w:bookmarkEnd w:id="0"/>
    </w:p>
    <w:p w14:paraId="79FED846">
      <w:pPr>
        <w:pStyle w:val="5"/>
        <w:keepNext w:val="0"/>
        <w:keepLines w:val="0"/>
        <w:widowControl/>
        <w:suppressLineNumbers w:val="0"/>
        <w:spacing w:before="0" w:beforeAutospacing="0" w:line="7" w:lineRule="atLeast"/>
        <w:ind w:left="720" w:right="720"/>
        <w:rPr>
          <w:rFonts w:hint="default" w:ascii="Courier New" w:hAnsi="Courier New" w:eastAsia="sans-serif" w:cs="Courier New"/>
          <w:sz w:val="20"/>
          <w:szCs w:val="20"/>
        </w:rPr>
      </w:pPr>
      <w:r>
        <w:rPr>
          <w:rFonts w:hint="default" w:ascii="Courier New" w:hAnsi="Courier New" w:eastAsia="sans-serif" w:cs="Courier New"/>
          <w:b/>
          <w:bCs/>
          <w:sz w:val="20"/>
          <w:szCs w:val="20"/>
        </w:rPr>
        <w:t xml:space="preserve">[INSERT IMAGE HERE: The Vivado waveform screenshot showing the </w:t>
      </w:r>
      <w:r>
        <w:rPr>
          <w:rStyle w:val="4"/>
          <w:rFonts w:hint="default" w:ascii="Courier New" w:hAnsi="Courier New" w:eastAsia="sans-serif" w:cs="Courier New"/>
          <w:b/>
          <w:bCs/>
          <w:sz w:val="20"/>
          <w:szCs w:val="20"/>
        </w:rPr>
        <w:t>pc</w:t>
      </w:r>
      <w:r>
        <w:rPr>
          <w:rFonts w:hint="default" w:ascii="Courier New" w:hAnsi="Courier New" w:eastAsia="sans-serif" w:cs="Courier New"/>
          <w:b/>
          <w:bCs/>
          <w:sz w:val="20"/>
          <w:szCs w:val="20"/>
        </w:rPr>
        <w:t xml:space="preserve"> (Program Counter) jumping and bypassing the flushed instructions during a branch]</w:t>
      </w:r>
    </w:p>
    <w:p w14:paraId="71DCAE33">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sz w:val="20"/>
          <w:szCs w:val="20"/>
        </w:rPr>
        <w:t>Full synthesis and implementation flows completed with zero timing violations, generating the final bitstream file targeting the Digilent Basys 3 FPGA device (PÇ5).</w:t>
      </w:r>
    </w:p>
    <w:p w14:paraId="7E640B31">
      <w:pPr>
        <w:pStyle w:val="5"/>
        <w:keepNext w:val="0"/>
        <w:keepLines w:val="0"/>
        <w:widowControl/>
        <w:suppressLineNumbers w:val="0"/>
        <w:spacing w:before="0" w:beforeAutospacing="0" w:line="7" w:lineRule="atLeast"/>
        <w:ind w:left="720" w:right="720"/>
        <w:rPr>
          <w:rFonts w:hint="default" w:ascii="Courier New" w:hAnsi="Courier New" w:eastAsia="sans-serif" w:cs="Courier New"/>
          <w:sz w:val="20"/>
          <w:szCs w:val="20"/>
        </w:rPr>
      </w:pPr>
      <w:r>
        <w:rPr>
          <w:rFonts w:hint="default" w:ascii="Courier New" w:hAnsi="Courier New" w:eastAsia="sans-serif" w:cs="Courier New"/>
          <w:b/>
          <w:bCs/>
          <w:sz w:val="20"/>
          <w:szCs w:val="20"/>
        </w:rPr>
        <w:t>[INSERT IMAGE HERE: The "Bitstream Generation successfully completed" popup screenshot to prove physical synthesizability]</w:t>
      </w:r>
    </w:p>
    <w:p w14:paraId="728A346F">
      <w:pPr>
        <w:pStyle w:val="5"/>
        <w:keepNext w:val="0"/>
        <w:keepLines w:val="0"/>
        <w:widowControl/>
        <w:suppressLineNumbers w:val="0"/>
        <w:spacing w:before="0" w:beforeAutospacing="0" w:line="7" w:lineRule="atLeast"/>
        <w:rPr>
          <w:rFonts w:hint="default" w:ascii="Courier New" w:hAnsi="Courier New" w:eastAsia="sans-serif" w:cs="Courier New"/>
          <w:sz w:val="20"/>
          <w:szCs w:val="20"/>
        </w:rPr>
      </w:pPr>
      <w:r>
        <w:rPr>
          <w:rFonts w:hint="default" w:ascii="Courier New" w:hAnsi="Courier New" w:eastAsia="sans-serif" w:cs="Courier New"/>
          <w:b/>
          <w:bCs/>
          <w:sz w:val="20"/>
          <w:szCs w:val="20"/>
        </w:rPr>
        <w:t>4. TEAMWORK, COLLABORATION AND TASK ALLOCATION</w:t>
      </w:r>
    </w:p>
    <w:p w14:paraId="6FF52693">
      <w:pPr>
        <w:rPr>
          <w:rFonts w:hint="default" w:ascii="Courier New" w:hAnsi="Courier New" w:cs="Courier New"/>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8C108A"/>
    <w:rsid w:val="7C8C10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190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2026-09-02T16:26:00Z</dcterms:created>
  <dc:creator>amed</dc:creator>
  <cp:lastModifiedBy>amed</cp:lastModifiedBy>
  <dcterms:modified xsi:type="dcterms:W3CDTF">2026-09-02T19:38:00Z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59AC2054B8E84B0489807552F1C99013_11</vt:lpwstr>
  </property>
</Properties>
</file>