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120"/>
        <w:jc w:val="center"/>
      </w:pPr>
      <w:r>
        <w:rPr>
          <w:rFonts w:ascii="Times New Roman" w:hAnsi="Times New Roman" w:cs="Times New Roman" w:eastAsia="Times New Roman"/>
          <w:b/>
          <w:i w:val="0"/>
          <w:color w:val="000000"/>
          <w:sz w:val="28"/>
        </w:rPr>
        <w:t>[NAME OF INSTITUTION]</w:t>
      </w:r>
    </w:p>
    <w:p>
      <w:pPr>
        <w:keepNext w:val="0"/>
        <w:widowControl/>
        <w:spacing w:line="360" w:lineRule="auto" w:before="0" w:after="120"/>
        <w:jc w:val="center"/>
      </w:pPr>
      <w:r>
        <w:rPr>
          <w:rFonts w:ascii="Times New Roman" w:hAnsi="Times New Roman" w:cs="Times New Roman" w:eastAsia="Times New Roman"/>
          <w:b/>
          <w:i w:val="0"/>
          <w:color w:val="000000"/>
          <w:sz w:val="28"/>
        </w:rPr>
        <w:t>[FACULTY / DEPARTMENT]</w:t>
      </w:r>
    </w:p>
    <w:p>
      <w:pPr>
        <w:keepNext w:val="0"/>
        <w:widowControl/>
        <w:spacing w:line="360" w:lineRule="auto" w:before="0" w:after="1200"/>
        <w:jc w:val="center"/>
      </w:pPr>
      <w:r>
        <w:rPr>
          <w:rFonts w:ascii="Times New Roman" w:hAnsi="Times New Roman" w:cs="Times New Roman" w:eastAsia="Times New Roman"/>
          <w:b/>
          <w:i w:val="0"/>
          <w:color w:val="000000"/>
          <w:sz w:val="28"/>
        </w:rPr>
        <w:t>[PROGRAMME OF STUDY]</w:t>
      </w:r>
    </w:p>
    <w:p>
      <w:pPr>
        <w:keepNext w:val="0"/>
        <w:widowControl/>
        <w:spacing w:line="360" w:lineRule="auto" w:before="0" w:after="1200"/>
        <w:jc w:val="center"/>
      </w:pPr>
      <w:r>
        <w:rPr>
          <w:rFonts w:ascii="Times New Roman" w:hAnsi="Times New Roman" w:cs="Times New Roman" w:eastAsia="Times New Roman"/>
          <w:b/>
          <w:i w:val="0"/>
          <w:color w:val="000000"/>
          <w:sz w:val="28"/>
        </w:rPr>
        <w:t>THE IMPACT OF MONITORING AND EVALUATION SYSTEM ON PERFORMANCE OF LOCAL GOVERNMENT PROJECTS IN LUSHOTO DISTRICT, TANGA REGION</w:t>
      </w:r>
    </w:p>
    <w:p>
      <w:pPr>
        <w:keepNext w:val="0"/>
        <w:widowControl/>
        <w:spacing w:line="360" w:lineRule="auto" w:before="0" w:after="240"/>
        <w:jc w:val="center"/>
      </w:pPr>
      <w:r>
        <w:rPr>
          <w:rFonts w:ascii="Times New Roman" w:hAnsi="Times New Roman" w:cs="Times New Roman" w:eastAsia="Times New Roman"/>
          <w:b/>
          <w:i w:val="0"/>
          <w:color w:val="000000"/>
          <w:sz w:val="28"/>
        </w:rPr>
        <w:t>BY</w:t>
      </w:r>
    </w:p>
    <w:p>
      <w:pPr>
        <w:keepNext w:val="0"/>
        <w:widowControl/>
        <w:spacing w:line="360" w:lineRule="auto" w:before="0" w:after="120"/>
        <w:jc w:val="center"/>
      </w:pPr>
      <w:r>
        <w:rPr>
          <w:rFonts w:ascii="Times New Roman" w:hAnsi="Times New Roman" w:cs="Times New Roman" w:eastAsia="Times New Roman"/>
          <w:b/>
          <w:i w:val="0"/>
          <w:color w:val="000000"/>
          <w:sz w:val="28"/>
        </w:rPr>
        <w:t>[STUDENT'S FULL NAME]</w:t>
      </w:r>
    </w:p>
    <w:p>
      <w:pPr>
        <w:keepNext w:val="0"/>
        <w:widowControl/>
        <w:spacing w:line="360" w:lineRule="auto" w:before="0" w:after="1200"/>
        <w:jc w:val="center"/>
      </w:pPr>
      <w:r>
        <w:rPr>
          <w:rFonts w:ascii="Times New Roman" w:hAnsi="Times New Roman" w:cs="Times New Roman" w:eastAsia="Times New Roman"/>
          <w:b/>
          <w:i w:val="0"/>
          <w:color w:val="000000"/>
          <w:sz w:val="28"/>
        </w:rPr>
        <w:t>[REGISTRATION NUMBER]</w:t>
      </w:r>
    </w:p>
    <w:p>
      <w:pPr>
        <w:keepNext w:val="0"/>
        <w:widowControl/>
        <w:spacing w:line="360" w:lineRule="auto" w:before="0" w:after="960"/>
        <w:jc w:val="center"/>
      </w:pPr>
      <w:r>
        <w:rPr>
          <w:rFonts w:ascii="Times New Roman" w:hAnsi="Times New Roman" w:cs="Times New Roman" w:eastAsia="Times New Roman"/>
          <w:b w:val="0"/>
          <w:i w:val="0"/>
          <w:color w:val="000000"/>
          <w:sz w:val="24"/>
        </w:rPr>
        <w:t>A RESEARCH PROPOSAL SUBMITTED IN PARTIAL FULFILMENT OF THE REQUIREMENTS FOR THE AWARD OF [DEGREE TITLE] OF [NAME OF INSTITUTION]</w:t>
      </w:r>
    </w:p>
    <w:p>
      <w:pPr>
        <w:keepNext w:val="0"/>
        <w:widowControl/>
        <w:spacing w:line="360" w:lineRule="auto" w:before="480" w:after="0"/>
        <w:jc w:val="center"/>
      </w:pPr>
      <w:r>
        <w:rPr>
          <w:rFonts w:ascii="Times New Roman" w:hAnsi="Times New Roman" w:cs="Times New Roman" w:eastAsia="Times New Roman"/>
          <w:b/>
          <w:i w:val="0"/>
          <w:color w:val="000000"/>
          <w:sz w:val="28"/>
        </w:rPr>
        <w:t>[MONTH], 2026</w:t>
      </w:r>
    </w:p>
    <w:p>
      <w:pPr>
        <w:sectPr>
          <w:pgSz w:w="11906" w:h="16838"/>
          <w:pgMar w:top="1440" w:right="1440" w:bottom="1440" w:left="2268" w:header="720" w:footer="720" w:gutter="0"/>
          <w:cols w:space="720"/>
          <w:titlePg/>
          <w:docGrid w:linePitch="360"/>
        </w:sectPr>
      </w:pPr>
    </w:p>
    <w:p>
      <w:pPr>
        <w:keepNext/>
        <w:widowControl/>
        <w:spacing w:line="240" w:lineRule="auto" w:before="80" w:after="40"/>
        <w:jc w:val="center"/>
      </w:pPr>
      <w:r>
        <w:rPr>
          <w:rFonts w:ascii="Times New Roman" w:hAnsi="Times New Roman" w:cs="Times New Roman" w:eastAsia="Times New Roman"/>
          <w:b/>
          <w:i w:val="0"/>
          <w:color w:val="000000"/>
          <w:sz w:val="28"/>
        </w:rPr>
        <w:t>CHAPTER ONE: INTRODUCTION</w:t>
      </w:r>
    </w:p>
    <w:p>
      <w:pPr>
        <w:keepNext/>
        <w:widowControl/>
        <w:spacing w:line="240" w:lineRule="auto" w:before="120" w:after="0"/>
        <w:jc w:val="left"/>
      </w:pPr>
      <w:r>
        <w:rPr>
          <w:rFonts w:ascii="Times New Roman" w:hAnsi="Times New Roman" w:cs="Times New Roman" w:eastAsia="Times New Roman"/>
          <w:b/>
          <w:i w:val="0"/>
          <w:color w:val="000000"/>
          <w:sz w:val="28"/>
        </w:rPr>
        <w:t>1.1 Background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Public investment in local infrastructure is how devolved governments convert public resources into services. Whether such investment is completed on schedule, within budget, to technical standard and put to sustained use depends largely on the quality of the accompanying monitoring and evaluation (M&amp;E) system, which combines the institutions, human resources, indicators, tools and mechanisms for using information in decision making (Kusek and Rist, 2004).</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Results-based management has become the dominant global paradigm, moving governments from measuring inputs to measuring results and correcting deviations before they become losses (Kusek and Rist, 2004; OECD, 2010). In sub-Saharan Africa devolution has shifted service delivery to local governments with fragile M&amp;E structures: Okeyo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(2019) found that Kenyan county organograms provided no M&amp;E offices, and Chebet Murei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(2017) that M&amp;E human resource capacity determined the performance of horticulture projects in Nakuru County.</w:t>
      </w:r>
    </w:p>
    <w:p>
      <w:pPr>
        <w:keepNext w:val="0"/>
        <w:widowControl/>
        <w:spacing w:line="480" w:lineRule="auto" w:before="0" w:after="0"/>
        <w:jc w:val="both"/>
      </w:pPr>
      <w:r>
        <w:rPr>
          <w:rFonts w:ascii="Times New Roman" w:hAnsi="Times New Roman" w:cs="Times New Roman" w:eastAsia="Times New Roman"/>
          <w:b w:val="0"/>
          <w:i w:val="0"/>
          <w:color w:val="000000"/>
          <w:sz w:val="24"/>
        </w:rPr>
        <w:t>In Tanzania, Decentralisation by Devolution (D by D) was adopted in 2000 to bring decision making, resources and services closer to the people (United Republic of Tanzania [URT], 2000). Under the Local Government (District Authorities) Act No. 7 of 1982 district councils plan, implement, supervise and evaluate local projects (URT, 1982), while PO-RALG provides oversight. Audit evidence shows persistent weakness: in the reports tabled in April 2026 the Controller and Auditor General found that only 36.7% of the 38,181 recommendations issued in previous years had been implemented and that local government authorities (LGAs) continued to record delayed projects, payments for incomplete works, weak contract management and inadequate supervision (Office of the Controller and Auditor General [CAG], 2026). Tanzanian studies attribute such outcomes to weak M&amp;E plans, unskilled staff and political interference (Mhina, 2017; Maimula, 2017), while Herman (2023) and Killo (2022) respectively confirmed the significance of M&amp;E planning for water projects in Dodoma City Council and of M&amp;E human resource capacity and stakeholder involvement for projects in Katavi Region.</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Lushoto District Council is one of the eleven LGAs of Tanga Region. It covers 3,297 square kilometres in the Usambara Mountains and had 350,958 residents in the 2022 census (National Bureau of Statistics [NBS], 2022); the 2012 census recorded 332,436 people, of whom 153,847 (46.3%) were men and 178,589 (53.7%) were women, in 71,009 households, 71.4% of them in villages (Lushoto District Council, 2015). Its Strategic Plan for 2015/16-2019/20 prioritised health, water, education and road infrastructure and set a target of raising management and governance systems from 55% to 60%, financing coming mainly through earmarked central grants and own-source revenue (Lyon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2017). Council reports indicate time and cost overruns, stalled works and participation confined to project identification.</w:t>
      </w:r>
    </w:p>
    <w:p>
      <w:pPr>
        <w:keepNext/>
        <w:widowControl/>
        <w:spacing w:line="240" w:lineRule="auto" w:before="120" w:after="0"/>
        <w:jc w:val="left"/>
      </w:pPr>
      <w:r>
        <w:rPr>
          <w:rFonts w:ascii="Times New Roman" w:hAnsi="Times New Roman" w:cs="Times New Roman" w:eastAsia="Times New Roman"/>
          <w:b/>
          <w:i w:val="0"/>
          <w:color w:val="000000"/>
          <w:sz w:val="28"/>
        </w:rPr>
        <w:t>1.2 Statement of the Problem</w:t>
      </w:r>
    </w:p>
    <w:p>
      <w:pPr>
        <w:keepNext w:val="0"/>
        <w:widowControl/>
        <w:spacing w:line="480" w:lineRule="auto" w:before="0" w:after="0"/>
        <w:jc w:val="both"/>
      </w:pPr>
      <w:r>
        <w:rPr>
          <w:rFonts w:ascii="Times New Roman" w:hAnsi="Times New Roman" w:cs="Times New Roman" w:eastAsia="Times New Roman"/>
          <w:b w:val="0"/>
          <w:i w:val="0"/>
          <w:color w:val="000000"/>
          <w:sz w:val="24"/>
        </w:rPr>
        <w:t>Ideally, Lushoto District Council should deliver its projects – water schemes, classrooms, health facilities, roads and markets – on schedule, within budget and to technical standards, with completed facilities used and maintained by beneficiaries. That requires a functioning M&amp;E system: an approved plan with baselines, indicators and targets; qualified staff; and the systematic involvement of councillors, ward and village authorities, contractors and beneficiaries in monitoring and in the use of findings (URT, 2000).</w:t>
      </w:r>
    </w:p>
    <w:p>
      <w:pPr>
        <w:keepNext w:val="0"/>
        <w:widowControl/>
        <w:spacing w:line="480" w:lineRule="auto" w:before="0" w:after="0"/>
        <w:jc w:val="both"/>
      </w:pPr>
      <w:r>
        <w:rPr>
          <w:rFonts w:ascii="Times New Roman" w:hAnsi="Times New Roman" w:cs="Times New Roman" w:eastAsia="Times New Roman"/>
          <w:b w:val="0"/>
          <w:i w:val="0"/>
          <w:color w:val="000000"/>
          <w:sz w:val="24"/>
        </w:rPr>
        <w:t>In reality, council projects record delays, cost overruns, substandard or abandoned works and low post-completion utilisation. Audit reports tabled in April 2026 show that only 36.7% of 38,181 previous recommendations had been implemented and that LGAs recorded delayed projects, payments for incomplete works and weak contract management (CAG, 2026), outcomes attributed to weak M&amp;E planning, untrained M&amp;E human resources and the exclusion of stakeholders from M&amp;E (Mhina, 2017; Maimula, 2017; Herman, 2023; Killo, 2022). In Lushoto the M&amp;E function is coordinated through the planning structure while sector departments supervise projects, and participation is largely limited to project identification, yet no systematic study has quantified how much of this deficit is explained by M&amp;E planning practices, M&amp;E human resource capacity and stakeholder involvement in M&amp;E.</w:t>
      </w:r>
    </w:p>
    <w:p>
      <w:pPr>
        <w:keepNext w:val="0"/>
        <w:widowControl/>
        <w:spacing w:line="480" w:lineRule="auto" w:before="0" w:after="0"/>
        <w:jc w:val="both"/>
      </w:pPr>
      <w:r>
        <w:rPr>
          <w:rFonts w:ascii="Times New Roman" w:hAnsi="Times New Roman" w:cs="Times New Roman" w:eastAsia="Times New Roman"/>
          <w:b w:val="0"/>
          <w:i w:val="0"/>
          <w:color w:val="000000"/>
          <w:sz w:val="24"/>
        </w:rPr>
        <w:t>If the situation persists, public resources will keep being committed to projects delivered late, at higher cost and of questionable quality, undermining the Council's ability to meet national plan targets (URT, 2021) and its own strategic plan objectives, weakening citizen confidence in devolved government and perpetuating service gaps for the district's 350,958 residents (NBS, 2022), a large proportion of whom are women and children in rural wards. The study will therefore assess the impact of the M&amp;E system on the performance of local government projects in Lushoto District Council.</w:t>
      </w:r>
    </w:p>
    <w:p>
      <w:pPr>
        <w:keepNext/>
        <w:widowControl/>
        <w:spacing w:line="240" w:lineRule="auto" w:before="120" w:after="0"/>
        <w:jc w:val="left"/>
      </w:pPr>
      <w:r>
        <w:rPr>
          <w:rFonts w:ascii="Times New Roman" w:hAnsi="Times New Roman" w:cs="Times New Roman" w:eastAsia="Times New Roman"/>
          <w:b/>
          <w:i w:val="0"/>
          <w:color w:val="000000"/>
          <w:sz w:val="28"/>
        </w:rPr>
        <w:t>1.3 Justification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convert a generalised concern about poor project delivery into measurable evidence on three M&amp;E dimensions that council management can act upon. The management team, planning and sector departments and the internal audit unit will learn where M&amp;E planning, staffing and participation require strengthening and will gain a basis for answering audit recommendations. PO-RALG and the Tanga Regional Secretariat will obtain evidence for targeting capacity building and oversight to rural councils. Citizens, ward and village authorities and project committees will benefit from improved transparency, ownership and value for money. Academically, the study will fill a contextual gap, since most Tanzanian evidence comes from cities, non-governmental organisations or single sectors rather than from a rural mountain council, and it will test agency and stakeholder propositions in a devolved setting.</w:t>
      </w:r>
    </w:p>
    <w:p>
      <w:pPr>
        <w:keepNext/>
        <w:widowControl/>
        <w:spacing w:line="240" w:lineRule="auto" w:before="120" w:after="0"/>
        <w:jc w:val="left"/>
      </w:pPr>
      <w:r>
        <w:rPr>
          <w:rFonts w:ascii="Times New Roman" w:hAnsi="Times New Roman" w:cs="Times New Roman" w:eastAsia="Times New Roman"/>
          <w:b/>
          <w:i w:val="0"/>
          <w:color w:val="000000"/>
          <w:sz w:val="28"/>
        </w:rPr>
        <w:t>1.4 Objectives of the Study</w:t>
      </w:r>
    </w:p>
    <w:p>
      <w:pPr>
        <w:keepNext/>
        <w:widowControl/>
        <w:spacing w:line="240" w:lineRule="auto" w:before="80" w:after="0"/>
        <w:jc w:val="left"/>
      </w:pPr>
      <w:r>
        <w:rPr>
          <w:rFonts w:ascii="Times New Roman" w:hAnsi="Times New Roman" w:cs="Times New Roman" w:eastAsia="Times New Roman"/>
          <w:b/>
          <w:i w:val="0"/>
          <w:color w:val="000000"/>
          <w:sz w:val="24"/>
        </w:rPr>
        <w:t>1.4.1 General Objective</w:t>
      </w:r>
    </w:p>
    <w:p>
      <w:pPr>
        <w:keepNext w:val="0"/>
        <w:widowControl/>
        <w:spacing w:line="480" w:lineRule="auto" w:before="0" w:after="0"/>
        <w:jc w:val="both"/>
      </w:pPr>
      <w:r>
        <w:rPr>
          <w:rFonts w:ascii="Times New Roman" w:hAnsi="Times New Roman" w:cs="Times New Roman" w:eastAsia="Times New Roman"/>
          <w:b w:val="0"/>
          <w:i w:val="0"/>
          <w:color w:val="000000"/>
          <w:sz w:val="24"/>
        </w:rPr>
        <w:t>To assess the impact of the monitoring and evaluation system on the performance of local government projects in Lushoto District, Tanga Region.</w:t>
      </w:r>
    </w:p>
    <w:p>
      <w:pPr>
        <w:keepNext/>
        <w:widowControl/>
        <w:spacing w:line="240" w:lineRule="auto" w:before="80" w:after="0"/>
        <w:jc w:val="left"/>
      </w:pPr>
      <w:r>
        <w:rPr>
          <w:rFonts w:ascii="Times New Roman" w:hAnsi="Times New Roman" w:cs="Times New Roman" w:eastAsia="Times New Roman"/>
          <w:b/>
          <w:i w:val="0"/>
          <w:color w:val="000000"/>
          <w:sz w:val="24"/>
        </w:rPr>
        <w:t>1.4.2 Specific Objectives</w:t>
      </w:r>
    </w:p>
    <w:p>
      <w:pPr>
        <w:keepNext w:val="0"/>
        <w:widowControl/>
        <w:spacing w:line="480" w:lineRule="auto" w:before="0" w:after="0"/>
        <w:jc w:val="both"/>
      </w:pPr>
      <w:r>
        <w:rPr>
          <w:rFonts w:ascii="Times New Roman" w:hAnsi="Times New Roman" w:cs="Times New Roman" w:eastAsia="Times New Roman"/>
          <w:b w:val="0"/>
          <w:i w:val="0"/>
          <w:color w:val="000000"/>
          <w:sz w:val="24"/>
        </w:rPr>
        <w:t>(i) To examine the extent to which M&amp;E planning practices influence the performance of local government projects in Lushoto District; (ii) to assess the influence of M&amp;E human resource capacity on the performance of local government projects in Lushoto District; and (iii) to determine the influence of stakeholder involvement in M&amp;E on the performance of local government projects in Lushoto District.</w:t>
      </w:r>
    </w:p>
    <w:p>
      <w:pPr>
        <w:keepNext/>
        <w:widowControl/>
        <w:spacing w:line="240" w:lineRule="auto" w:before="120" w:after="0"/>
        <w:jc w:val="left"/>
      </w:pPr>
      <w:r>
        <w:rPr>
          <w:rFonts w:ascii="Times New Roman" w:hAnsi="Times New Roman" w:cs="Times New Roman" w:eastAsia="Times New Roman"/>
          <w:b/>
          <w:i w:val="0"/>
          <w:color w:val="000000"/>
          <w:sz w:val="28"/>
        </w:rPr>
        <w:t>1.5 Research Questions and Hypotheses</w:t>
      </w:r>
    </w:p>
    <w:p>
      <w:pPr>
        <w:keepNext w:val="0"/>
        <w:widowControl/>
        <w:spacing w:line="480" w:lineRule="auto" w:before="0" w:after="0"/>
        <w:jc w:val="both"/>
      </w:pPr>
      <w:r>
        <w:rPr>
          <w:rFonts w:ascii="Times New Roman" w:hAnsi="Times New Roman" w:cs="Times New Roman" w:eastAsia="Times New Roman"/>
          <w:b w:val="0"/>
          <w:i w:val="0"/>
          <w:color w:val="000000"/>
          <w:sz w:val="24"/>
        </w:rPr>
        <w:t>Because the study will use a mixed-methods design, research questions will guide all three objectives while the corresponding hypotheses will be tested on the quantitative strand. RQ1: to what extent do M&amp;E planning practices influence the performance of local government projects in Lushoto District? RQ2: how does M&amp;E human resource capacity influence that performance? RQ3: to what extent does stakeholder involvement in M&amp;E influence that performance?</w:t>
      </w:r>
    </w:p>
    <w:p>
      <w:pPr>
        <w:keepNext w:val="0"/>
        <w:widowControl/>
        <w:spacing w:line="480" w:lineRule="auto" w:before="0" w:after="0"/>
        <w:jc w:val="both"/>
      </w:pPr>
      <w:r>
        <w:rPr>
          <w:rFonts w:ascii="Times New Roman" w:hAnsi="Times New Roman" w:cs="Times New Roman" w:eastAsia="Times New Roman"/>
          <w:b w:val="0"/>
          <w:i w:val="0"/>
          <w:color w:val="000000"/>
          <w:sz w:val="24"/>
        </w:rPr>
        <w:t>H01: M&amp;E planning practices have no significant influence on the performance of local government projects in Lushoto District (H11: they have a significant positive influence). H02: M&amp;E human resource capacity has no significant influence on that performance (H12: it has a significant positive influence). H03: stakeholder involvement in M&amp;E has no significant influence on that performance (H13: it has a significant positive influence).</w:t>
      </w:r>
    </w:p>
    <w:p>
      <w:pPr>
        <w:keepNext/>
        <w:widowControl/>
        <w:spacing w:line="240" w:lineRule="auto" w:before="120" w:after="0"/>
        <w:jc w:val="left"/>
      </w:pPr>
      <w:r>
        <w:rPr>
          <w:rFonts w:ascii="Times New Roman" w:hAnsi="Times New Roman" w:cs="Times New Roman" w:eastAsia="Times New Roman"/>
          <w:b/>
          <w:i w:val="0"/>
          <w:color w:val="000000"/>
          <w:sz w:val="28"/>
        </w:rPr>
        <w:t>1.6 Scope and Limitations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In content the study will be confined to the three specific objectives and to project performance measured through timeliness, cost efficiency, technical quality, utilisation and sustainability, and beneficiary satisfaction. Geographically it will cover Lushoto District Council in eight purposively selected wards, and substantively it will cover water, education, health, roads and markets projects implemented in the five financial years from 2021/22 to 2025/26, whether completed, ongoing or stalled.</w:t>
      </w:r>
    </w:p>
    <w:p>
      <w:pPr>
        <w:keepNext w:val="0"/>
        <w:widowControl/>
        <w:spacing w:line="480" w:lineRule="auto" w:before="0" w:after="0"/>
        <w:jc w:val="both"/>
      </w:pPr>
      <w:r>
        <w:rPr>
          <w:rFonts w:ascii="Times New Roman" w:hAnsi="Times New Roman" w:cs="Times New Roman" w:eastAsia="Times New Roman"/>
          <w:b w:val="0"/>
          <w:i w:val="0"/>
          <w:color w:val="000000"/>
          <w:sz w:val="24"/>
        </w:rPr>
        <w:t>Four limitations are anticipated and will be curbed as follows: reluctance of staff and contractors to disclose information on delayed or defective projects, by guaranteeing anonymity and presenting an introduction letter; recall bias on older projects, by verifying responses against project files and site observation; difficult terrain and poor feeder roads, by scheduling fieldwork in the dry months and clustering wards; and non-response, by maintaining a 10% replacement reserve.</w:t>
      </w:r>
    </w:p>
    <w:p>
      <w:pPr>
        <w:keepNext/>
        <w:widowControl/>
        <w:spacing w:line="240" w:lineRule="auto" w:before="120" w:after="0"/>
        <w:jc w:val="left"/>
      </w:pPr>
      <w:r>
        <w:rPr>
          <w:rFonts w:ascii="Times New Roman" w:hAnsi="Times New Roman" w:cs="Times New Roman" w:eastAsia="Times New Roman"/>
          <w:b/>
          <w:i w:val="0"/>
          <w:color w:val="000000"/>
          <w:sz w:val="28"/>
        </w:rPr>
        <w:t>1.7 Conceptual Framework</w:t>
      </w:r>
    </w:p>
    <w:p>
      <w:pPr>
        <w:keepNext w:val="0"/>
        <w:widowControl/>
        <w:spacing w:line="480" w:lineRule="auto" w:before="0" w:after="0"/>
        <w:jc w:val="both"/>
      </w:pPr>
      <w:r>
        <w:rPr>
          <w:rFonts w:ascii="Times New Roman" w:hAnsi="Times New Roman" w:cs="Times New Roman" w:eastAsia="Times New Roman"/>
          <w:b w:val="0"/>
          <w:i w:val="0"/>
          <w:color w:val="000000"/>
          <w:sz w:val="24"/>
        </w:rPr>
        <w:t>The framework is derived from the problem analysis and from results-based management, agency and stakeholder theories. M&amp;E planning practices are expected to supply the indicators, baselines and targets against which progress is measured, M&amp;E human resource capacity to determine whether planned monitoring is executed competently, and stakeholder involvement to improve the accuracy, legitimacy and use of M&amp;E information; together they will explain variation in project performance, subject to the intervening conditions shown in Figure 1.</w:t>
      </w:r>
    </w:p>
    <w:p>
      <w:pPr>
        <w:keepNext/>
        <w:widowControl/>
        <w:spacing w:line="240" w:lineRule="auto" w:before="80" w:after="40"/>
        <w:jc w:val="left"/>
      </w:pPr>
      <w:r>
        <w:rPr>
          <w:rFonts w:ascii="Times New Roman" w:hAnsi="Times New Roman" w:cs="Times New Roman" w:eastAsia="Times New Roman"/>
          <w:b/>
          <w:i w:val="0"/>
          <w:color w:val="000000"/>
          <w:sz w:val="24"/>
        </w:rPr>
        <w:t>Figure 1: Conceptual framework of the study</w:t>
      </w:r>
    </w:p>
    <w:tbl>
      <w:tblPr>
        <w:tblStyle w:val="TableGrid"/>
        <w:tblW w:type="auto" w:w="0"/>
        <w:jc w:val="center"/>
        <w:tblLayout w:type="fixed"/>
        <w:tblLook w:firstColumn="1" w:firstRow="1" w:lastColumn="0" w:lastRow="0" w:noHBand="0" w:noVBand="1" w:val="04A0"/>
      </w:tblPr>
      <w:tblGrid>
        <w:gridCol w:w="2733"/>
        <w:gridCol w:w="2733"/>
        <w:gridCol w:w="2733"/>
      </w:tblGrid>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INDEPENDENT VARIABLES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2778"/>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planning practices</w:t>
            </w:r>
          </w:p>
          <w:p>
            <w:pPr>
              <w:keepNext w:val="0"/>
              <w:widowControl/>
              <w:spacing w:line="240" w:lineRule="auto" w:before="0" w:after="20"/>
              <w:jc w:val="left"/>
            </w:pPr>
            <w:r>
              <w:rPr>
                <w:rFonts w:ascii="Times New Roman" w:hAnsi="Times New Roman" w:cs="Times New Roman" w:eastAsia="Times New Roman"/>
                <w:b w:val="0"/>
                <w:i w:val="0"/>
                <w:color w:val="000000"/>
                <w:sz w:val="24"/>
              </w:rPr>
              <w:t>- M&amp;E plans</w:t>
            </w:r>
          </w:p>
          <w:p>
            <w:pPr>
              <w:keepNext w:val="0"/>
              <w:widowControl/>
              <w:spacing w:line="240" w:lineRule="auto" w:before="0" w:after="20"/>
              <w:jc w:val="left"/>
            </w:pPr>
            <w:r>
              <w:rPr>
                <w:rFonts w:ascii="Times New Roman" w:hAnsi="Times New Roman" w:cs="Times New Roman" w:eastAsia="Times New Roman"/>
                <w:b w:val="0"/>
                <w:i w:val="0"/>
                <w:color w:val="000000"/>
                <w:sz w:val="24"/>
              </w:rPr>
              <w:t>- baselines, indicators, targets</w:t>
            </w:r>
          </w:p>
          <w:p>
            <w:pPr>
              <w:keepNext w:val="0"/>
              <w:widowControl/>
              <w:spacing w:line="240" w:lineRule="auto" w:before="0" w:after="20"/>
              <w:jc w:val="left"/>
            </w:pPr>
            <w:r>
              <w:rPr>
                <w:rFonts w:ascii="Times New Roman" w:hAnsi="Times New Roman" w:cs="Times New Roman" w:eastAsia="Times New Roman"/>
                <w:b w:val="0"/>
                <w:i w:val="0"/>
                <w:color w:val="000000"/>
                <w:sz w:val="24"/>
              </w:rPr>
              <w:t>- budget, tools, schedules</w:t>
            </w:r>
          </w:p>
        </w:tc>
        <w:tc>
          <w:tcPr>
            <w:tcW w:type="dxa" w:w="2665"/>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human resource capacity</w:t>
            </w:r>
          </w:p>
          <w:p>
            <w:pPr>
              <w:keepNext w:val="0"/>
              <w:widowControl/>
              <w:spacing w:line="240" w:lineRule="auto" w:before="0" w:after="20"/>
              <w:jc w:val="left"/>
            </w:pPr>
            <w:r>
              <w:rPr>
                <w:rFonts w:ascii="Times New Roman" w:hAnsi="Times New Roman" w:cs="Times New Roman" w:eastAsia="Times New Roman"/>
                <w:b w:val="0"/>
                <w:i w:val="0"/>
                <w:color w:val="000000"/>
                <w:sz w:val="24"/>
              </w:rPr>
              <w:t>- number of M&amp;E staff</w:t>
            </w:r>
          </w:p>
          <w:p>
            <w:pPr>
              <w:keepNext w:val="0"/>
              <w:widowControl/>
              <w:spacing w:line="240" w:lineRule="auto" w:before="0" w:after="20"/>
              <w:jc w:val="left"/>
            </w:pPr>
            <w:r>
              <w:rPr>
                <w:rFonts w:ascii="Times New Roman" w:hAnsi="Times New Roman" w:cs="Times New Roman" w:eastAsia="Times New Roman"/>
                <w:b w:val="0"/>
                <w:i w:val="0"/>
                <w:color w:val="000000"/>
                <w:sz w:val="24"/>
              </w:rPr>
              <w:t>- qualifications and training</w:t>
            </w:r>
          </w:p>
          <w:p>
            <w:pPr>
              <w:keepNext w:val="0"/>
              <w:widowControl/>
              <w:spacing w:line="240" w:lineRule="auto" w:before="0" w:after="20"/>
              <w:jc w:val="left"/>
            </w:pPr>
            <w:r>
              <w:rPr>
                <w:rFonts w:ascii="Times New Roman" w:hAnsi="Times New Roman" w:cs="Times New Roman" w:eastAsia="Times New Roman"/>
                <w:b w:val="0"/>
                <w:i w:val="0"/>
                <w:color w:val="000000"/>
                <w:sz w:val="24"/>
              </w:rPr>
              <w:t>- experience and analysis skills</w:t>
            </w:r>
          </w:p>
        </w:tc>
        <w:tc>
          <w:tcPr>
            <w:tcW w:type="dxa" w:w="2721"/>
          </w:tcPr>
          <w:p>
            <w:pPr>
              <w:keepNext w:val="0"/>
              <w:widowControl/>
              <w:spacing w:line="240" w:lineRule="auto" w:before="20" w:after="20"/>
              <w:jc w:val="left"/>
            </w:pPr>
            <w:r/>
            <w:r>
              <w:rPr>
                <w:rFonts w:ascii="Times New Roman" w:hAnsi="Times New Roman" w:cs="Times New Roman" w:eastAsia="Times New Roman"/>
                <w:b w:val="0"/>
                <w:i w:val="0"/>
                <w:color w:val="000000"/>
                <w:sz w:val="24"/>
              </w:rPr>
              <w:t>Stakeholder involvement in M&amp;E</w:t>
            </w:r>
          </w:p>
          <w:p>
            <w:pPr>
              <w:keepNext w:val="0"/>
              <w:widowControl/>
              <w:spacing w:line="240" w:lineRule="auto" w:before="0" w:after="20"/>
              <w:jc w:val="left"/>
            </w:pPr>
            <w:r>
              <w:rPr>
                <w:rFonts w:ascii="Times New Roman" w:hAnsi="Times New Roman" w:cs="Times New Roman" w:eastAsia="Times New Roman"/>
                <w:b w:val="0"/>
                <w:i w:val="0"/>
                <w:color w:val="000000"/>
                <w:sz w:val="24"/>
              </w:rPr>
              <w:t>- beneficiaries and community</w:t>
            </w:r>
          </w:p>
          <w:p>
            <w:pPr>
              <w:keepNext w:val="0"/>
              <w:widowControl/>
              <w:spacing w:line="240" w:lineRule="auto" w:before="0" w:after="20"/>
              <w:jc w:val="left"/>
            </w:pPr>
            <w:r>
              <w:rPr>
                <w:rFonts w:ascii="Times New Roman" w:hAnsi="Times New Roman" w:cs="Times New Roman" w:eastAsia="Times New Roman"/>
                <w:b w:val="0"/>
                <w:i w:val="0"/>
                <w:color w:val="000000"/>
                <w:sz w:val="24"/>
              </w:rPr>
              <w:t>- ward and village committees</w:t>
            </w:r>
          </w:p>
          <w:p>
            <w:pPr>
              <w:keepNext w:val="0"/>
              <w:widowControl/>
              <w:spacing w:line="240" w:lineRule="auto" w:before="0" w:after="20"/>
              <w:jc w:val="left"/>
            </w:pPr>
            <w:r>
              <w:rPr>
                <w:rFonts w:ascii="Times New Roman" w:hAnsi="Times New Roman" w:cs="Times New Roman" w:eastAsia="Times New Roman"/>
                <w:b w:val="0"/>
                <w:i w:val="0"/>
                <w:color w:val="000000"/>
                <w:sz w:val="24"/>
              </w:rPr>
              <w:t>- contractors, PO-RALG, partners</w:t>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INTERVENING VARIABLES: timely release of funds; political will; legal and institutional framework; project complexity; M&amp;E information systems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DEPENDENT VARIABLE - Performance of local government projects: completion within schedule and budget; technical quality; utilisation and sustainability; beneficiary satisfaction</w:t>
            </w:r>
          </w:p>
          <w:p>
            <w:pPr>
              <w:keepNext w:val="0"/>
              <w:widowControl/>
              <w:spacing w:line="240" w:lineRule="auto" w:before="20" w:after="20"/>
              <w:jc w:val="center"/>
            </w:pPr>
            <w:r/>
          </w:p>
          <w:p>
            <w:pPr>
              <w:keepNext w:val="0"/>
              <w:widowControl/>
              <w:spacing w:line="240" w:lineRule="auto" w:before="20" w:after="20"/>
              <w:jc w:val="center"/>
            </w:pPr>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120" w:after="0"/>
        <w:jc w:val="left"/>
      </w:pPr>
      <w:r>
        <w:rPr>
          <w:rFonts w:ascii="Times New Roman" w:hAnsi="Times New Roman" w:cs="Times New Roman" w:eastAsia="Times New Roman"/>
          <w:b/>
          <w:i w:val="0"/>
          <w:color w:val="000000"/>
          <w:sz w:val="28"/>
        </w:rPr>
        <w:t>1.8 Ethical Considerations</w:t>
      </w:r>
    </w:p>
    <w:p>
      <w:pPr>
        <w:keepNext w:val="0"/>
        <w:widowControl/>
        <w:spacing w:line="480" w:lineRule="auto" w:before="0" w:after="0"/>
        <w:jc w:val="both"/>
      </w:pPr>
      <w:r>
        <w:rPr>
          <w:rFonts w:ascii="Times New Roman" w:hAnsi="Times New Roman" w:cs="Times New Roman" w:eastAsia="Times New Roman"/>
          <w:b w:val="0"/>
          <w:i w:val="0"/>
          <w:color w:val="000000"/>
          <w:sz w:val="24"/>
        </w:rPr>
        <w:t>Before fieldwork the researcher will obtain a letter of introduction from the Institute and research permission from PO-RALG, the Tanga Regional Commissioner, the Lushoto District Commissioner and the Council Director. Participation will be voluntary and based on informed consent; anonymity and confidentiality will be guaranteed by omitting names, coding responses and restricting access to data, which will be used solely for academic purposes. No fabricated or plagiarised material will be presented, and findings will be reported back to the Council.</w:t>
      </w:r>
    </w:p>
    <w:p>
      <w:pPr>
        <w:keepNext/>
        <w:widowControl/>
        <w:spacing w:line="240" w:lineRule="auto" w:before="80" w:after="40"/>
        <w:jc w:val="center"/>
      </w:pPr>
      <w:r>
        <w:rPr>
          <w:rFonts w:ascii="Times New Roman" w:hAnsi="Times New Roman" w:cs="Times New Roman" w:eastAsia="Times New Roman"/>
          <w:b/>
          <w:i w:val="0"/>
          <w:color w:val="000000"/>
          <w:sz w:val="28"/>
        </w:rPr>
        <w:t>CHAPTER TWO: REVIEW OF RELATED LITERATURE</w:t>
      </w:r>
    </w:p>
    <w:p>
      <w:pPr>
        <w:keepNext/>
        <w:widowControl/>
        <w:spacing w:line="240" w:lineRule="auto" w:before="120" w:after="0"/>
        <w:jc w:val="left"/>
      </w:pPr>
      <w:r>
        <w:rPr>
          <w:rFonts w:ascii="Times New Roman" w:hAnsi="Times New Roman" w:cs="Times New Roman" w:eastAsia="Times New Roman"/>
          <w:b/>
          <w:i w:val="0"/>
          <w:color w:val="000000"/>
          <w:sz w:val="28"/>
        </w:rPr>
        <w:t>2.1 Introduction</w:t>
      </w:r>
    </w:p>
    <w:p>
      <w:pPr>
        <w:keepNext w:val="0"/>
        <w:widowControl/>
        <w:spacing w:line="480" w:lineRule="auto" w:before="0" w:after="0"/>
        <w:jc w:val="both"/>
      </w:pPr>
      <w:r>
        <w:rPr>
          <w:rFonts w:ascii="Times New Roman" w:hAnsi="Times New Roman" w:cs="Times New Roman" w:eastAsia="Times New Roman"/>
          <w:b w:val="0"/>
          <w:i w:val="0"/>
          <w:color w:val="000000"/>
          <w:sz w:val="24"/>
        </w:rPr>
        <w:t>This chapter reviews the literature giving the study its theoretical basis, organised into theoretical literature, empirical literature and policy review, and ends with the gaps the study will address.</w:t>
      </w:r>
    </w:p>
    <w:p>
      <w:pPr>
        <w:keepNext/>
        <w:widowControl/>
        <w:spacing w:line="240" w:lineRule="auto" w:before="120" w:after="0"/>
        <w:jc w:val="left"/>
      </w:pPr>
      <w:r>
        <w:rPr>
          <w:rFonts w:ascii="Times New Roman" w:hAnsi="Times New Roman" w:cs="Times New Roman" w:eastAsia="Times New Roman"/>
          <w:b/>
          <w:i w:val="0"/>
          <w:color w:val="000000"/>
          <w:sz w:val="28"/>
        </w:rPr>
        <w:t>2.2 Theoretical Literature</w:t>
      </w:r>
    </w:p>
    <w:p>
      <w:pPr>
        <w:keepNext/>
        <w:widowControl/>
        <w:spacing w:line="240" w:lineRule="auto" w:before="80" w:after="0"/>
        <w:jc w:val="left"/>
      </w:pPr>
      <w:r>
        <w:rPr>
          <w:rFonts w:ascii="Times New Roman" w:hAnsi="Times New Roman" w:cs="Times New Roman" w:eastAsia="Times New Roman"/>
          <w:b/>
          <w:i w:val="0"/>
          <w:color w:val="000000"/>
          <w:sz w:val="24"/>
        </w:rPr>
        <w:t>2.2.1 Key Concepts</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Monitoring is the continuous collection of data on specified indicators to show progress and the use of funds; evaluation is the systematic assessment of a project against relevance, efficiency, effectiveness, impact and sustainability (OECD, 2010). An M&amp;E system combines the indicators, methods, institutions and processes through which an organisation tracks implementation and assesses results (Kusek and Rist, 2004). M&amp;E planning practices are the front-end design of that function: the plan, baselines, indicators, targets, tools and budget (Herman, 2023). M&amp;E human resource capacity is the number, qualifications, training, experience and analytical skill of M&amp;E staff at individual, organisational and enabling-environment levels (Mackay, 2007; Chebet Murei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2017). Stakeholder involvement in M&amp;E is the participation of beneficiaries, elected leaders, contractors and oversight bodies in data collection, joint site visits and corrective decisions (Mgoba and Kabote, 2020). Project performance is accomplishment against schedule, cost and quality, extended to strategic criteria, stakeholder satisfaction and sustainability (Ika, 2009), and local government projects are investments planned, financed, procured and supervised by a council under the Local Government (District Authorities) Act No. 7 of 1982 (URT, 1982).</w:t>
      </w:r>
    </w:p>
    <w:p>
      <w:pPr>
        <w:keepNext/>
        <w:widowControl/>
        <w:spacing w:line="240" w:lineRule="auto" w:before="80" w:after="0"/>
        <w:jc w:val="left"/>
      </w:pPr>
      <w:r>
        <w:rPr>
          <w:rFonts w:ascii="Times New Roman" w:hAnsi="Times New Roman" w:cs="Times New Roman" w:eastAsia="Times New Roman"/>
          <w:b/>
          <w:i w:val="0"/>
          <w:color w:val="000000"/>
          <w:sz w:val="24"/>
        </w:rPr>
        <w:t>2.2.2 Theories Guiding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Results-based management shifts attention from inputs to outputs, outcomes and impact and treats the M&amp;E plan, indicators and use of information as the engine of that shift (Kusek and Rist, 2004; OECD, 2010); it underpins the first objective. Agency theory explains why planning alone is insufficient: each agent in the chain from citizens through the council to contractors holds more information than the principal and may pursue its own interest, so monitoring reduces information asymmetry and agency costs, and the competence of the monitor determines how well it works (Eisenhardt, 1989); this anchors the second objective. Stakeholder theory holds that an organisation must manage the interests of all groups that affect or are affected by its activities, and that their involvement improves the legitimacy, accuracy and use of information (Freeman, 1984); it anchors the third objective, and beneficiaries' participation yields information outsiders cannot obtain (Mgoba and Kabote, 2020). Evaluation capacity theory adds that capacity must be matched by demand for information (Mackay, 2007). The study will be anchored on agency and stakeholder theories, complemented by results-based management and evaluation capacity.</w:t>
      </w:r>
    </w:p>
    <w:p>
      <w:pPr>
        <w:keepNext/>
        <w:widowControl/>
        <w:spacing w:line="240" w:lineRule="auto" w:before="120" w:after="0"/>
        <w:jc w:val="left"/>
      </w:pPr>
      <w:r>
        <w:rPr>
          <w:rFonts w:ascii="Times New Roman" w:hAnsi="Times New Roman" w:cs="Times New Roman" w:eastAsia="Times New Roman"/>
          <w:b/>
          <w:i w:val="0"/>
          <w:color w:val="000000"/>
          <w:sz w:val="28"/>
        </w:rPr>
        <w:t>2.3 Empirical Literature</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On M&amp;E planning, Herman (2023) used a mixed-methods design with 170 respondents selected by the Yamane formula and found that M&amp;E planning significantly affected the performance of water supply projects in Dodoma City Council (p &lt; 0.05); Mhina (2017) reported weak M&amp;E plans, unskilled staff and limited use of reports in Ruvuma district councils; and Okeyo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(2019) found M&amp;E structure, process, method and policy to be significant predictors of county project performance in six Kenyan counties (F change = 109.403, p &lt; 0.05).</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On M&amp;E human resource capacity, Chebet Murei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(2017) established that M&amp;E human resource capacity influenced the performance of horticulture projects in Nakuru County; Maimula (2017) found that local government water projects in Mkuranga suffered from political interference, weak M&amp;E teams and unqualified technical staff; and Killo (2022) identified M&amp;E human resource capacity and technical expertise among the strongest influences on project performance in Katavi Region. Capacity is however often proxied by training attendance rather than by competence in indicator design and analysis.</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On stakeholder involvement, Mgoba and Kabote (2020) demonstrated that participatory M&amp;E significantly improved the achievement of community-based water projects in Tanzania, and Katerengabo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(2023), using 400 household heads, found that households' involvement in implementing the M&amp;E plan significantly influenced the performance of the Tanzania Conditional Cash Transfer project (t = 8.472, p &lt; 0.001). These studies concern community-managed projects rather than council capital projects, and measure involvement as meeting attendance rather than influence over monitoring decisions.</w:t>
      </w:r>
    </w:p>
    <w:p>
      <w:pPr>
        <w:keepNext w:val="0"/>
        <w:widowControl/>
        <w:spacing w:line="480" w:lineRule="auto" w:before="0" w:after="0"/>
        <w:jc w:val="both"/>
      </w:pPr>
      <w:r>
        <w:rPr>
          <w:rFonts w:ascii="Times New Roman" w:hAnsi="Times New Roman" w:cs="Times New Roman" w:eastAsia="Times New Roman"/>
          <w:b w:val="0"/>
          <w:i w:val="0"/>
          <w:color w:val="000000"/>
          <w:sz w:val="24"/>
        </w:rPr>
        <w:t>Four gaps emerge. Contextually, no published study examines the impact of the M&amp;E system on the performance of local government projects in Lushoto District or in any council of Tanga Region. Conceptually, M&amp;E is usually treated as one composite variable, leaving the separate contributions of planning, human resource capacity and stakeholder involvement unquantified, and performance is often measured by perception rather than by schedule, cost and quality. Methodologically, most studies are single-method surveys whose results cannot be verified against project records or physical works. The study will address these gaps by disaggregating the M&amp;E system into three measurable dimensions, measuring performance on five indicators verified through documents and site observation, and combining regression with qualitative enquiry in one council.</w:t>
      </w:r>
    </w:p>
    <w:p>
      <w:pPr>
        <w:keepNext/>
        <w:widowControl/>
        <w:spacing w:line="240" w:lineRule="auto" w:before="120" w:after="0"/>
        <w:jc w:val="left"/>
      </w:pPr>
      <w:r>
        <w:rPr>
          <w:rFonts w:ascii="Times New Roman" w:hAnsi="Times New Roman" w:cs="Times New Roman" w:eastAsia="Times New Roman"/>
          <w:b/>
          <w:i w:val="0"/>
          <w:color w:val="000000"/>
          <w:sz w:val="28"/>
        </w:rPr>
        <w:t>2.4 Policy Review</w:t>
      </w:r>
    </w:p>
    <w:p>
      <w:pPr>
        <w:keepNext w:val="0"/>
        <w:widowControl/>
        <w:spacing w:line="480" w:lineRule="auto" w:before="0" w:after="0"/>
        <w:jc w:val="both"/>
      </w:pPr>
      <w:r>
        <w:rPr>
          <w:rFonts w:ascii="Times New Roman" w:hAnsi="Times New Roman" w:cs="Times New Roman" w:eastAsia="Times New Roman"/>
          <w:b w:val="0"/>
          <w:i w:val="0"/>
          <w:color w:val="000000"/>
          <w:sz w:val="24"/>
        </w:rPr>
        <w:t xml:space="preserve">The National Policy on Decentralisation by Devolution requires councils to plan, implement and account for local development, with PO-RALG providing oversight (URT, 2000), and the Local Government (District Authorities) Act No. 7 of 1982 confers the council's mandate over local services and projects (URT, 1982). The PO-RALG assessment of D by D implementation found a shift of powers to regions and sector ministries, heavy dependence on earmarked transfers and weakened local oversight, which constrain a council's ability to monitor and correct its own projects (Lyon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2017). The Third National Five Year Development Plan for 2021/22-2025/26 commits government to strengthening implementation, monitoring and evaluation (URT, 2021), while the audit reports tabled in April 2026 recommend stronger management of public projects so that they are delivered on time, meet quality standards and remain within controlled costs (CAG, 2026). At local level, the Lushoto District Council Strategic Plan for 2015/16-2019/20 contains a monitoring and assessment component and sets sector targets including the improvement of management and governance systems, providing the local policy basis for examining M&amp;E arrangements and project performance (Lushoto District Council, 2015).</w:t>
      </w:r>
    </w:p>
    <w:p>
      <w:pPr>
        <w:keepNext/>
        <w:widowControl/>
        <w:spacing w:line="240" w:lineRule="auto" w:before="80" w:after="40"/>
        <w:jc w:val="center"/>
      </w:pPr>
      <w:r>
        <w:rPr>
          <w:rFonts w:ascii="Times New Roman" w:hAnsi="Times New Roman" w:cs="Times New Roman" w:eastAsia="Times New Roman"/>
          <w:b/>
          <w:i w:val="0"/>
          <w:color w:val="000000"/>
          <w:sz w:val="28"/>
        </w:rPr>
        <w:t>CHAPTER THREE: METHODOLOGY</w:t>
      </w:r>
    </w:p>
    <w:p>
      <w:pPr>
        <w:keepNext/>
        <w:widowControl/>
        <w:spacing w:line="240" w:lineRule="auto" w:before="120" w:after="0"/>
        <w:jc w:val="left"/>
      </w:pPr>
      <w:r>
        <w:rPr>
          <w:rFonts w:ascii="Times New Roman" w:hAnsi="Times New Roman" w:cs="Times New Roman" w:eastAsia="Times New Roman"/>
          <w:b/>
          <w:i w:val="0"/>
          <w:color w:val="000000"/>
          <w:sz w:val="28"/>
        </w:rPr>
        <w:t>3.1 Introduction</w:t>
      </w:r>
    </w:p>
    <w:p>
      <w:pPr>
        <w:keepNext w:val="0"/>
        <w:widowControl/>
        <w:spacing w:line="480" w:lineRule="auto" w:before="0" w:after="0"/>
        <w:jc w:val="both"/>
      </w:pPr>
      <w:r>
        <w:rPr>
          <w:rFonts w:ascii="Times New Roman" w:hAnsi="Times New Roman" w:cs="Times New Roman" w:eastAsia="Times New Roman"/>
          <w:b w:val="0"/>
          <w:i w:val="0"/>
          <w:color w:val="000000"/>
          <w:sz w:val="24"/>
        </w:rPr>
        <w:t>This chapter describes the research design, study area, study population, sample size, sampling procedure, methods of data collection, data analysis and ethical considerations, with the reason for each choice supported by methodological literature.</w:t>
      </w:r>
    </w:p>
    <w:p>
      <w:pPr>
        <w:keepNext/>
        <w:widowControl/>
        <w:spacing w:line="240" w:lineRule="auto" w:before="120" w:after="0"/>
        <w:jc w:val="left"/>
      </w:pPr>
      <w:r>
        <w:rPr>
          <w:rFonts w:ascii="Times New Roman" w:hAnsi="Times New Roman" w:cs="Times New Roman" w:eastAsia="Times New Roman"/>
          <w:b/>
          <w:i w:val="0"/>
          <w:color w:val="000000"/>
          <w:sz w:val="28"/>
        </w:rPr>
        <w:t>3.2 Research Design</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adopt an explanatory sequential mixed-methods design embedded in a cross-sectional survey and a single case study of Lushoto District Council. The quantitative strand will be conducted first through a survey of M&amp;E stakeholders, and the qualitative strand will follow through key informant interviews, focus group discussions, document review and site observation to explain the results. Mixed methods are chosen because M&amp;E performance questions involve both measurable relationships and context-specific explanations, and because combining survey, qualitative and documentary evidence increases validity in development settings (Creswell, 2014).</w:t>
      </w:r>
    </w:p>
    <w:p>
      <w:pPr>
        <w:keepNext/>
        <w:widowControl/>
        <w:spacing w:line="240" w:lineRule="auto" w:before="120" w:after="0"/>
        <w:jc w:val="left"/>
      </w:pPr>
      <w:r>
        <w:rPr>
          <w:rFonts w:ascii="Times New Roman" w:hAnsi="Times New Roman" w:cs="Times New Roman" w:eastAsia="Times New Roman"/>
          <w:b/>
          <w:i w:val="0"/>
          <w:color w:val="000000"/>
          <w:sz w:val="28"/>
        </w:rPr>
        <w:t>3.3 Study Area</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be conducted in Lushoto District Council of Tanga Region, in the Usambara Mountains, covering 3,297 square kilometres and bordered by Kenya, Muheza, Korogwe and Bumbuli Districts and Kilimanjaro Region, with Lushoto town as its headquarters; it had 350,958 residents in 2022 (NBS, 2022). The economy is dominated by smallholder horticulture, dairy, forestry and tourism, and the council implements a large portfolio of water, classroom, health facility, road and market projects. Lushoto was chosen because it is a typical rural mountain council with a diverse project portfolio whose strategic plan sets explicit monitoring and governance targets, because reported delays and under-utilisation make it an information-rich case, and because the researcher's familiarity with the area eases entry.</w:t>
      </w:r>
    </w:p>
    <w:p>
      <w:pPr>
        <w:keepNext/>
        <w:widowControl/>
        <w:spacing w:line="240" w:lineRule="auto" w:before="120" w:after="0"/>
        <w:jc w:val="left"/>
      </w:pPr>
      <w:r>
        <w:rPr>
          <w:rFonts w:ascii="Times New Roman" w:hAnsi="Times New Roman" w:cs="Times New Roman" w:eastAsia="Times New Roman"/>
          <w:b/>
          <w:i w:val="0"/>
          <w:color w:val="000000"/>
          <w:sz w:val="28"/>
        </w:rPr>
        <w:t>3.4 Study Population</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population will comprise all categories of persons who plan, execute, supervise, finance, benefit from or oversee the M&amp;E of council projects. The estimated target population of 1,087 individuals was derived from council establishment records, ward and village committee registers and the contractors' register, and will be confirmed with the Council at the entry meeting.</w:t>
      </w:r>
    </w:p>
    <w:p>
      <w:pPr>
        <w:keepNext/>
        <w:widowControl/>
        <w:spacing w:line="240" w:lineRule="auto" w:before="120" w:after="0"/>
        <w:jc w:val="left"/>
      </w:pPr>
      <w:r>
        <w:rPr>
          <w:rFonts w:ascii="Times New Roman" w:hAnsi="Times New Roman" w:cs="Times New Roman" w:eastAsia="Times New Roman"/>
          <w:b/>
          <w:i w:val="0"/>
          <w:color w:val="000000"/>
          <w:sz w:val="28"/>
        </w:rPr>
        <w:t>3.5 Sample Size</w:t>
      </w:r>
    </w:p>
    <w:p>
      <w:pPr>
        <w:keepNext w:val="0"/>
        <w:widowControl/>
        <w:spacing w:line="480" w:lineRule="auto" w:before="0" w:after="0"/>
        <w:jc w:val="both"/>
      </w:pPr>
      <w:r>
        <w:rPr>
          <w:rFonts w:ascii="Times New Roman" w:hAnsi="Times New Roman" w:cs="Times New Roman" w:eastAsia="Times New Roman"/>
          <w:b w:val="0"/>
          <w:i w:val="0"/>
          <w:color w:val="000000"/>
          <w:sz w:val="24"/>
        </w:rPr>
        <w:t>The sample size will be determined using the Yamane formula, n = N/(1 + Ne²), where N is the target population and e is the precision level of 0.05 at 95% confidence (Yamane, 1967). With N = 1,087, n = 1,087/(1 + 1,087 × 0.0025) = 293 respondents. The formula is chosen because the population is finite and its size is known from council records, and a reserve of 10% (29 respondents) will be drawn from the same strata to replace non-responses. In addition, 12 key informants will be interviewed, four focus group discussions of eight to ten participants each will be held, and 12 project sites will be observed. Table 1 shows the population and the proportional allocation of the sample.</w:t>
      </w:r>
    </w:p>
    <w:p>
      <w:pPr>
        <w:keepNext/>
        <w:widowControl/>
        <w:spacing w:line="240" w:lineRule="auto" w:before="80" w:after="40"/>
        <w:jc w:val="left"/>
      </w:pPr>
      <w:r>
        <w:rPr>
          <w:rFonts w:ascii="Times New Roman" w:hAnsi="Times New Roman" w:cs="Times New Roman" w:eastAsia="Times New Roman"/>
          <w:b/>
          <w:i w:val="0"/>
          <w:color w:val="000000"/>
          <w:sz w:val="24"/>
        </w:rPr>
        <w:t>Table 1: Target population and sample size distribution</w:t>
      </w:r>
    </w:p>
    <w:tbl>
      <w:tblPr>
        <w:tblStyle w:val="TableGrid"/>
        <w:tblW w:type="auto" w:w="0"/>
        <w:jc w:val="center"/>
        <w:tblLayout w:type="fixed"/>
        <w:tblLook w:firstColumn="1" w:firstRow="1" w:lastColumn="0" w:lastRow="0" w:noHBand="0" w:noVBand="1" w:val="04A0"/>
      </w:tblPr>
      <w:tblGrid>
        <w:gridCol w:w="2049"/>
        <w:gridCol w:w="2049"/>
        <w:gridCol w:w="2049"/>
        <w:gridCol w:w="2049"/>
      </w:tblGrid>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5159"/>
          </w:tcPr>
          <w:p>
            <w:pPr>
              <w:keepNext w:val="0"/>
              <w:widowControl/>
              <w:spacing w:line="240" w:lineRule="auto" w:before="20" w:after="20"/>
              <w:jc w:val="center"/>
            </w:pPr>
            <w:r/>
            <w:r>
              <w:rPr>
                <w:rFonts w:ascii="Times New Roman" w:hAnsi="Times New Roman" w:cs="Times New Roman" w:eastAsia="Times New Roman"/>
                <w:b/>
                <w:i w:val="0"/>
                <w:color w:val="000000"/>
                <w:sz w:val="24"/>
              </w:rPr>
              <w:t>Category of respondents</w:t>
            </w:r>
          </w:p>
        </w:tc>
        <w:tc>
          <w:tcPr>
            <w:tcW w:type="dxa" w:w="1191"/>
          </w:tcPr>
          <w:p>
            <w:pPr>
              <w:keepNext w:val="0"/>
              <w:widowControl/>
              <w:spacing w:line="240" w:lineRule="auto" w:before="20" w:after="20"/>
              <w:jc w:val="center"/>
            </w:pPr>
            <w:r/>
            <w:r>
              <w:rPr>
                <w:rFonts w:ascii="Times New Roman" w:hAnsi="Times New Roman" w:cs="Times New Roman" w:eastAsia="Times New Roman"/>
                <w:b/>
                <w:i w:val="0"/>
                <w:color w:val="000000"/>
                <w:sz w:val="24"/>
              </w:rPr>
              <w:t>N</w:t>
            </w:r>
          </w:p>
        </w:tc>
        <w:tc>
          <w:tcPr>
            <w:tcW w:type="dxa" w:w="1191"/>
          </w:tcPr>
          <w:p>
            <w:pPr>
              <w:keepNext w:val="0"/>
              <w:widowControl/>
              <w:spacing w:line="240" w:lineRule="auto" w:before="20" w:after="20"/>
              <w:jc w:val="center"/>
            </w:pPr>
            <w:r/>
            <w:r>
              <w:rPr>
                <w:rFonts w:ascii="Times New Roman" w:hAnsi="Times New Roman" w:cs="Times New Roman" w:eastAsia="Times New Roman"/>
                <w:b/>
                <w:i w:val="0"/>
                <w:color w:val="000000"/>
                <w:sz w:val="24"/>
              </w:rPr>
              <w:t>n</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Council management team and heads of departments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26</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Planning and M&amp;E unit staff and sector M&amp;E focal persons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34</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9</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Technical staff of implementing departments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145</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39</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Ward Executive Officers and ward councillors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56</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16</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Ward development committee members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168</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45</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Village Executive Officers and village chairpersons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210</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56</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Project and facility committee members</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385</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104</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5159"/>
          </w:tcPr>
          <w:p>
            <w:pPr>
              <w:keepNext w:val="0"/>
              <w:widowControl/>
              <w:spacing w:line="240" w:lineRule="auto" w:before="20" w:after="20"/>
              <w:jc w:val="left"/>
            </w:pPr>
            <w:r/>
            <w:r>
              <w:rPr>
                <w:rFonts w:ascii="Times New Roman" w:hAnsi="Times New Roman" w:cs="Times New Roman" w:eastAsia="Times New Roman"/>
                <w:b w:val="0"/>
                <w:i w:val="0"/>
                <w:color w:val="000000"/>
                <w:sz w:val="24"/>
              </w:rPr>
              <w:t>Contractors' and consultants' site personnel</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63</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17</w:t>
            </w:r>
          </w:p>
        </w:tc>
      </w:tr>
      <w:tr>
        <w:trPr>
          <w:cantSplit/>
        </w:trPr>
        <w:tc>
          <w:tcPr>
            <w:tcW w:type="dxa" w:w="624"/>
          </w:tcPr>
          <w:p>
            <w:pPr>
              <w:keepNext w:val="0"/>
              <w:widowControl/>
              <w:spacing w:line="240" w:lineRule="auto" w:before="20" w:after="20"/>
              <w:jc w:val="center"/>
            </w:pPr>
            <w:r/>
          </w:p>
        </w:tc>
        <w:tc>
          <w:tcPr>
            <w:tcW w:type="dxa" w:w="5159"/>
          </w:tcPr>
          <w:p>
            <w:pPr>
              <w:keepNext w:val="0"/>
              <w:widowControl/>
              <w:spacing w:line="240" w:lineRule="auto" w:before="20" w:after="20"/>
              <w:jc w:val="center"/>
            </w:pPr>
            <w:r/>
            <w:r>
              <w:rPr>
                <w:rFonts w:ascii="Times New Roman" w:hAnsi="Times New Roman" w:cs="Times New Roman" w:eastAsia="Times New Roman"/>
                <w:b w:val="0"/>
                <w:i w:val="0"/>
                <w:color w:val="000000"/>
                <w:sz w:val="24"/>
              </w:rPr>
              <w:t>Total</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1,087</w:t>
            </w:r>
          </w:p>
        </w:tc>
        <w:tc>
          <w:tcPr>
            <w:tcW w:type="dxa" w:w="1191"/>
          </w:tcPr>
          <w:p>
            <w:pPr>
              <w:keepNext w:val="0"/>
              <w:widowControl/>
              <w:spacing w:line="240" w:lineRule="auto" w:before="20" w:after="20"/>
              <w:jc w:val="center"/>
            </w:pPr>
            <w:r/>
            <w:r>
              <w:rPr>
                <w:rFonts w:ascii="Times New Roman" w:hAnsi="Times New Roman" w:cs="Times New Roman" w:eastAsia="Times New Roman"/>
                <w:b w:val="0"/>
                <w:i w:val="0"/>
                <w:color w:val="000000"/>
                <w:sz w:val="24"/>
              </w:rPr>
              <w:t>293</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 compiled from council records and computed using the Yamane formula</w:t>
      </w:r>
    </w:p>
    <w:p>
      <w:pPr>
        <w:keepNext/>
        <w:widowControl/>
        <w:spacing w:line="240" w:lineRule="auto" w:before="120" w:after="0"/>
        <w:jc w:val="left"/>
      </w:pPr>
      <w:r>
        <w:rPr>
          <w:rFonts w:ascii="Times New Roman" w:hAnsi="Times New Roman" w:cs="Times New Roman" w:eastAsia="Times New Roman"/>
          <w:b/>
          <w:i w:val="0"/>
          <w:color w:val="000000"/>
          <w:sz w:val="28"/>
        </w:rPr>
        <w:t>3.6 Sampling Procedure</w:t>
      </w:r>
    </w:p>
    <w:p>
      <w:pPr>
        <w:keepNext w:val="0"/>
        <w:widowControl/>
        <w:spacing w:line="480" w:lineRule="auto" w:before="0" w:after="0"/>
        <w:jc w:val="both"/>
      </w:pPr>
      <w:r>
        <w:rPr>
          <w:rFonts w:ascii="Times New Roman" w:hAnsi="Times New Roman" w:cs="Times New Roman" w:eastAsia="Times New Roman"/>
          <w:b w:val="0"/>
          <w:i w:val="0"/>
          <w:color w:val="000000"/>
          <w:sz w:val="24"/>
        </w:rPr>
        <w:t>A multistage procedure will be used. First, eight wards will be selected purposively on the basis of project portfolio size, the presence of completed and ongoing or stalled projects, and geographic spread across the lowland and mountain zones. Second, respondents will be stratified by the categories in Table 1 and the sample allocated proportionally. Third, individuals will be drawn from the council staff list, the ward and village committee registers and the contractors' register by simple random sampling using computer-generated random numbers. Fourth, key informants will be selected purposively: the Council Director, the planning and M&amp;E officer, the heads of the works, health, education and water departments, the internal auditor, two contractors and one development partner representative. Project sites will be purposively selected to cover the five sub-sectors and three implementation statuses.</w:t>
      </w:r>
    </w:p>
    <w:p>
      <w:pPr>
        <w:keepNext/>
        <w:widowControl/>
        <w:spacing w:line="240" w:lineRule="auto" w:before="120" w:after="0"/>
        <w:jc w:val="left"/>
      </w:pPr>
      <w:r>
        <w:rPr>
          <w:rFonts w:ascii="Times New Roman" w:hAnsi="Times New Roman" w:cs="Times New Roman" w:eastAsia="Times New Roman"/>
          <w:b/>
          <w:i w:val="0"/>
          <w:color w:val="000000"/>
          <w:sz w:val="28"/>
        </w:rPr>
        <w:t>3.7 Methods of Data Collection</w:t>
      </w:r>
    </w:p>
    <w:p>
      <w:pPr>
        <w:keepNext w:val="0"/>
        <w:widowControl/>
        <w:spacing w:line="480" w:lineRule="auto" w:before="0" w:after="0"/>
        <w:jc w:val="both"/>
      </w:pPr>
      <w:r>
        <w:rPr>
          <w:rFonts w:ascii="Times New Roman" w:hAnsi="Times New Roman" w:cs="Times New Roman" w:eastAsia="Times New Roman"/>
          <w:b w:val="0"/>
          <w:i w:val="0"/>
          <w:color w:val="000000"/>
          <w:sz w:val="24"/>
        </w:rPr>
        <w:t>Both primary and secondary data will be collected. Primary quantitative data will be collected through a structured questionnaire with closed-ended items on a five-point Likert scale covering the three M&amp;E dimensions and project performance; the questionnaire is preferred because it reaches a large, dispersed sample at low cost and yields standardised data suitable for regression. Primary qualitative data will be collected through semi-structured interview guides for key informants and focus group discussion guides for ward and village project committees and beneficiaries, which allow probing of why projects are delayed and how M&amp;E information is used. An observation checklist will be used at the 12 sites to verify physical progress, workmanship and utilisation, and a document review checklist will cover the Council Strategic Plan, implementation reports, project M&amp;E plans and files, payment records, council minutes and audit reports; triangulation across these sources will strengthen validity (Creswell, 2014).</w:t>
      </w:r>
    </w:p>
    <w:p>
      <w:pPr>
        <w:keepNext w:val="0"/>
        <w:widowControl/>
        <w:spacing w:line="480" w:lineRule="auto" w:before="0" w:after="0"/>
        <w:jc w:val="both"/>
      </w:pPr>
      <w:r>
        <w:rPr>
          <w:rFonts w:ascii="Times New Roman" w:hAnsi="Times New Roman" w:cs="Times New Roman" w:eastAsia="Times New Roman"/>
          <w:b w:val="0"/>
          <w:i w:val="0"/>
          <w:color w:val="000000"/>
          <w:sz w:val="24"/>
        </w:rPr>
        <w:t>The instruments will be pilot tested with 30 respondents in a comparable council outside the study sample to check clarity, length and sequencing. Content validity will be secured by having the supervisor and two M&amp;E practitioners review the instruments against the objectives, and reliability will be assessed with Cronbach's alpha, a coefficient of 0.70 or above being acceptable.</w:t>
      </w:r>
    </w:p>
    <w:p>
      <w:pPr>
        <w:keepNext/>
        <w:widowControl/>
        <w:spacing w:line="240" w:lineRule="auto" w:before="120" w:after="0"/>
        <w:jc w:val="left"/>
      </w:pPr>
      <w:r>
        <w:rPr>
          <w:rFonts w:ascii="Times New Roman" w:hAnsi="Times New Roman" w:cs="Times New Roman" w:eastAsia="Times New Roman"/>
          <w:b/>
          <w:i w:val="0"/>
          <w:color w:val="000000"/>
          <w:sz w:val="28"/>
        </w:rPr>
        <w:t>3.8 Data Analysis</w:t>
      </w:r>
    </w:p>
    <w:p>
      <w:pPr>
        <w:keepNext w:val="0"/>
        <w:widowControl/>
        <w:spacing w:line="480" w:lineRule="auto" w:before="0" w:after="0"/>
        <w:jc w:val="both"/>
      </w:pPr>
      <w:r>
        <w:rPr>
          <w:rFonts w:ascii="Times New Roman" w:hAnsi="Times New Roman" w:cs="Times New Roman" w:eastAsia="Times New Roman"/>
          <w:b w:val="0"/>
          <w:i w:val="0"/>
          <w:color w:val="000000"/>
          <w:sz w:val="24"/>
        </w:rPr>
        <w:t>Quantitative data will be cleaned, coded and entered into the Statistical Package for the Social Sciences (SPSS) Version 27. Descriptive statistics – frequencies, percentages, means and standard deviations – will summarise respondent profiles and the level of each variable. Inferential analysis will use Pearson correlation for bivariate relationships and multiple linear regression to test the influence of the three M&amp;E dimensions on project performance using the model PP = β₀ + β₁MPP + β₂MHC + β₃SI + ε, where PP is project performance, MPP is M&amp;E planning practices, MHC is M&amp;E human resource capacity, SI is stakeholder involvement in M&amp;E, β₁ to β₃ are the coefficients and ε is the error term. Composite scores will be generated from the Likert items of each construct, assumptions will be tested for normality, multicollinearity (variance inflation factor below 10) and homoscedasticity, and hypotheses will be tested at a 5% significance level. Qualitative data will be transcribed, coded and analysed thematically against the specific objectives, and the two strands will then be integrated through triangulation.</w:t>
      </w:r>
    </w:p>
    <w:p>
      <w:pPr>
        <w:keepNext/>
        <w:widowControl/>
        <w:spacing w:line="240" w:lineRule="auto" w:before="120" w:after="0"/>
        <w:jc w:val="left"/>
      </w:pPr>
      <w:r>
        <w:rPr>
          <w:rFonts w:ascii="Times New Roman" w:hAnsi="Times New Roman" w:cs="Times New Roman" w:eastAsia="Times New Roman"/>
          <w:b/>
          <w:i w:val="0"/>
          <w:color w:val="000000"/>
          <w:sz w:val="28"/>
        </w:rPr>
        <w:t>3.9 Ethical Considerations</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comply with the requirements set out in section 1.8: an introduction letter and research permission from PO-RALG, the Regional Commissioner, the District Commissioner and the Council Director will be obtained before data collection; informed consent will be sought from every respondent; anonymity will be protected by coding questionnaires; confidentiality will be maintained by reporting results in aggregate form so that no individual or contract can be identified; and the researcher will avoid fabrication, falsification and plagiarism.</w:t>
      </w:r>
    </w:p>
    <w:p>
      <w:pPr>
        <w:keepNext/>
        <w:widowControl/>
        <w:spacing w:line="240" w:lineRule="auto" w:before="80" w:after="40"/>
        <w:jc w:val="center"/>
      </w:pPr>
      <w:r>
        <w:rPr>
          <w:rFonts w:ascii="Times New Roman" w:hAnsi="Times New Roman" w:cs="Times New Roman" w:eastAsia="Times New Roman"/>
          <w:b/>
          <w:i w:val="0"/>
          <w:color w:val="000000"/>
          <w:sz w:val="28"/>
        </w:rPr>
        <w:t>4.0 RESEARCH BUDGET</w:t>
      </w:r>
    </w:p>
    <w:p>
      <w:pPr>
        <w:keepNext w:val="0"/>
        <w:widowControl/>
        <w:spacing w:line="480" w:lineRule="auto" w:before="0" w:after="0"/>
        <w:jc w:val="both"/>
      </w:pPr>
      <w:r>
        <w:rPr>
          <w:rFonts w:ascii="Times New Roman" w:hAnsi="Times New Roman" w:cs="Times New Roman" w:eastAsia="Times New Roman"/>
          <w:b w:val="0"/>
          <w:i w:val="0"/>
          <w:color w:val="000000"/>
          <w:sz w:val="24"/>
        </w:rPr>
        <w:t>The tentative budget below covers the items and services required to implement the study. Funds will come from the researcher's personal savings, with supplementary support from the Institute where available.</w:t>
      </w:r>
    </w:p>
    <w:p>
      <w:pPr>
        <w:keepNext/>
        <w:widowControl/>
        <w:spacing w:line="240" w:lineRule="auto" w:before="80" w:after="40"/>
        <w:jc w:val="left"/>
      </w:pPr>
      <w:r>
        <w:rPr>
          <w:rFonts w:ascii="Times New Roman" w:hAnsi="Times New Roman" w:cs="Times New Roman" w:eastAsia="Times New Roman"/>
          <w:b/>
          <w:i w:val="0"/>
          <w:color w:val="000000"/>
          <w:sz w:val="24"/>
        </w:rPr>
        <w:t>Table 2: Research budget</w:t>
      </w:r>
    </w:p>
    <w:tbl>
      <w:tblPr>
        <w:tblStyle w:val="TableGrid"/>
        <w:tblW w:type="auto" w:w="0"/>
        <w:jc w:val="center"/>
        <w:tblLayout w:type="fixed"/>
        <w:tblLook w:firstColumn="1" w:firstRow="1" w:lastColumn="0" w:lastRow="0" w:noHBand="0" w:noVBand="1" w:val="04A0"/>
      </w:tblPr>
      <w:tblGrid>
        <w:gridCol w:w="1640"/>
        <w:gridCol w:w="1640"/>
        <w:gridCol w:w="1640"/>
        <w:gridCol w:w="1640"/>
        <w:gridCol w:w="1640"/>
      </w:tblGrid>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3572"/>
          </w:tcPr>
          <w:p>
            <w:pPr>
              <w:keepNext w:val="0"/>
              <w:widowControl/>
              <w:spacing w:line="240" w:lineRule="auto" w:before="20" w:after="20"/>
              <w:jc w:val="center"/>
            </w:pPr>
            <w:r/>
            <w:r>
              <w:rPr>
                <w:rFonts w:ascii="Times New Roman" w:hAnsi="Times New Roman" w:cs="Times New Roman" w:eastAsia="Times New Roman"/>
                <w:b/>
                <w:i w:val="0"/>
                <w:color w:val="000000"/>
                <w:sz w:val="24"/>
              </w:rPr>
              <w:t>Item / service</w:t>
            </w:r>
          </w:p>
        </w:tc>
        <w:tc>
          <w:tcPr>
            <w:tcW w:type="dxa" w:w="1361"/>
          </w:tcPr>
          <w:p>
            <w:pPr>
              <w:keepNext w:val="0"/>
              <w:widowControl/>
              <w:spacing w:line="240" w:lineRule="auto" w:before="20" w:after="20"/>
              <w:jc w:val="center"/>
            </w:pPr>
            <w:r/>
            <w:r>
              <w:rPr>
                <w:rFonts w:ascii="Times New Roman" w:hAnsi="Times New Roman" w:cs="Times New Roman" w:eastAsia="Times New Roman"/>
                <w:b/>
                <w:i w:val="0"/>
                <w:color w:val="000000"/>
                <w:sz w:val="24"/>
              </w:rPr>
              <w:t>Quantity</w:t>
            </w:r>
          </w:p>
        </w:tc>
        <w:tc>
          <w:tcPr>
            <w:tcW w:type="dxa" w:w="1361"/>
          </w:tcPr>
          <w:p>
            <w:pPr>
              <w:keepNext w:val="0"/>
              <w:widowControl/>
              <w:spacing w:line="240" w:lineRule="auto" w:before="20" w:after="20"/>
              <w:jc w:val="center"/>
            </w:pPr>
            <w:r/>
            <w:r>
              <w:rPr>
                <w:rFonts w:ascii="Times New Roman" w:hAnsi="Times New Roman" w:cs="Times New Roman" w:eastAsia="Times New Roman"/>
                <w:b/>
                <w:i w:val="0"/>
                <w:color w:val="000000"/>
                <w:sz w:val="24"/>
              </w:rPr>
              <w:t>Unit cost (TZS)</w:t>
            </w:r>
          </w:p>
        </w:tc>
        <w:tc>
          <w:tcPr>
            <w:tcW w:type="dxa" w:w="1474"/>
          </w:tcPr>
          <w:p>
            <w:pPr>
              <w:keepNext w:val="0"/>
              <w:widowControl/>
              <w:spacing w:line="240" w:lineRule="auto" w:before="20" w:after="20"/>
              <w:jc w:val="center"/>
            </w:pPr>
            <w:r/>
            <w:r>
              <w:rPr>
                <w:rFonts w:ascii="Times New Roman" w:hAnsi="Times New Roman" w:cs="Times New Roman" w:eastAsia="Times New Roman"/>
                <w:b/>
                <w:i w:val="0"/>
                <w:color w:val="000000"/>
                <w:sz w:val="24"/>
              </w:rPr>
              <w:t>Total (TZS)</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Stationery, printing and photocopying</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450,000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Questionnaire administration (2 assistants, 14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28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40,000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1,120,000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Field transport within the district</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14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65,000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910,000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Travel to and from the study area</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4 trips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120,000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480,000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Subsistence and accommodation</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28 days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70,000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1,960,000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Pilot study</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30</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10,000</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300,000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analysis, statistical consultation and communication</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750,000</w:t>
            </w:r>
          </w:p>
        </w:tc>
      </w:tr>
      <w:tr>
        <w:trPr>
          <w:cantSplit/>
        </w:trPr>
        <w:tc>
          <w:tcPr>
            <w:tcW w:type="dxa" w:w="624"/>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Printing, binding and defence logistics</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Lump sum</w:t>
            </w:r>
          </w:p>
        </w:tc>
        <w:tc>
          <w:tcPr>
            <w:tcW w:type="dxa" w:w="1361"/>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600,000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Sub-total</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6,570,000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left"/>
            </w:pPr>
            <w:r/>
            <w:r>
              <w:rPr>
                <w:rFonts w:ascii="Times New Roman" w:hAnsi="Times New Roman" w:cs="Times New Roman" w:eastAsia="Times New Roman"/>
                <w:b w:val="0"/>
                <w:i w:val="0"/>
                <w:color w:val="000000"/>
                <w:sz w:val="24"/>
              </w:rPr>
              <w:t>Contingency at 10%</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657,000</w:t>
            </w:r>
          </w:p>
        </w:tc>
      </w:tr>
      <w:tr>
        <w:trPr>
          <w:cantSplit/>
        </w:trPr>
        <w:tc>
          <w:tcPr>
            <w:tcW w:type="dxa" w:w="624"/>
          </w:tcPr>
          <w:p>
            <w:pPr>
              <w:keepNext w:val="0"/>
              <w:widowControl/>
              <w:spacing w:line="240" w:lineRule="auto" w:before="20" w:after="20"/>
              <w:jc w:val="center"/>
            </w:pPr>
            <w:r/>
          </w:p>
        </w:tc>
        <w:tc>
          <w:tcPr>
            <w:tcW w:type="dxa" w:w="3572"/>
          </w:tcPr>
          <w:p>
            <w:pPr>
              <w:keepNext w:val="0"/>
              <w:widowControl/>
              <w:spacing w:line="240" w:lineRule="auto" w:before="20" w:after="20"/>
              <w:jc w:val="center"/>
            </w:pPr>
            <w:r/>
            <w:r>
              <w:rPr>
                <w:rFonts w:ascii="Times New Roman" w:hAnsi="Times New Roman" w:cs="Times New Roman" w:eastAsia="Times New Roman"/>
                <w:b w:val="0"/>
                <w:i w:val="0"/>
                <w:color w:val="000000"/>
                <w:sz w:val="24"/>
              </w:rPr>
              <w:t>Grand total</w:t>
            </w:r>
          </w:p>
        </w:tc>
        <w:tc>
          <w:tcPr>
            <w:tcW w:type="dxa" w:w="1361"/>
          </w:tcPr>
          <w:p>
            <w:pPr>
              <w:keepNext w:val="0"/>
              <w:widowControl/>
              <w:spacing w:line="240" w:lineRule="auto" w:before="20" w:after="20"/>
              <w:jc w:val="center"/>
            </w:pPr>
            <w:r/>
          </w:p>
        </w:tc>
        <w:tc>
          <w:tcPr>
            <w:tcW w:type="dxa" w:w="1361"/>
          </w:tcPr>
          <w:p>
            <w:pPr>
              <w:keepNext w:val="0"/>
              <w:widowControl/>
              <w:spacing w:line="240" w:lineRule="auto" w:before="20" w:after="20"/>
              <w:jc w:val="center"/>
            </w:pPr>
            <w:r/>
          </w:p>
        </w:tc>
        <w:tc>
          <w:tcPr>
            <w:tcW w:type="dxa" w:w="1474"/>
          </w:tcPr>
          <w:p>
            <w:pPr>
              <w:keepNext w:val="0"/>
              <w:widowControl/>
              <w:spacing w:line="240" w:lineRule="auto" w:before="20" w:after="20"/>
              <w:jc w:val="center"/>
            </w:pPr>
            <w:r/>
            <w:r>
              <w:rPr>
                <w:rFonts w:ascii="Times New Roman" w:hAnsi="Times New Roman" w:cs="Times New Roman" w:eastAsia="Times New Roman"/>
                <w:b w:val="0"/>
                <w:i w:val="0"/>
                <w:color w:val="000000"/>
                <w:sz w:val="24"/>
              </w:rPr>
              <w:t>7,227,000</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80" w:after="40"/>
        <w:jc w:val="center"/>
      </w:pPr>
      <w:r>
        <w:rPr>
          <w:rFonts w:ascii="Times New Roman" w:hAnsi="Times New Roman" w:cs="Times New Roman" w:eastAsia="Times New Roman"/>
          <w:b/>
          <w:i w:val="0"/>
          <w:color w:val="000000"/>
          <w:sz w:val="28"/>
        </w:rPr>
        <w:t>5.0 RESEARCH ACTION PLAN</w:t>
      </w:r>
    </w:p>
    <w:p>
      <w:pPr>
        <w:keepNext w:val="0"/>
        <w:widowControl/>
        <w:spacing w:line="480" w:lineRule="auto" w:before="0" w:after="0"/>
        <w:jc w:val="both"/>
      </w:pPr>
      <w:r>
        <w:rPr>
          <w:rFonts w:ascii="Times New Roman" w:hAnsi="Times New Roman" w:cs="Times New Roman" w:eastAsia="Times New Roman"/>
          <w:b w:val="0"/>
          <w:i w:val="0"/>
          <w:color w:val="000000"/>
          <w:sz w:val="24"/>
        </w:rPr>
        <w:t>The activities below will be undertaken in the sequence and periods indicated, allowing for proposal defence, permits, pilot testing, fieldwork, analysis, report writing and submission.</w:t>
      </w:r>
    </w:p>
    <w:p>
      <w:pPr>
        <w:keepNext/>
        <w:widowControl/>
        <w:spacing w:line="240" w:lineRule="auto" w:before="80" w:after="40"/>
        <w:jc w:val="left"/>
      </w:pPr>
      <w:r>
        <w:rPr>
          <w:rFonts w:ascii="Times New Roman" w:hAnsi="Times New Roman" w:cs="Times New Roman" w:eastAsia="Times New Roman"/>
          <w:b/>
          <w:i w:val="0"/>
          <w:color w:val="000000"/>
          <w:sz w:val="24"/>
        </w:rPr>
        <w:t>Table 3: Research action plan</w:t>
      </w:r>
    </w:p>
    <w:tbl>
      <w:tblPr>
        <w:tblStyle w:val="TableGrid"/>
        <w:tblW w:type="auto" w:w="0"/>
        <w:jc w:val="center"/>
        <w:tblLayout w:type="fixed"/>
        <w:tblLook w:firstColumn="1" w:firstRow="1" w:lastColumn="0" w:lastRow="0" w:noHBand="0" w:noVBand="1" w:val="04A0"/>
      </w:tblPr>
      <w:tblGrid>
        <w:gridCol w:w="820"/>
        <w:gridCol w:w="820"/>
        <w:gridCol w:w="820"/>
        <w:gridCol w:w="820"/>
        <w:gridCol w:w="820"/>
        <w:gridCol w:w="820"/>
        <w:gridCol w:w="820"/>
        <w:gridCol w:w="820"/>
        <w:gridCol w:w="820"/>
        <w:gridCol w:w="820"/>
      </w:tblGrid>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i w:val="0"/>
                <w:color w:val="000000"/>
                <w:sz w:val="24"/>
              </w:rPr>
              <w:t>S/No</w:t>
            </w:r>
          </w:p>
        </w:tc>
        <w:tc>
          <w:tcPr>
            <w:tcW w:type="dxa" w:w="3742"/>
          </w:tcPr>
          <w:p>
            <w:pPr>
              <w:keepNext w:val="0"/>
              <w:widowControl/>
              <w:spacing w:line="240" w:lineRule="auto" w:before="20" w:after="20"/>
              <w:jc w:val="center"/>
            </w:pPr>
            <w:r/>
            <w:r>
              <w:rPr>
                <w:rFonts w:ascii="Times New Roman" w:hAnsi="Times New Roman" w:cs="Times New Roman" w:eastAsia="Times New Roman"/>
                <w:b/>
                <w:i w:val="0"/>
                <w:color w:val="000000"/>
                <w:sz w:val="24"/>
              </w:rPr>
              <w:t>Activity</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Sep</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Oct</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Nov</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Dec</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Jan</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Feb</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Mar</w:t>
            </w:r>
          </w:p>
        </w:tc>
        <w:tc>
          <w:tcPr>
            <w:tcW w:type="dxa" w:w="539"/>
          </w:tcPr>
          <w:p>
            <w:pPr>
              <w:keepNext w:val="0"/>
              <w:widowControl/>
              <w:spacing w:line="240" w:lineRule="auto" w:before="20" w:after="20"/>
              <w:jc w:val="center"/>
            </w:pPr>
            <w:r/>
            <w:r>
              <w:rPr>
                <w:rFonts w:ascii="Times New Roman" w:hAnsi="Times New Roman" w:cs="Times New Roman" w:eastAsia="Times New Roman"/>
                <w:b/>
                <w:i w:val="0"/>
                <w:color w:val="000000"/>
                <w:sz w:val="24"/>
              </w:rPr>
              <w:t>Apr</w:t>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1</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Proposal writing and submission</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2</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Proposal defence and corrections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3</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Clearance, permits and entry meetings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4</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Instrument development and pilot test</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5</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collection in the field</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6</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Data cleaning, coding and analysis</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7</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Interpretation and report writing</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p>
        </w:tc>
      </w:tr>
      <w:tr>
        <w:trPr>
          <w:cantSplit/>
        </w:trPr>
        <w:tc>
          <w:tcPr>
            <w:tcW w:type="dxa" w:w="567"/>
          </w:tcPr>
          <w:p>
            <w:pPr>
              <w:keepNext w:val="0"/>
              <w:widowControl/>
              <w:spacing w:line="240" w:lineRule="auto" w:before="20" w:after="20"/>
              <w:jc w:val="center"/>
            </w:pPr>
            <w:r/>
            <w:r>
              <w:rPr>
                <w:rFonts w:ascii="Times New Roman" w:hAnsi="Times New Roman" w:cs="Times New Roman" w:eastAsia="Times New Roman"/>
                <w:b w:val="0"/>
                <w:i w:val="0"/>
                <w:color w:val="000000"/>
                <w:sz w:val="24"/>
              </w:rPr>
              <w:t>8</w:t>
            </w:r>
          </w:p>
        </w:tc>
        <w:tc>
          <w:tcPr>
            <w:tcW w:type="dxa" w:w="3742"/>
          </w:tcPr>
          <w:p>
            <w:pPr>
              <w:keepNext w:val="0"/>
              <w:widowControl/>
              <w:spacing w:line="240" w:lineRule="auto" w:before="20" w:after="20"/>
              <w:jc w:val="left"/>
            </w:pPr>
            <w:r/>
            <w:r>
              <w:rPr>
                <w:rFonts w:ascii="Times New Roman" w:hAnsi="Times New Roman" w:cs="Times New Roman" w:eastAsia="Times New Roman"/>
                <w:b w:val="0"/>
                <w:i w:val="0"/>
                <w:color w:val="000000"/>
                <w:sz w:val="24"/>
              </w:rPr>
              <w:t>Draft submission, binding and final defence</w:t>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c>
          <w:tcPr>
            <w:tcW w:type="dxa" w:w="539"/>
          </w:tcPr>
          <w:p>
            <w:pPr>
              <w:keepNext w:val="0"/>
              <w:widowControl/>
              <w:spacing w:line="240" w:lineRule="auto" w:before="20" w:after="20"/>
              <w:jc w:val="center"/>
            </w:pPr>
            <w:r/>
            <w:r>
              <w:rPr>
                <w:rFonts w:ascii="Times New Roman" w:hAnsi="Times New Roman" w:cs="Times New Roman" w:eastAsia="Times New Roman"/>
                <w:b w:val="0"/>
                <w:i w:val="0"/>
                <w:color w:val="000000"/>
                <w:sz w:val="24"/>
              </w:rPr>
              <w:t>X</w:t>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80" w:after="40"/>
        <w:jc w:val="center"/>
      </w:pPr>
      <w:r>
        <w:rPr>
          <w:rFonts w:ascii="Times New Roman" w:hAnsi="Times New Roman" w:cs="Times New Roman" w:eastAsia="Times New Roman"/>
          <w:b/>
          <w:i w:val="0"/>
          <w:color w:val="000000"/>
          <w:sz w:val="28"/>
        </w:rPr>
        <w:t>REFERENCES</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Chebet Murei, M.L.; Kidombo, P.H.; Gakuu, P.C. (2017). Influence of monitoring and evaluation human resources capacity on performance of horticulture projects in Nakuru County, Kenya. </w:t>
      </w:r>
      <w:r>
        <w:rPr>
          <w:rFonts w:ascii="Times New Roman" w:hAnsi="Times New Roman" w:cs="Times New Roman" w:eastAsia="Times New Roman"/>
          <w:b w:val="0"/>
          <w:i/>
          <w:color w:val="000000"/>
          <w:sz w:val="24"/>
        </w:rPr>
        <w:t>IJRDO – Journal of Social Science and Humanities Research</w:t>
      </w:r>
      <w:r>
        <w:rPr>
          <w:rFonts w:ascii="Times New Roman" w:hAnsi="Times New Roman" w:cs="Times New Roman" w:eastAsia="Times New Roman"/>
          <w:b w:val="0"/>
          <w:i w:val="0"/>
          <w:color w:val="000000"/>
          <w:sz w:val="24"/>
        </w:rPr>
        <w:t xml:space="preserve"> 2 (11): 112-131.</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Creswell, J.W. (2014). </w:t>
      </w:r>
      <w:r>
        <w:rPr>
          <w:rFonts w:ascii="Times New Roman" w:hAnsi="Times New Roman" w:cs="Times New Roman" w:eastAsia="Times New Roman"/>
          <w:b w:val="0"/>
          <w:i/>
          <w:color w:val="000000"/>
          <w:sz w:val="24"/>
        </w:rPr>
        <w:t>Research Design: Qualitative, Quantitative and Mixed Methods Approaches</w:t>
      </w:r>
      <w:r>
        <w:rPr>
          <w:rFonts w:ascii="Times New Roman" w:hAnsi="Times New Roman" w:cs="Times New Roman" w:eastAsia="Times New Roman"/>
          <w:b w:val="0"/>
          <w:i w:val="0"/>
          <w:color w:val="000000"/>
          <w:sz w:val="24"/>
        </w:rPr>
        <w:t>. (4th ed.). Sage Publications, Thousand Oaks, 296pp.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Eisenhardt, K.M. (1989). Agency theory: an assessment and review. </w:t>
      </w:r>
      <w:r>
        <w:rPr>
          <w:rFonts w:ascii="Times New Roman" w:hAnsi="Times New Roman" w:cs="Times New Roman" w:eastAsia="Times New Roman"/>
          <w:b w:val="0"/>
          <w:i/>
          <w:color w:val="000000"/>
          <w:sz w:val="24"/>
        </w:rPr>
        <w:t>Academy of Management Review</w:t>
      </w:r>
      <w:r>
        <w:rPr>
          <w:rFonts w:ascii="Times New Roman" w:hAnsi="Times New Roman" w:cs="Times New Roman" w:eastAsia="Times New Roman"/>
          <w:b w:val="0"/>
          <w:i w:val="0"/>
          <w:color w:val="000000"/>
          <w:sz w:val="24"/>
        </w:rPr>
        <w:t xml:space="preserve"> 14 (1): 57-74.</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Freeman, R.E. (1984). </w:t>
      </w:r>
      <w:r>
        <w:rPr>
          <w:rFonts w:ascii="Times New Roman" w:hAnsi="Times New Roman" w:cs="Times New Roman" w:eastAsia="Times New Roman"/>
          <w:b w:val="0"/>
          <w:i/>
          <w:color w:val="000000"/>
          <w:sz w:val="24"/>
        </w:rPr>
        <w:t>Strategic Management: A Stakeholder Approach</w:t>
      </w:r>
      <w:r>
        <w:rPr>
          <w:rFonts w:ascii="Times New Roman" w:hAnsi="Times New Roman" w:cs="Times New Roman" w:eastAsia="Times New Roman"/>
          <w:b w:val="0"/>
          <w:i w:val="0"/>
          <w:color w:val="000000"/>
          <w:sz w:val="24"/>
        </w:rPr>
        <w:t>. Pitman, Boston, 276pp.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Herman, A.K. (2023). Factors influencing monitoring and evaluation planning on the performance of water supply projects in Dodoma City Council. </w:t>
      </w:r>
      <w:r>
        <w:rPr>
          <w:rFonts w:ascii="Times New Roman" w:hAnsi="Times New Roman" w:cs="Times New Roman" w:eastAsia="Times New Roman"/>
          <w:b w:val="0"/>
          <w:i/>
          <w:color w:val="000000"/>
          <w:sz w:val="24"/>
        </w:rPr>
        <w:t>African Journal of Emerging Issues</w:t>
      </w:r>
      <w:r>
        <w:rPr>
          <w:rFonts w:ascii="Times New Roman" w:hAnsi="Times New Roman" w:cs="Times New Roman" w:eastAsia="Times New Roman"/>
          <w:b w:val="0"/>
          <w:i w:val="0"/>
          <w:color w:val="000000"/>
          <w:sz w:val="24"/>
        </w:rPr>
        <w:t xml:space="preserve"> 5 (17): 104-121.</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Ika, L.A. (2009). Project success as a topic in project management journals. </w:t>
      </w:r>
      <w:r>
        <w:rPr>
          <w:rFonts w:ascii="Times New Roman" w:hAnsi="Times New Roman" w:cs="Times New Roman" w:eastAsia="Times New Roman"/>
          <w:b w:val="0"/>
          <w:i/>
          <w:color w:val="000000"/>
          <w:sz w:val="24"/>
        </w:rPr>
        <w:t>Project Management Journal</w:t>
      </w:r>
      <w:r>
        <w:rPr>
          <w:rFonts w:ascii="Times New Roman" w:hAnsi="Times New Roman" w:cs="Times New Roman" w:eastAsia="Times New Roman"/>
          <w:b w:val="0"/>
          <w:i w:val="0"/>
          <w:color w:val="000000"/>
          <w:sz w:val="24"/>
        </w:rPr>
        <w:t xml:space="preserve"> 40 (4): 6-19.</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Katerengabo, B.; Gakuu, C.; Kidombo, H. (2023). Implementing project monitoring and evaluation plan with beneficiaries for improving performance: evidence from Tanzania Conditional Cash Transfer. </w:t>
      </w:r>
      <w:r>
        <w:rPr>
          <w:rFonts w:ascii="Times New Roman" w:hAnsi="Times New Roman" w:cs="Times New Roman" w:eastAsia="Times New Roman"/>
          <w:b w:val="0"/>
          <w:i/>
          <w:color w:val="000000"/>
          <w:sz w:val="24"/>
        </w:rPr>
        <w:t>International Journal of Sustainable Development Research</w:t>
      </w:r>
      <w:r>
        <w:rPr>
          <w:rFonts w:ascii="Times New Roman" w:hAnsi="Times New Roman" w:cs="Times New Roman" w:eastAsia="Times New Roman"/>
          <w:b w:val="0"/>
          <w:i w:val="0"/>
          <w:color w:val="000000"/>
          <w:sz w:val="24"/>
        </w:rPr>
        <w:t xml:space="preserve"> 9 (1): 11-17.</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Killo, P.N. (2022). </w:t>
      </w:r>
      <w:r>
        <w:rPr>
          <w:rFonts w:ascii="Times New Roman" w:hAnsi="Times New Roman" w:cs="Times New Roman" w:eastAsia="Times New Roman"/>
          <w:b w:val="0"/>
          <w:i/>
          <w:color w:val="000000"/>
          <w:sz w:val="24"/>
        </w:rPr>
        <w:t>Influence of Monitoring and Evaluation Practices on Performance of Tobacco Contract Farming Projects in Katavi Region, Tanzania</w:t>
      </w:r>
      <w:r>
        <w:rPr>
          <w:rFonts w:ascii="Times New Roman" w:hAnsi="Times New Roman" w:cs="Times New Roman" w:eastAsia="Times New Roman"/>
          <w:b w:val="0"/>
          <w:i w:val="0"/>
          <w:color w:val="000000"/>
          <w:sz w:val="24"/>
        </w:rPr>
        <w:t>. Dissertation for the Award of PhD Degree at The Open University of Tanzania, Dar es Salaam,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Kusek, J.Z.; Rist, R.C. (2004). </w:t>
      </w:r>
      <w:r>
        <w:rPr>
          <w:rFonts w:ascii="Times New Roman" w:hAnsi="Times New Roman" w:cs="Times New Roman" w:eastAsia="Times New Roman"/>
          <w:b w:val="0"/>
          <w:i/>
          <w:color w:val="000000"/>
          <w:sz w:val="24"/>
        </w:rPr>
        <w:t>Ten Steps to a Results-Based Monitoring and Evaluation System: A Handbook for Development Practitioners</w:t>
      </w:r>
      <w:r>
        <w:rPr>
          <w:rFonts w:ascii="Times New Roman" w:hAnsi="Times New Roman" w:cs="Times New Roman" w:eastAsia="Times New Roman"/>
          <w:b w:val="0"/>
          <w:i w:val="0"/>
          <w:color w:val="000000"/>
          <w:sz w:val="24"/>
        </w:rPr>
        <w:t>. World Bank, Washington DC, 216pp.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Lushoto District Council (2015). </w:t>
      </w:r>
      <w:r>
        <w:rPr>
          <w:rFonts w:ascii="Times New Roman" w:hAnsi="Times New Roman" w:cs="Times New Roman" w:eastAsia="Times New Roman"/>
          <w:b w:val="0"/>
          <w:i/>
          <w:color w:val="000000"/>
          <w:sz w:val="24"/>
        </w:rPr>
        <w:t>District Council's Strategic Plan for the Period 2015-2020</w:t>
      </w:r>
      <w:r>
        <w:rPr>
          <w:rFonts w:ascii="Times New Roman" w:hAnsi="Times New Roman" w:cs="Times New Roman" w:eastAsia="Times New Roman"/>
          <w:b w:val="0"/>
          <w:i w:val="0"/>
          <w:color w:val="000000"/>
          <w:sz w:val="24"/>
        </w:rPr>
        <w:t>. Lushoto District Council, Lushoto,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Lyon, A.; Zilihona, I.; Masanyiwa, Z. (2017). </w:t>
      </w:r>
      <w:r>
        <w:rPr>
          <w:rFonts w:ascii="Times New Roman" w:hAnsi="Times New Roman" w:cs="Times New Roman" w:eastAsia="Times New Roman"/>
          <w:b w:val="0"/>
          <w:i/>
          <w:color w:val="000000"/>
          <w:sz w:val="24"/>
        </w:rPr>
        <w:t>Report on Assessment of Implementation of Decentralisation by Devolution in Tanzania</w:t>
      </w:r>
      <w:r>
        <w:rPr>
          <w:rFonts w:ascii="Times New Roman" w:hAnsi="Times New Roman" w:cs="Times New Roman" w:eastAsia="Times New Roman"/>
          <w:b w:val="0"/>
          <w:i w:val="0"/>
          <w:color w:val="000000"/>
          <w:sz w:val="24"/>
        </w:rPr>
        <w:t>. President's Office – Regional Administration and Local Government, Dodoma,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Mackay, K. (2007). </w:t>
      </w:r>
      <w:r>
        <w:rPr>
          <w:rFonts w:ascii="Times New Roman" w:hAnsi="Times New Roman" w:cs="Times New Roman" w:eastAsia="Times New Roman"/>
          <w:b w:val="0"/>
          <w:i/>
          <w:color w:val="000000"/>
          <w:sz w:val="24"/>
        </w:rPr>
        <w:t>Building Evaluation Capacity: Activities and Outcomes</w:t>
      </w:r>
      <w:r>
        <w:rPr>
          <w:rFonts w:ascii="Times New Roman" w:hAnsi="Times New Roman" w:cs="Times New Roman" w:eastAsia="Times New Roman"/>
          <w:b w:val="0"/>
          <w:i w:val="0"/>
          <w:color w:val="000000"/>
          <w:sz w:val="24"/>
        </w:rPr>
        <w:t>. World Bank, Washington DC, 232pp.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Maimula, S. (2017). </w:t>
      </w:r>
      <w:r>
        <w:rPr>
          <w:rFonts w:ascii="Times New Roman" w:hAnsi="Times New Roman" w:cs="Times New Roman" w:eastAsia="Times New Roman"/>
          <w:b w:val="0"/>
          <w:i/>
          <w:color w:val="000000"/>
          <w:sz w:val="24"/>
        </w:rPr>
        <w:t>Challenges in Practicing Monitoring and Evaluation: The Case of Local Government Water Projects in Mkuranga, Tanzania</w:t>
      </w:r>
      <w:r>
        <w:rPr>
          <w:rFonts w:ascii="Times New Roman" w:hAnsi="Times New Roman" w:cs="Times New Roman" w:eastAsia="Times New Roman"/>
          <w:b w:val="0"/>
          <w:i w:val="0"/>
          <w:color w:val="000000"/>
          <w:sz w:val="24"/>
        </w:rPr>
        <w:t>. Dissertation for the Award of Master of Arts in Monitoring and Evaluation at The Open University of Tanzania, Dar es Salaam, Tanzania, 105pp.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Mgoba, S.A.; Kabote, S.J. (2020). Effectiveness of participatory monitoring and evaluation on achievement of community-based water projects in Tanzania. </w:t>
      </w:r>
      <w:r>
        <w:rPr>
          <w:rFonts w:ascii="Times New Roman" w:hAnsi="Times New Roman" w:cs="Times New Roman" w:eastAsia="Times New Roman"/>
          <w:b w:val="0"/>
          <w:i/>
          <w:color w:val="000000"/>
          <w:sz w:val="24"/>
        </w:rPr>
        <w:t>Applied Water Science</w:t>
      </w:r>
      <w:r>
        <w:rPr>
          <w:rFonts w:ascii="Times New Roman" w:hAnsi="Times New Roman" w:cs="Times New Roman" w:eastAsia="Times New Roman"/>
          <w:b w:val="0"/>
          <w:i w:val="0"/>
          <w:color w:val="000000"/>
          <w:sz w:val="24"/>
        </w:rPr>
        <w:t xml:space="preserve"> 10: 200.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Mhina, G. (2017). </w:t>
      </w:r>
      <w:r>
        <w:rPr>
          <w:rFonts w:ascii="Times New Roman" w:hAnsi="Times New Roman" w:cs="Times New Roman" w:eastAsia="Times New Roman"/>
          <w:b w:val="0"/>
          <w:i/>
          <w:color w:val="000000"/>
          <w:sz w:val="24"/>
        </w:rPr>
        <w:t>Monitoring and Evaluation Practices and their Effects in District Councils: A Case of Ruvuma Region</w:t>
      </w:r>
      <w:r>
        <w:rPr>
          <w:rFonts w:ascii="Times New Roman" w:hAnsi="Times New Roman" w:cs="Times New Roman" w:eastAsia="Times New Roman"/>
          <w:b w:val="0"/>
          <w:i w:val="0"/>
          <w:color w:val="000000"/>
          <w:sz w:val="24"/>
        </w:rPr>
        <w:t>. Dissertation for the Award of Master's Degree at Mzumbe University, Morogoro,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National Bureau of Statistics (2022). </w:t>
      </w:r>
      <w:r>
        <w:rPr>
          <w:rFonts w:ascii="Times New Roman" w:hAnsi="Times New Roman" w:cs="Times New Roman" w:eastAsia="Times New Roman"/>
          <w:b w:val="0"/>
          <w:i/>
          <w:color w:val="000000"/>
          <w:sz w:val="24"/>
        </w:rPr>
        <w:t>The 2022 Population and Housing Census: Administrative Units Population Distribution Report</w:t>
      </w:r>
      <w:r>
        <w:rPr>
          <w:rFonts w:ascii="Times New Roman" w:hAnsi="Times New Roman" w:cs="Times New Roman" w:eastAsia="Times New Roman"/>
          <w:b w:val="0"/>
          <w:i w:val="0"/>
          <w:color w:val="000000"/>
          <w:sz w:val="24"/>
        </w:rPr>
        <w:t>. National Bureau of Statistics, Dodoma,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Okeyo, E.O.; Mogusu, J.; Ombachi, N.K. (2019). Effectiveness of monitoring and evaluation structure on the performance of county government projects in the Lake Region Economic Bloc of Nyanza, Kenya. </w:t>
      </w:r>
      <w:r>
        <w:rPr>
          <w:rFonts w:ascii="Times New Roman" w:hAnsi="Times New Roman" w:cs="Times New Roman" w:eastAsia="Times New Roman"/>
          <w:b w:val="0"/>
          <w:i/>
          <w:color w:val="000000"/>
          <w:sz w:val="24"/>
        </w:rPr>
        <w:t>International Journal of Scientific and Research Publications</w:t>
      </w:r>
      <w:r>
        <w:rPr>
          <w:rFonts w:ascii="Times New Roman" w:hAnsi="Times New Roman" w:cs="Times New Roman" w:eastAsia="Times New Roman"/>
          <w:b w:val="0"/>
          <w:i w:val="0"/>
          <w:color w:val="000000"/>
          <w:sz w:val="24"/>
        </w:rPr>
        <w:t xml:space="preserve"> 9 (3): 691-699.</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Office of the Controller and Auditor General (2026). </w:t>
      </w:r>
      <w:r>
        <w:rPr>
          <w:rFonts w:ascii="Times New Roman" w:hAnsi="Times New Roman" w:cs="Times New Roman" w:eastAsia="Times New Roman"/>
          <w:b w:val="0"/>
          <w:i/>
          <w:color w:val="000000"/>
          <w:sz w:val="24"/>
        </w:rPr>
        <w:t>Media Statement on the Annual General Reports of the Controller and Auditor General, 14 April 2026</w:t>
      </w:r>
      <w:r>
        <w:rPr>
          <w:rFonts w:ascii="Times New Roman" w:hAnsi="Times New Roman" w:cs="Times New Roman" w:eastAsia="Times New Roman"/>
          <w:b w:val="0"/>
          <w:i w:val="0"/>
          <w:color w:val="000000"/>
          <w:sz w:val="24"/>
        </w:rPr>
        <w:t>. National Audit Office of Tanzania, Dodoma. [https://www.nao.go.tz/uploads/Media_Statement_-_English.pdf] site visited on 16/9/2026.</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Organisation for Economic Co-operation and Development (2010). </w:t>
      </w:r>
      <w:r>
        <w:rPr>
          <w:rFonts w:ascii="Times New Roman" w:hAnsi="Times New Roman" w:cs="Times New Roman" w:eastAsia="Times New Roman"/>
          <w:b w:val="0"/>
          <w:i/>
          <w:color w:val="000000"/>
          <w:sz w:val="24"/>
        </w:rPr>
        <w:t>Glossary of Key Terms in Evaluation and Results Based Management</w:t>
      </w:r>
      <w:r>
        <w:rPr>
          <w:rFonts w:ascii="Times New Roman" w:hAnsi="Times New Roman" w:cs="Times New Roman" w:eastAsia="Times New Roman"/>
          <w:b w:val="0"/>
          <w:i w:val="0"/>
          <w:color w:val="000000"/>
          <w:sz w:val="24"/>
        </w:rPr>
        <w:t>. (2nd ed.). OECD Publishing, Paris, 46pp.</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(1982). </w:t>
      </w:r>
      <w:r>
        <w:rPr>
          <w:rFonts w:ascii="Times New Roman" w:hAnsi="Times New Roman" w:cs="Times New Roman" w:eastAsia="Times New Roman"/>
          <w:b w:val="0"/>
          <w:i/>
          <w:color w:val="000000"/>
          <w:sz w:val="24"/>
        </w:rPr>
        <w:t>The Local Government (District Authorities) Act No. 7 of 1982</w:t>
      </w:r>
      <w:r>
        <w:rPr>
          <w:rFonts w:ascii="Times New Roman" w:hAnsi="Times New Roman" w:cs="Times New Roman" w:eastAsia="Times New Roman"/>
          <w:b w:val="0"/>
          <w:i w:val="0"/>
          <w:color w:val="000000"/>
          <w:sz w:val="24"/>
        </w:rPr>
        <w:t>. Government Printer, Dar es Salaam,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(2000). </w:t>
      </w:r>
      <w:r>
        <w:rPr>
          <w:rFonts w:ascii="Times New Roman" w:hAnsi="Times New Roman" w:cs="Times New Roman" w:eastAsia="Times New Roman"/>
          <w:b w:val="0"/>
          <w:i/>
          <w:color w:val="000000"/>
          <w:sz w:val="24"/>
        </w:rPr>
        <w:t>National Policy on Decentralisation by Devolution</w:t>
      </w:r>
      <w:r>
        <w:rPr>
          <w:rFonts w:ascii="Times New Roman" w:hAnsi="Times New Roman" w:cs="Times New Roman" w:eastAsia="Times New Roman"/>
          <w:b w:val="0"/>
          <w:i w:val="0"/>
          <w:color w:val="000000"/>
          <w:sz w:val="24"/>
        </w:rPr>
        <w:t>. President's Office – Regional Administration and Local Government, Dodoma,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(2021). </w:t>
      </w:r>
      <w:r>
        <w:rPr>
          <w:rFonts w:ascii="Times New Roman" w:hAnsi="Times New Roman" w:cs="Times New Roman" w:eastAsia="Times New Roman"/>
          <w:b w:val="0"/>
          <w:i/>
          <w:color w:val="000000"/>
          <w:sz w:val="24"/>
        </w:rPr>
        <w:t>National Five Year Development Plan FYDP III 2021/22-2025/26: Realising Competitiveness and Industrialisation for Human Development</w:t>
      </w:r>
      <w:r>
        <w:rPr>
          <w:rFonts w:ascii="Times New Roman" w:hAnsi="Times New Roman" w:cs="Times New Roman" w:eastAsia="Times New Roman"/>
          <w:b w:val="0"/>
          <w:i w:val="0"/>
          <w:color w:val="000000"/>
          <w:sz w:val="24"/>
        </w:rPr>
        <w:t>. Ministry of Finance and Planning, Dodoma,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Yamane, T. (1967). </w:t>
      </w:r>
      <w:r>
        <w:rPr>
          <w:rFonts w:ascii="Times New Roman" w:hAnsi="Times New Roman" w:cs="Times New Roman" w:eastAsia="Times New Roman"/>
          <w:b w:val="0"/>
          <w:i/>
          <w:color w:val="000000"/>
          <w:sz w:val="24"/>
        </w:rPr>
        <w:t>Statistics: An Introductory Analysis</w:t>
      </w:r>
      <w:r>
        <w:rPr>
          <w:rFonts w:ascii="Times New Roman" w:hAnsi="Times New Roman" w:cs="Times New Roman" w:eastAsia="Times New Roman"/>
          <w:b w:val="0"/>
          <w:i w:val="0"/>
          <w:color w:val="000000"/>
          <w:sz w:val="24"/>
        </w:rPr>
        <w:t>. (2nd ed.). Harper and Row, New York, 919pp.</w:t>
      </w:r>
    </w:p>
    <w:sectPr w:rsidR="00FC693F" w:rsidRPr="0006063C" w:rsidSect="00034616">
      <w:footerReference w:type="default" r:id="rId9"/>
      <w:pgSz w:w="11906" w:h="16838"/>
      <w:pgMar w:top="1440" w:right="1440" w:bottom="1440" w:left="2268"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